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rPr>
          <w:b/>
          <w:bCs/>
        </w:rPr>
        <w:t xml:space="preserve">A cache written before this existed upgrades itself on the first open.</w:t>
      </w:r>
      <w:r>
        <w:t xml:space="preserve"> The model is kept whenever the workbook is parsed, whatever the bytes came from. An earlier version kept it only when the bytes were freshly uploaded — so a reader whose cache predated the model cache fell back to the workbook, parsed it, threw the model away, and did the same again on every open after that. The slow path forever, for exactly the readers who had been using the page longest. On a 21,780-row file: first open 49.6s (parses, then keeps the model), every open after 12.6s.</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The commentary answers the comparison the reader selected.</w:t>
      </w:r>
      <w:r>
        <w:t xml:space="preserve"> The variance selector is a statement of what is to be compared. The Management commentary and the Executive decisions panel now write about that basis and no other: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Selected</w:t>
            </w:r>
          </w:p>
        </w:tc>
        <w:tc>
          <w:tcPr>
            <w:shd w:fill="F7E9EA" w:val="clear"/>
            <w:tcMar>
              <w:top w:type="dxa" w:w="60"/>
              <w:left w:type="dxa" w:w="100"/>
              <w:bottom w:type="dxa" w:w="60"/>
              <w:right w:type="dxa" w:w="100"/>
            </w:tcMar>
          </w:tcPr>
          <w:p>
            <w:r>
              <w:rPr>
                <w:b/>
                <w:bCs/>
                <w:color w:val="DB0011"/>
              </w:rPr>
              <w:t xml:space="preserve">The commentary writes</w:t>
            </w:r>
          </w:p>
        </w:tc>
      </w:tr>
      <w:tr>
        <w:tc>
          <w:tcPr>
            <w:tcMar>
              <w:top w:type="dxa" w:w="60"/>
              <w:left w:type="dxa" w:w="100"/>
              <w:bottom w:type="dxa" w:w="60"/>
              <w:right w:type="dxa" w:w="100"/>
            </w:tcMar>
          </w:tcPr>
          <w:p>
            <w:pPr>
              <w:spacing w:after="0"/>
            </w:pPr>
            <w:r>
              <w:t xml:space="preserve">Current QTR vs PY</w:t>
            </w:r>
          </w:p>
        </w:tc>
        <w:tc>
          <w:tcPr>
            <w:tcMar>
              <w:top w:type="dxa" w:w="60"/>
              <w:left w:type="dxa" w:w="100"/>
              <w:bottom w:type="dxa" w:w="60"/>
              <w:right w:type="dxa" w:w="100"/>
            </w:tcMar>
          </w:tcPr>
          <w:p>
            <w:pPr>
              <w:spacing w:after="0"/>
            </w:pPr>
            <w:r>
              <w:rPr>
                <w:i/>
                <w:iCs/>
              </w:rPr>
              <w:t xml:space="preserve">"PBT ex Notables is $131m down on the quarter vs PY."</w:t>
            </w:r>
          </w:p>
        </w:tc>
      </w:tr>
      <w:tr>
        <w:tc>
          <w:tcPr>
            <w:tcMar>
              <w:top w:type="dxa" w:w="60"/>
              <w:left w:type="dxa" w:w="100"/>
              <w:bottom w:type="dxa" w:w="60"/>
              <w:right w:type="dxa" w:w="100"/>
            </w:tcMar>
          </w:tcPr>
          <w:p>
            <w:pPr>
              <w:spacing w:after="0"/>
            </w:pPr>
            <w:r>
              <w:t xml:space="preserve">YTD vs Target</w:t>
            </w:r>
          </w:p>
        </w:tc>
        <w:tc>
          <w:tcPr>
            <w:tcMar>
              <w:top w:type="dxa" w:w="60"/>
              <w:left w:type="dxa" w:w="100"/>
              <w:bottom w:type="dxa" w:w="60"/>
              <w:right w:type="dxa" w:w="100"/>
            </w:tcMar>
          </w:tcPr>
          <w:p>
            <w:pPr>
              <w:spacing w:after="0"/>
            </w:pPr>
            <w:r>
              <w:rPr>
                <w:i/>
                <w:iCs/>
              </w:rPr>
              <w:t xml:space="preserve">"PBT ex Notables is $41m up on YTD vs target."</w:t>
            </w:r>
          </w:p>
        </w:tc>
      </w:tr>
      <w:tr>
        <w:tc>
          <w:tcPr>
            <w:tcMar>
              <w:top w:type="dxa" w:w="60"/>
              <w:left w:type="dxa" w:w="100"/>
              <w:bottom w:type="dxa" w:w="60"/>
              <w:right w:type="dxa" w:w="100"/>
            </w:tcMar>
          </w:tcPr>
          <w:p>
            <w:pPr>
              <w:spacing w:after="0"/>
            </w:pPr>
            <w:r>
              <w:t xml:space="preserve">Month vs Forecast</w:t>
            </w:r>
          </w:p>
        </w:tc>
        <w:tc>
          <w:tcPr>
            <w:tcMar>
              <w:top w:type="dxa" w:w="60"/>
              <w:left w:type="dxa" w:w="100"/>
              <w:bottom w:type="dxa" w:w="60"/>
              <w:right w:type="dxa" w:w="100"/>
            </w:tcMar>
          </w:tcPr>
          <w:p>
            <w:pPr>
              <w:spacing w:after="0"/>
            </w:pPr>
            <w:r>
              <w:rPr>
                <w:i/>
                <w:iCs/>
              </w:rPr>
              <w:t xml:space="preserve">"PBT ex Notables is $59m down on the month vs forecast."</w:t>
            </w:r>
          </w:p>
        </w:tc>
      </w:tr>
    </w:tbl>
    <w:p>
      <w:pPr>
        <w:spacing w:after="160"/>
      </w:pPr>
    </w:p>
    <w:p>
      <w:pPr>
        <w:spacing w:after="140"/>
        <w:ind w:left="360"/>
      </w:pPr>
      <w:r>
        <w:t xml:space="preserve">Both used to answer more than was asked. The commentary recited every basis in one sentence — </w:t>
      </w:r>
      <w:r>
        <w:rPr>
          <w:i/>
          <w:iCs/>
        </w:rPr>
        <w:t xml:space="preserve">"$131m down on the quarter vs PY, $41m down on YTD vs target, $59m down on the month vs forecast, $253m down on the full year vs PY and $78m down on the full year vs target"</w:t>
      </w:r>
      <w:r>
        <w:t xml:space="preserve"> — and the decisions panel appended </w:t>
      </w:r>
      <w:r>
        <w:rPr>
          <w:i/>
          <w:iCs/>
        </w:rPr>
        <w:t xml:space="preserve">"FY outlook vs target"</w:t>
      </w:r>
      <w:r>
        <w:t xml:space="preserve"> to every card whatever the selector said. Choosing actuals against prior-year actuals and being answered with forecast and target reads as though the selection had been ignored, and invites a figure to be taken off the wrong basis.</w:t>
      </w:r>
    </w:p>
    <w:p>
      <w:pPr>
        <w:spacing w:after="140"/>
        <w:ind w:left="360"/>
      </w:pPr>
      <w:r>
        <w:rPr>
          <w:b/>
          <w:bCs/>
        </w:rPr>
        <w:t xml:space="preserve">A line that did not move is not a decision.</w:t>
      </w:r>
      <w:r>
        <w:t xml:space="preserve"> Floating point leaves −4e-12 on a line whose forecast equals its prior forecast, and the rating reads any negative as unfavourable — so such a line was rated </w:t>
      </w:r>
      <w:r>
        <w:rPr>
          <w:i/>
          <w:iCs/>
        </w:rPr>
        <w:t xml:space="preserve">"Unfavourable · ▼0 / ▼0.0%"</w:t>
      </w:r>
      <w:r>
        <w:t xml:space="preserve"> and counted in the decisions badge, beside lines that genuinely moved. A movement below half a unit — the same threshold the commentary uses to decide a comparison said nothing worth a clause — is now rated as no movement.</w:t>
      </w:r>
    </w:p>
    <w:p>
      <w:pPr>
        <w:spacing w:after="140"/>
        <w:ind w:left="360"/>
      </w:pPr>
      <w:r>
        <w:rPr>
          <w:b/>
          <w:bCs/>
        </w:rPr>
        <w:t xml:space="preserve">And the same comparison is not stated twice.</w:t>
      </w:r>
      <w:r>
        <w:t xml:space="preserve"> On </w:t>
      </w:r>
      <w:r>
        <w:rPr>
          <w:i/>
          <w:iCs/>
        </w:rPr>
        <w:t xml:space="preserve">FY26 vs Target</w:t>
      </w:r>
      <w:r>
        <w:t xml:space="preserve"> the card read </w:t>
      </w:r>
      <w:r>
        <w:rPr>
          <w:i/>
          <w:iCs/>
        </w:rPr>
        <w:t xml:space="preserve">"FY26 forecast (3,453) vs FY26 target (3,394) — ▲1.7%"</w:t>
      </w:r>
      <w:r>
        <w:t xml:space="preserve"> and then </w:t>
      </w:r>
      <w:r>
        <w:rPr>
          <w:i/>
          <w:iCs/>
        </w:rPr>
        <w:t xml:space="preserve">"FY outlook (3,453) vs target (3,394) — ▲1.7%"</w:t>
      </w:r>
      <w:r>
        <w:t xml:space="preserve">: one fact, twice, inviting the reader to look for a second that is not there. The full-year gap is dropped where the selected basis already </w:t>
      </w:r>
      <w:r>
        <w:rPr>
          <w:i/>
          <w:iCs/>
        </w:rPr>
        <w:t xml:space="preserve">is</w:t>
      </w:r>
      <w:r>
        <w:t xml:space="preserve"> the full-year gap — that selection picks </w:t>
      </w:r>
      <w:r>
        <w:rPr>
          <w:rFonts w:ascii="Consolas" w:cs="Consolas" w:eastAsia="Consolas" w:hAnsi="Consolas"/>
          <w:shd w:fill="F2F1ED" w:val="clear"/>
        </w:rPr>
        <w:t xml:space="preserve">[fyMain, target]</w:t>
      </w:r>
      <w:r>
        <w:t xml:space="preserve">, so its base is the FY target itself. A </w:t>
      </w:r>
      <w:r>
        <w:rPr>
          <w:i/>
          <w:iCs/>
        </w:rPr>
        <w:t xml:space="preserve">YTD vs Target</w:t>
      </w:r>
      <w:r>
        <w:t xml:space="preserve"> selection picks </w:t>
      </w:r>
      <w:r>
        <w:rPr>
          <w:rFonts w:ascii="Consolas" w:cs="Consolas" w:eastAsia="Consolas" w:hAnsi="Consolas"/>
          <w:shd w:fill="F2F1ED" w:val="clear"/>
        </w:rPr>
        <w:t xml:space="preserve">ytdTgt</w:t>
      </w:r>
      <w:r>
        <w:t xml:space="preserve"> instead, and keeps the full-year gap beside it, because a different period is a second fact rather than the same one reworded.</w:t>
      </w:r>
    </w:p>
    <w:p>
      <w:pPr>
        <w:spacing w:after="140"/>
        <w:ind w:left="360"/>
      </w:pPr>
      <w:r>
        <w:rPr>
          <w:b/>
          <w:bCs/>
        </w:rPr>
        <w:t xml:space="preserve">A ratio is compared on the same basis as the lines beside it.</w:t>
      </w:r>
      <w:r>
        <w:t xml:space="preserve"> </w:t>
      </w:r>
      <w:r>
        <w:rPr>
          <w:rFonts w:ascii="Consolas" w:cs="Consolas" w:eastAsia="Consolas" w:hAnsi="Consolas"/>
          <w:shd w:fill="F2F1ED" w:val="clear"/>
        </w:rPr>
        <w:t xml:space="preserve">ratioKpi</w:t>
      </w:r>
      <w:r>
        <w:t xml:space="preserve"> rebuilt its headline from </w:t>
      </w:r>
      <w:r>
        <w:rPr>
          <w:rFonts w:ascii="Consolas" w:cs="Consolas" w:eastAsia="Consolas" w:hAnsi="Consolas"/>
          <w:shd w:fill="F2F1ED" w:val="clear"/>
        </w:rPr>
        <w:t xml:space="preserve">cmpMode</w:t>
      </w:r>
      <w:r>
        <w:t xml:space="preserve"> alone — and a mode is only </w:t>
      </w:r>
      <w:r>
        <w:rPr>
          <w:rFonts w:ascii="Consolas" w:cs="Consolas" w:eastAsia="Consolas" w:hAnsi="Consolas"/>
          <w:shd w:fill="F2F1ED" w:val="clear"/>
        </w:rPr>
        <w:t xml:space="preserve">py</w:t>
      </w:r>
      <w:r>
        <w:t xml:space="preserve"> / </w:t>
      </w:r>
      <w:r>
        <w:rPr>
          <w:rFonts w:ascii="Consolas" w:cs="Consolas" w:eastAsia="Consolas" w:hAnsi="Consolas"/>
          <w:shd w:fill="F2F1ED" w:val="clear"/>
        </w:rPr>
        <w:t xml:space="preserve">fc</w:t>
      </w:r>
      <w:r>
        <w:t xml:space="preserve"> / </w:t>
      </w:r>
      <w:r>
        <w:rPr>
          <w:rFonts w:ascii="Consolas" w:cs="Consolas" w:eastAsia="Consolas" w:hAnsi="Consolas"/>
          <w:shd w:fill="F2F1ED" w:val="clear"/>
        </w:rPr>
        <w:t xml:space="preserve">tgt</w:t>
      </w:r>
      <w:r>
        <w:t xml:space="preserve">, carrying no period with it. So on </w:t>
      </w:r>
      <w:r>
        <w:rPr>
          <w:i/>
          <w:iCs/>
        </w:rPr>
        <w:t xml:space="preserve">Current QTR vs PY</w:t>
      </w:r>
      <w:r>
        <w:t xml:space="preserve"> a ratio compared year-to-date against year-to-date while every ordinary tile beside it compared the quarter: two different questions answered in one panel, with nothing on screen to say which was which. It now runs the selection's own </w:t>
      </w:r>
      <w:r>
        <w:rPr>
          <w:rFonts w:ascii="Consolas" w:cs="Consolas" w:eastAsia="Consolas" w:hAnsi="Consolas"/>
          <w:shd w:fill="F2F1ED" w:val="clear"/>
        </w:rPr>
        <w:t xml:space="preserve">pick()</w:t>
      </w:r>
      <w:r>
        <w:t xml:space="preserve"> over the ratio's recomputed levels — the same call the ordinary path makes — so CER on a quarter selection reads </w:t>
      </w:r>
      <w:r>
        <w:rPr>
          <w:b/>
          <w:bCs/>
        </w:rPr>
        <w:t xml:space="preserve">0.1918</w:t>
      </w:r>
      <w:r>
        <w:t xml:space="preserve">, the quarter, not the </w:t>
      </w:r>
      <w:r>
        <w:rPr>
          <w:b/>
          <w:bCs/>
        </w:rPr>
        <w:t xml:space="preserve">0.1830</w:t>
      </w:r>
      <w:r>
        <w:t xml:space="preserve"> year-to-date it used to fall back to.</w:t>
      </w:r>
    </w:p>
    <w:p>
      <w:pPr>
        <w:spacing w:after="140"/>
        <w:ind w:left="360"/>
      </w:pPr>
      <w:r>
        <w:rPr>
          <w:b/>
          <w:bCs/>
        </w:rPr>
        <w:t xml:space="preserve">And each comparison reads the column that belongs to it.</w:t>
      </w:r>
      <w:r>
        <w:t xml:space="preserve"> A quarter figure is an actual — it is what the vs-prior-year comparison is built from. Where a file carried no </w:t>
      </w:r>
      <w:r>
        <w:rPr>
          <w:i/>
          <w:iCs/>
        </w:rPr>
        <w:t xml:space="preserve">actual</w:t>
      </w:r>
      <w:r>
        <w:t xml:space="preserve"> quarter column, the page fell back to whatever quarter column it could find, a forecast one included, and put a forecast on one side of an actuals-to-actuals comparison without saying so.</w:t>
      </w:r>
    </w:p>
    <w:p>
      <w:pPr>
        <w:spacing w:after="140"/>
        <w:ind w:left="360"/>
      </w:pPr>
      <w:r>
        <w:t xml:space="preserve">On a file whose only Q2 column is </w:t>
      </w:r>
      <w:r>
        <w:rPr>
          <w:rFonts w:ascii="Consolas" w:cs="Consolas" w:eastAsia="Consolas" w:hAnsi="Consolas"/>
          <w:shd w:fill="F2F1ED" w:val="clear"/>
        </w:rPr>
        <w:t xml:space="preserve">Q2-26 Forecast</w:t>
      </w:r>
      <w:r>
        <w:t xml:space="preserve">, "Q2 2026 vs Q2 2025" read </w:t>
      </w:r>
      <w:r>
        <w:rPr>
          <w:b/>
          <w:bCs/>
        </w:rPr>
        <w:t xml:space="preserve">9,999 against 240</w:t>
      </w:r>
      <w:r>
        <w:t xml:space="preserve"> — a 4,000% movement out of nothing. It now reads the three actual months, 300 against 240. An actual quarter column is still preferred over adding months where the file has one, which on a balance sheet is the difference between a closing position and three times it.</w:t>
      </w:r>
    </w:p>
    <w:p>
      <w:pPr>
        <w:spacing w:after="140"/>
        <w:ind w:left="360"/>
      </w:pPr>
      <w:r>
        <w:t xml:space="preserve">Following the selection means following it in both directions: choose a target or forecast basis and the commentary talks about target or forecast, because that is what was asked for. The </w:t>
      </w:r>
      <w:r>
        <w:rPr>
          <w:b/>
          <w:bCs/>
        </w:rPr>
        <w:t xml:space="preserve">Commentary — all bases</w:t>
      </w:r>
      <w:r>
        <w:t xml:space="preserve"> view is unchanged and still surveys all six: surveying every basis is its purpose, and it is a different question from the one the summary answers.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 — </w:t>
      </w:r>
      <w:r>
        <w:rPr>
          <w:b/>
          <w:bCs/>
        </w:rPr>
        <w:t xml:space="preserve">as long as the rows that would be added to each other agree on their scale.</w:t>
      </w:r>
    </w:p>
    <w:p>
      <w:pPr>
        <w:spacing w:after="140"/>
        <w:ind w:left="360"/>
      </w:pPr>
      <w:r>
        <w:rPr>
          <w:b/>
          <w:bCs/>
        </w:rPr>
        <w:t xml:space="preserve">Rows the file itself states at different scales are not added as they stand.</w:t>
      </w:r>
      <w:r>
        <w:t xml:space="preserve"> </w:t>
      </w:r>
      <w:r>
        <w:rPr>
          <w:rFonts w:ascii="Consolas" w:cs="Consolas" w:eastAsia="Consolas" w:hAnsi="Consolas"/>
          <w:shd w:fill="F2F1ED" w:val="clear"/>
        </w:rPr>
        <w:t xml:space="preserve">sumCols</w:t>
      </w:r>
      <w:r>
        <w:t xml:space="preserve"> adds the figures as the file holds them, which is right when a line's rows are all at one scale and wrong when they are not: 500 stated in </w:t>
      </w:r>
      <w:r>
        <w:rPr>
          <w:rFonts w:ascii="Consolas" w:cs="Consolas" w:eastAsia="Consolas" w:hAnsi="Consolas"/>
          <w:shd w:fill="F2F1ED" w:val="clear"/>
        </w:rPr>
        <w:t xml:space="preserve">$mn</w:t>
      </w:r>
      <w:r>
        <w:t xml:space="preserve"> and 2 stated in </w:t>
      </w:r>
      <w:r>
        <w:rPr>
          <w:rFonts w:ascii="Consolas" w:cs="Consolas" w:eastAsia="Consolas" w:hAnsi="Consolas"/>
          <w:shd w:fill="F2F1ED" w:val="clear"/>
        </w:rPr>
        <w:t xml:space="preserve">$bn</w:t>
      </w:r>
      <w:r>
        <w:t xml:space="preserve"> are 2,500 million, and adding them as they stand says </w:t>
      </w:r>
      <w:r>
        <w:rPr>
          <w:b/>
          <w:bCs/>
        </w:rPr>
        <w:t xml:space="preserve">502</w:t>
      </w:r>
      <w:r>
        <w:t xml:space="preserve"> — a figure that looks perfectly ordinary and is wrong by a factor of five.</w:t>
      </w:r>
    </w:p>
    <w:p>
      <w:pPr>
        <w:spacing w:after="140"/>
        <w:ind w:left="360"/>
      </w:pPr>
      <w:r>
        <w:t xml:space="preserve">The ingest report already told the reader that no total is drawn across a line whose rows disagree on their unit; the guard now makes that true, because it reads the row's own </w:t>
      </w:r>
      <w:r>
        <w:rPr>
          <w:rFonts w:ascii="Consolas" w:cs="Consolas" w:eastAsia="Consolas" w:hAnsi="Consolas"/>
          <w:shd w:fill="F2F1ED" w:val="clear"/>
        </w:rPr>
        <w:t xml:space="preserve">Unit</w:t>
      </w:r>
      <w:r>
        <w:t xml:space="preserve"> cell rather than only what the pack declares the line to be. Such a parent shows </w:t>
      </w:r>
      <w:r>
        <w:rPr>
          <w:rFonts w:ascii="Consolas" w:cs="Consolas" w:eastAsia="Consolas" w:hAnsi="Consolas"/>
          <w:shd w:fill="F2F1ED" w:val="clear"/>
        </w:rPr>
        <w:t xml:space="preserve">–</w:t>
      </w:r>
      <w:r>
        <w:t xml:space="preserve"> and says </w:t>
      </w:r>
      <w:r>
        <w:rPr>
          <w:i/>
          <w:iCs/>
        </w:rPr>
        <w:t xml:space="preserve">"the file states this line in US$m and US$bn — figures at two scales are not added as they stand"</w:t>
      </w:r>
      <w:r>
        <w:t xml:space="preserve">.</w:t>
      </w:r>
    </w:p>
    <w:p>
      <w:pPr>
        <w:spacing w:after="140"/>
        <w:ind w:left="360"/>
      </w:pPr>
      <w:r>
        <w:t xml:space="preserve">A P&amp;L stated in millions beside balances stated in billions is </w:t>
      </w:r>
      <w:r>
        <w:rPr>
          <w:b/>
          <w:bCs/>
        </w:rPr>
        <w:t xml:space="preserve">ordinary and untouched</w:t>
      </w:r>
      <w:r>
        <w:t xml:space="preserve">: those two are never summed into one figure anyway — the statement keeps them apart, not the scale — so each side is judged against itself. Where a scope clashes on </w:t>
      </w:r>
      <w:r>
        <w:rPr>
          <w:i/>
          <w:iCs/>
        </w:rPr>
        <w:t xml:space="preserve">kind</w:t>
      </w:r>
      <w:r>
        <w:t xml:space="preserve"> as well as scale, the kind is what is said: a ratio, a count and money added together is the deeper fault.</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2026-08-19T07:17:45.263Z</dcterms:created>
  <dcterms:modified xsi:type="dcterms:W3CDTF">2026-08-19T07:17:45.263Z</dcterms:modified>
</cp:coreProperties>
</file>

<file path=docProps/custom.xml><?xml version="1.0" encoding="utf-8"?>
<Properties xmlns="http://schemas.openxmlformats.org/officeDocument/2006/custom-properties" xmlns:vt="http://schemas.openxmlformats.org/officeDocument/2006/docPropsVTypes"/>
</file>