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t xml:space="preserve">The left pane carries a </w:t>
      </w:r>
      <w:r>
        <w:rPr>
          <w:b/>
          <w:bCs/>
        </w:rPr>
        <w:t xml:space="preserve">Business performance</w:t>
      </w:r>
      <w:r>
        <w:t xml:space="preserve"> section — the consolidation shown as evidence: a rollup tree on the result line (countries under their region, regions under their Global business, the Group at the foot) where every block casts exactly as displayed — the rounding point lands on the largest row, and the Group line reads exactly what its tile reads. A lone country that would just rename its region is skipped; rows no business mapping claims appear as an Unallocated line so the tree always adds up.</w:t>
      </w:r>
    </w:p>
    <w:p>
      <w:pPr>
        <w:spacing w:after="140"/>
      </w:pPr>
      <w:r>
        <w:t xml:space="preserve">Its </w:t>
      </w:r>
      <w:r>
        <w:rPr>
          <w:b/>
          <w:bCs/>
        </w:rPr>
        <w:t xml:space="preserve">Export to Excel</w:t>
      </w:r>
      <w:r>
        <w:t xml:space="preserve"> writes the full table: one column per KPI tile on the grid (Revenue, ECL, the cost lines…, the same names and the same netting), one row per business / region / country. A line a group defines no reading for (a per-business Definition it never wrote) is blank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 The section reads the whole tree whatever geography is scoped elsewhere, and hides on a single-business file.</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2026-08-15T19:51:49.546Z</dcterms:created>
  <dcterms:modified xsi:type="dcterms:W3CDTF">2026-08-15T19:51:49.547Z</dcterms:modified>
</cp:coreProperties>
</file>

<file path=docProps/custom.xml><?xml version="1.0" encoding="utf-8"?>
<Properties xmlns="http://schemas.openxmlformats.org/officeDocument/2006/custom-properties" xmlns:vt="http://schemas.openxmlformats.org/officeDocument/2006/docPropsVTypes"/>
</file>