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Product Level   | Tile</w:t>
      </w:r>
    </w:p>
    <w:p>
      <w:pPr>
        <w:shd w:fill="F2F1ED" w:val="clear"/>
        <w:spacing w:after="0"/>
      </w:pPr>
      <w:r>
        <w:rPr>
          <w:rFonts w:ascii="Consolas" w:cs="Consolas" w:eastAsia="Consolas" w:hAnsi="Consolas"/>
          <w:sz w:val="18"/>
          <w:szCs w:val="18"/>
        </w:rPr>
        <w:t xml:space="preserve">Banking NII  | IWPB     | Revenue                |   +     |    L2      |                 |</w:t>
      </w:r>
    </w:p>
    <w:p>
      <w:pPr>
        <w:shd w:fill="F2F1ED" w:val="clear"/>
        <w:spacing w:after="0"/>
      </w:pPr>
      <w:r>
        <w:rPr>
          <w:rFonts w:ascii="Consolas" w:cs="Consolas" w:eastAsia="Consolas" w:hAnsi="Consolas"/>
          <w:sz w:val="18"/>
          <w:szCs w:val="18"/>
        </w:rPr>
        <w:t xml:space="preserve">Banking NII  | IWPB     | Net Insurance Revenue  |   −     |    L3      | Product_Level_7 |</w:t>
      </w:r>
    </w:p>
    <w:p>
      <w:pPr>
        <w:shd w:fill="F2F1ED" w:val="clear"/>
        <w:spacing w:after="0"/>
      </w:pPr>
      <w:r>
        <w:rPr>
          <w:rFonts w:ascii="Consolas" w:cs="Consolas" w:eastAsia="Consolas" w:hAnsi="Consolas"/>
          <w:sz w:val="18"/>
          <w:szCs w:val="18"/>
        </w:rPr>
        <w:t xml:space="preserve">Banking NII  | CIB      | Banking NII            |   +     |   accH3    |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rPr>
          <w:b/>
          <w:bCs/>
        </w:rPr>
        <w:t xml:space="preserve">Product Level</w:t>
      </w:r>
      <w:r>
        <w:t xml:space="preserve"> qualifies a component further: a bare column name lets the line be found in that column too, </w:t>
      </w:r>
      <w:r>
        <w:rPr>
          <w:rFonts w:ascii="Consolas" w:cs="Consolas" w:eastAsia="Consolas" w:hAnsi="Consolas"/>
          <w:shd w:fill="F2F1ED" w:val="clear"/>
        </w:rPr>
        <w:t xml:space="preserve">Product_Level_7 = Wealth</w:t>
      </w:r>
      <w:r>
        <w:t xml:space="preserve"> restricts it to rows holding that value. A </w:t>
      </w:r>
      <w:r>
        <w:rPr>
          <w:rFonts w:ascii="Consolas" w:cs="Consolas" w:eastAsia="Consolas" w:hAnsi="Consolas"/>
          <w:shd w:fill="F2F1ED" w:val="clear"/>
        </w:rPr>
        <w:t xml:space="preserve">−</w:t>
      </w:r>
      <w:r>
        <w:t xml:space="preserve"> line </w:t>
      </w:r>
      <w:r>
        <w:rPr>
          <w:b/>
          <w:bCs/>
        </w:rPr>
        <w:t xml:space="preserve">inside</w:t>
      </w:r>
      <w:r>
        <w:t xml:space="preserve"> the base is removed from the selection; one </w:t>
      </w:r>
      <w:r>
        <w:rPr>
          <w:b/>
          <w:bCs/>
        </w:rPr>
        <w:t xml:space="preserve">outside</w:t>
      </w:r>
      <w:r>
        <w:t xml:space="preserve"> it — insurance carved out of </w:t>
      </w:r>
      <w:r>
        <w:rPr>
          <w:rFonts w:ascii="Consolas" w:cs="Consolas" w:eastAsia="Consolas" w:hAnsi="Consolas"/>
          <w:shd w:fill="F2F1ED" w:val="clear"/>
        </w:rPr>
        <w:t xml:space="preserve">NII - Net Interest Income</w:t>
      </w:r>
      <w:r>
        <w:t xml:space="preserve"> rather than out of </w:t>
      </w:r>
      <w:r>
        <w:rPr>
          <w:rFonts w:ascii="Consolas" w:cs="Consolas" w:eastAsia="Consolas" w:hAnsi="Consolas"/>
          <w:shd w:fill="F2F1ED" w:val="clear"/>
        </w:rPr>
        <w:t xml:space="preserve">Revenue</w:t>
      </w:r>
      <w:r>
        <w:t xml:space="preserve"> — has its value subtracted instead, since there is nothing there to remove. Both read as </w:t>
      </w:r>
      <w:r>
        <w:rPr>
          <w:i/>
          <w:iCs/>
        </w:rPr>
        <w:t xml:space="preserve">the base, less that line</w:t>
      </w:r>
      <w:r>
        <w:t xml:space="preserve">, and the ingest report says which applied.</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How a component names its line.</w:t>
      </w:r>
      <w:r>
        <w:t xml:space="preserve"> The </w:t>
      </w:r>
      <w:r>
        <w:rPr>
          <w:rFonts w:ascii="Consolas" w:cs="Consolas" w:eastAsia="Consolas" w:hAnsi="Consolas"/>
          <w:shd w:fill="F2F1ED" w:val="clear"/>
        </w:rPr>
        <w:t xml:space="preserve">MICA level</w:t>
      </w:r>
      <w:r>
        <w:t xml:space="preserve"> column names the column the line lives in, written however the extract heads it — </w:t>
      </w:r>
      <w:r>
        <w:rPr>
          <w:rFonts w:ascii="Consolas" w:cs="Consolas" w:eastAsia="Consolas" w:hAnsi="Consolas"/>
          <w:shd w:fill="F2F1ED" w:val="clear"/>
        </w:rPr>
        <w:t xml:space="preserve">L3</w:t>
      </w:r>
      <w:r>
        <w:t xml:space="preserve">, </w:t>
      </w:r>
      <w:r>
        <w:rPr>
          <w:rFonts w:ascii="Consolas" w:cs="Consolas" w:eastAsia="Consolas" w:hAnsi="Consolas"/>
          <w:shd w:fill="F2F1ED" w:val="clear"/>
        </w:rPr>
        <w:t xml:space="preserve">MICA_Level_3</w:t>
      </w:r>
      <w:r>
        <w:t xml:space="preserve">, </w:t>
      </w:r>
      <w:r>
        <w:rPr>
          <w:rFonts w:ascii="Consolas" w:cs="Consolas" w:eastAsia="Consolas" w:hAnsi="Consolas"/>
          <w:shd w:fill="F2F1ED" w:val="clear"/>
        </w:rPr>
        <w:t xml:space="preserve">Product_Level_7</w:t>
      </w:r>
      <w:r>
        <w:t xml:space="preserve">, </w:t>
      </w:r>
      <w:r>
        <w:rPr>
          <w:rFonts w:ascii="Consolas" w:cs="Consolas" w:eastAsia="Consolas" w:hAnsi="Consolas"/>
          <w:shd w:fill="F2F1ED" w:val="clear"/>
        </w:rPr>
        <w:t xml:space="preserve">CG_Level_2</w:t>
      </w:r>
      <w:r>
        <w:t xml:space="preserve">, </w:t>
      </w:r>
      <w:r>
        <w:rPr>
          <w:rFonts w:ascii="Consolas" w:cs="Consolas" w:eastAsia="Consolas" w:hAnsi="Consolas"/>
          <w:shd w:fill="F2F1ED" w:val="clear"/>
        </w:rPr>
        <w:t xml:space="preserve">Function_Level_1</w:t>
      </w:r>
      <w:r>
        <w:t xml:space="preserve">, </w:t>
      </w:r>
      <w:r>
        <w:rPr>
          <w:rFonts w:ascii="Consolas" w:cs="Consolas" w:eastAsia="Consolas" w:hAnsi="Consolas"/>
          <w:shd w:fill="F2F1ED" w:val="clear"/>
        </w:rPr>
        <w:t xml:space="preserve">accH3</w:t>
      </w:r>
      <w:r>
        <w:t xml:space="preserve"> all resolve. An optional </w:t>
      </w:r>
      <w:r>
        <w:rPr>
          <w:b/>
          <w:bCs/>
        </w:rPr>
        <w:t xml:space="preserve">`Product Level`</w:t>
      </w:r>
      <w:r>
        <w:t xml:space="preserve"> column qualifies the component further, in either of two forms: a bare column name (</w:t>
      </w:r>
      <w:r>
        <w:rPr>
          <w:rFonts w:ascii="Consolas" w:cs="Consolas" w:eastAsia="Consolas" w:hAnsi="Consolas"/>
          <w:shd w:fill="F2F1ED" w:val="clear"/>
        </w:rPr>
        <w:t xml:space="preserve">Product_Level_7</w:t>
      </w:r>
      <w:r>
        <w:t xml:space="preserve">) lets the same line be found in that column as well, for a pack whose line sits in the product hierarchy rather than the MICA one; and </w:t>
      </w:r>
      <w:r>
        <w:rPr>
          <w:rFonts w:ascii="Consolas" w:cs="Consolas" w:eastAsia="Consolas" w:hAnsi="Consolas"/>
          <w:shd w:fill="F2F1ED" w:val="clear"/>
        </w:rPr>
        <w:t xml:space="preserve">Product_Level_7 = Wealth</w:t>
      </w:r>
      <w:r>
        <w:t xml:space="preserve"> restricts the component to rows holding that value. The sheet is read by its headings, so a column may be added or moved without shifting the ones behind it.</w:t>
      </w:r>
    </w:p>
    <w:p>
      <w:pPr>
        <w:spacing w:after="140"/>
        <w:ind w:left="360"/>
      </w:pPr>
      <w:r>
        <w:rPr>
          <w:b/>
          <w:bCs/>
        </w:rPr>
        <w:t xml:space="preserve">What `−` does.</w:t>
      </w:r>
      <w:r>
        <w:t xml:space="preserve"> It reads as one sentence — </w:t>
      </w:r>
      <w:r>
        <w:rPr>
          <w:i/>
          <w:iCs/>
        </w:rPr>
        <w:t xml:space="preserve">the base, less that line</w:t>
      </w:r>
      <w:r>
        <w:t xml:space="preserve"> — and takes whichever of two forms the data calls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Where the line taken out sits</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b/>
                <w:bCs/>
              </w:rPr>
              <w:t xml:space="preserve">inside the base</w:t>
            </w:r>
            <w:r>
              <w:t xml:space="preserve"> — </w:t>
            </w:r>
            <w:r>
              <w:rPr>
                <w:rFonts w:ascii="Consolas" w:cs="Consolas" w:eastAsia="Consolas" w:hAnsi="Consolas"/>
                <w:shd w:fill="F2F1ED" w:val="clear"/>
              </w:rPr>
              <w:t xml:space="preserve">Net Insurance Revenue</w:t>
            </w:r>
            <w:r>
              <w:t xml:space="preserve"> carved out of </w:t>
            </w:r>
            <w:r>
              <w:rPr>
                <w:rFonts w:ascii="Consolas" w:cs="Consolas" w:eastAsia="Consolas" w:hAnsi="Consolas"/>
                <w:shd w:fill="F2F1ED" w:val="clear"/>
              </w:rPr>
              <w:t xml:space="preserve">Revenue</w:t>
            </w:r>
          </w:p>
        </w:tc>
        <w:tc>
          <w:tcPr>
            <w:tcMar>
              <w:top w:type="dxa" w:w="60"/>
              <w:left w:type="dxa" w:w="100"/>
              <w:bottom w:type="dxa" w:w="60"/>
              <w:right w:type="dxa" w:w="100"/>
            </w:tcMar>
          </w:tcPr>
          <w:p>
            <w:pPr>
              <w:spacing w:after="0"/>
            </w:pPr>
            <w:r>
              <w:t xml:space="preserve">its rows are </w:t>
            </w:r>
            <w:r>
              <w:rPr>
                <w:b/>
                <w:bCs/>
              </w:rPr>
              <w:t xml:space="preserve">removed from the selection</w:t>
            </w:r>
          </w:p>
        </w:tc>
      </w:tr>
      <w:tr>
        <w:tc>
          <w:tcPr>
            <w:tcMar>
              <w:top w:type="dxa" w:w="60"/>
              <w:left w:type="dxa" w:w="100"/>
              <w:bottom w:type="dxa" w:w="60"/>
              <w:right w:type="dxa" w:w="100"/>
            </w:tcMar>
          </w:tcPr>
          <w:p>
            <w:pPr>
              <w:spacing w:after="0"/>
            </w:pPr>
            <w:r>
              <w:rPr>
                <w:b/>
                <w:bCs/>
              </w:rPr>
              <w:t xml:space="preserve">outside the base</w:t>
            </w:r>
            <w:r>
              <w:t xml:space="preserve"> — the same line carved out of </w:t>
            </w:r>
            <w:r>
              <w:rPr>
                <w:rFonts w:ascii="Consolas" w:cs="Consolas" w:eastAsia="Consolas" w:hAnsi="Consolas"/>
                <w:shd w:fill="F2F1ED" w:val="clear"/>
              </w:rPr>
              <w:t xml:space="preserve">NII - Net Interest Income</w:t>
            </w:r>
          </w:p>
        </w:tc>
        <w:tc>
          <w:tcPr>
            <w:tcMar>
              <w:top w:type="dxa" w:w="60"/>
              <w:left w:type="dxa" w:w="100"/>
              <w:bottom w:type="dxa" w:w="60"/>
              <w:right w:type="dxa" w:w="100"/>
            </w:tcMar>
          </w:tcPr>
          <w:p>
            <w:pPr>
              <w:spacing w:after="0"/>
            </w:pPr>
            <w:r>
              <w:t xml:space="preserve">there is nothing to remove, so its </w:t>
            </w:r>
            <w:r>
              <w:rPr>
                <w:b/>
                <w:bCs/>
              </w:rPr>
              <w:t xml:space="preserve">value is subtracted</w:t>
            </w:r>
          </w:p>
        </w:tc>
      </w:tr>
    </w:tbl>
    <w:p>
      <w:pPr>
        <w:spacing w:after="160"/>
      </w:pPr>
    </w:p>
    <w:p>
      <w:pPr>
        <w:spacing w:after="140"/>
        <w:ind w:left="360"/>
      </w:pPr>
      <w:r>
        <w:t xml:space="preserve">Both give "the base less that line". The second is carried as a row of its own, named </w:t>
      </w:r>
      <w:r>
        <w:rPr>
          <w:rFonts w:ascii="Consolas" w:cs="Consolas" w:eastAsia="Consolas" w:hAnsi="Consolas"/>
          <w:shd w:fill="F2F1ED" w:val="clear"/>
        </w:rPr>
        <w:t xml:space="preserve">less &lt;line&gt;</w:t>
      </w:r>
      <w:r>
        <w:t xml:space="preserve">, so every figure downstream sums it exactly as it sums everything else and a drill-down shows it rather than hiding it. The ingest report says which form applied and what it was worth. Note that where the line removed is itself negative, "less" </w:t>
      </w:r>
      <w:r>
        <w:rPr>
          <w:b/>
          <w:bCs/>
        </w:rPr>
        <w:t xml:space="preserve">raises</w:t>
      </w:r>
      <w:r>
        <w:t xml:space="preserve"> the total — insurance at (396) taken out of NII of 1,100 gives 1,496 — which is arithmetic, not a fault.</w:t>
      </w:r>
    </w:p>
    <w:p>
      <w:pPr>
        <w:spacing w:after="140"/>
        <w:ind w:left="360"/>
      </w:pPr>
      <w:r>
        <w:rPr>
          <w:b/>
          <w:bCs/>
        </w:rPr>
        <w:t xml:space="preserve">A metric must equal what it says it is.</w:t>
      </w:r>
      <w:r>
        <w:t xml:space="preserve"> Where a definition starts from a line — </w:t>
      </w:r>
      <w:r>
        <w:rPr>
          <w:rFonts w:ascii="Consolas" w:cs="Consolas" w:eastAsia="Consolas" w:hAnsi="Consolas"/>
          <w:shd w:fill="F2F1ED" w:val="clear"/>
        </w:rPr>
        <w:t xml:space="preserve">Banking NII = Revenue less Net Insurance Revenue</w:t>
      </w:r>
      <w:r>
        <w:t xml:space="preserve"> — the ingest report tests that identity on the loaded file, per business: the metric's own rows against the line less the rows taken out. It is the identity that is checked, not the sizes, because where the line taken out is itself negative the metric </w:t>
      </w:r>
      <w:r>
        <w:rPr>
          <w:i/>
          <w:iCs/>
        </w:rPr>
        <w:t xml:space="preserve">should</w:t>
      </w:r>
      <w:r>
        <w:t xml:space="preserve"> come out above its base. Two things can be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What the report finds</w:t>
            </w:r>
          </w:p>
        </w:tc>
        <w:tc>
          <w:tcPr>
            <w:shd w:fill="F7E9EA" w:val="clear"/>
            <w:tcMar>
              <w:top w:type="dxa" w:w="60"/>
              <w:left w:type="dxa" w:w="100"/>
              <w:bottom w:type="dxa" w:w="60"/>
              <w:right w:type="dxa" w:w="100"/>
            </w:tcMar>
          </w:tcPr>
          <w:p>
            <w:r>
              <w:rPr>
                <w:b/>
                <w:bCs/>
                <w:color w:val="DB0011"/>
              </w:rPr>
              <w:t xml:space="preserve">What it says</w:t>
            </w:r>
          </w:p>
        </w:tc>
      </w:tr>
      <w:tr>
        <w:tc>
          <w:tcPr>
            <w:tcMar>
              <w:top w:type="dxa" w:w="60"/>
              <w:left w:type="dxa" w:w="100"/>
              <w:bottom w:type="dxa" w:w="60"/>
              <w:right w:type="dxa" w:w="100"/>
            </w:tcMar>
          </w:tcPr>
          <w:p>
            <w:pPr>
              <w:spacing w:after="0"/>
            </w:pPr>
            <w:r>
              <w:t xml:space="preserve">the identity fails</w:t>
            </w:r>
          </w:p>
        </w:tc>
        <w:tc>
          <w:tcPr>
            <w:tcMar>
              <w:top w:type="dxa" w:w="60"/>
              <w:left w:type="dxa" w:w="100"/>
              <w:bottom w:type="dxa" w:w="60"/>
              <w:right w:type="dxa" w:w="100"/>
            </w:tcMar>
          </w:tcPr>
          <w:p>
            <w:pPr>
              <w:spacing w:after="0"/>
            </w:pPr>
            <w:r>
              <w:rPr>
                <w:i/>
                <w:iCs/>
              </w:rPr>
              <w:t xml:space="preserve">"</w:t>
            </w:r>
            <w:r>
              <w:rPr>
                <w:i/>
                <w:iCs/>
              </w:rPr>
              <w:t xml:space="preserve">Banking NII (IWPB) reads 812 where Revenue less what it excludes is 750</w:t>
            </w:r>
            <w:r>
              <w:t xml:space="preserve">* — its selection reaches rows outside Revenue."*</w:t>
            </w:r>
          </w:p>
        </w:tc>
      </w:tr>
      <w:tr>
        <w:tc>
          <w:tcPr>
            <w:tcMar>
              <w:top w:type="dxa" w:w="60"/>
              <w:left w:type="dxa" w:w="100"/>
              <w:bottom w:type="dxa" w:w="60"/>
              <w:right w:type="dxa" w:w="100"/>
            </w:tcMar>
          </w:tcPr>
          <w:p>
            <w:pPr>
              <w:spacing w:after="0"/>
            </w:pPr>
            <w:r>
              <w:t xml:space="preserve">the identity holds, but the metric is above its base because the excluded line is negative</w:t>
            </w:r>
          </w:p>
        </w:tc>
        <w:tc>
          <w:tcPr>
            <w:tcMar>
              <w:top w:type="dxa" w:w="60"/>
              <w:left w:type="dxa" w:w="100"/>
              <w:bottom w:type="dxa" w:w="60"/>
              <w:right w:type="dxa" w:w="100"/>
            </w:tcMar>
          </w:tcPr>
          <w:p>
            <w:pPr>
              <w:spacing w:after="0"/>
            </w:pPr>
            <w:r>
              <w:rPr>
                <w:i/>
                <w:iCs/>
              </w:rPr>
              <w:t xml:space="preserve">"Banking NII (IWPB) reads 1,146, above Revenue at 750, because Net Insurance Revenue is itself negative at (396) — taking it out raises the total. The definition is doing what it says."</w:t>
            </w:r>
          </w:p>
        </w:tc>
      </w:tr>
    </w:tbl>
    <w:p>
      <w:pPr>
        <w:spacing w:after="160"/>
      </w:pPr>
    </w:p>
    <w:p>
      <w:pPr>
        <w:spacing w:after="140"/>
        <w:ind w:left="360"/>
      </w:pPr>
      <w:r>
        <w:t xml:space="preserve">The first is bold, because it is a fault to look into; the second is plain, because it is arithmetic and needs only to be understood.</w:t>
      </w:r>
    </w:p>
    <w:p>
      <w:pPr>
        <w:spacing w:after="140"/>
        <w:ind w:left="360"/>
      </w:pPr>
      <w:r>
        <w:rPr>
          <w:b/>
          <w:bCs/>
        </w:rPr>
        <w:t xml:space="preserve">A count is not money either.</w:t>
      </w:r>
      <w:r>
        <w:t xml:space="preserve"> </w:t>
      </w:r>
      <w:r>
        <w:rPr>
          <w:rFonts w:ascii="Consolas" w:cs="Consolas" w:eastAsia="Consolas" w:hAnsi="Consolas"/>
          <w:shd w:fill="F2F1ED" w:val="clear"/>
        </w:rPr>
        <w:t xml:space="preserve">count_patterns</w:t>
      </w:r>
      <w:r>
        <w:t xml:space="preserve"> (default: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count(s)</w:t>
      </w:r>
      <w:r>
        <w:t xml:space="preserve">, </w:t>
      </w:r>
      <w:r>
        <w:rPr>
          <w:rFonts w:ascii="Consolas" w:cs="Consolas" w:eastAsia="Consolas" w:hAnsi="Consolas"/>
          <w:shd w:fill="F2F1ED" w:val="clear"/>
        </w:rPr>
        <w:t xml:space="preserve">customers</w:t>
      </w:r>
      <w:r>
        <w:t xml:space="preserve">, </w:t>
      </w:r>
      <w:r>
        <w:rPr>
          <w:rFonts w:ascii="Consolas" w:cs="Consolas" w:eastAsia="Consolas" w:hAnsi="Consolas"/>
          <w:shd w:fill="F2F1ED" w:val="clear"/>
        </w:rPr>
        <w:t xml:space="preserve">nos</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heads</w:t>
      </w:r>
      <w:r>
        <w:t xml:space="preserve">) names the lines that are a number of things rather than an amount of money. Such a line is printed as a plain number — no currency, no restatement into millions or billions because its rows sit under a Key Metrics or memo heading — and it never joins a money total. This is what the </w:t>
      </w:r>
      <w:r>
        <w:rPr>
          <w:rFonts w:ascii="Consolas" w:cs="Consolas" w:eastAsia="Consolas" w:hAnsi="Consolas"/>
          <w:shd w:fill="F2F1ED" w:val="clear"/>
        </w:rPr>
        <w:t xml:space="preserve">Unit</w:t>
      </w:r>
      <w:r>
        <w:t xml:space="preserve"> column says explicitly where a file carries one; the patterns are how a file that carries no units is still read correctly.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used to sit in </w:t>
      </w:r>
      <w:r>
        <w:rPr>
          <w:rFonts w:ascii="Consolas" w:cs="Consolas" w:eastAsia="Consolas" w:hAnsi="Consolas"/>
          <w:shd w:fill="F2F1ED" w:val="clear"/>
        </w:rPr>
        <w:t xml:space="preserve">ratio_patterns</w:t>
      </w:r>
      <w:r>
        <w:t xml:space="preserve">, which made a headcount a ratio; they now have their own setting.)</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2026-08-18T11:23:29.519Z</dcterms:created>
  <dcterms:modified xsi:type="dcterms:W3CDTF">2026-08-18T11:23:29.520Z</dcterms:modified>
</cp:coreProperties>
</file>

<file path=docProps/custom.xml><?xml version="1.0" encoding="utf-8"?>
<Properties xmlns="http://schemas.openxmlformats.org/officeDocument/2006/custom-properties" xmlns:vt="http://schemas.openxmlformats.org/officeDocument/2006/docPropsVTypes"/>
</file>