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TM1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TM1 extract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TM1 extract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TM1 extract can carry </w:t>
      </w:r>
      <w:r>
        <w:rPr>
          <w:b/>
          <w:bCs/>
        </w:rPr>
        <w:t xml:space="preserve">one country per tab</w:t>
      </w:r>
      <w:r>
        <w:t xml:space="preserve">: every tab that parses as a TM1 extract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w:t>
      </w:r>
    </w:p>
    <w:p>
      <w:pPr>
        <w:spacing w:after="140"/>
      </w:pPr>
      <w:r>
        <w:rPr>
          <w:b/>
          <w:bCs/>
        </w:rPr>
        <w:t xml:space="preserve">The consolidated Group.</w:t>
      </w:r>
      <w:r>
        <w:t xml:space="preserve"> A regional workbook often carries the Group on its own tab, and the Group is </w:t>
      </w:r>
      <w:r>
        <w:rPr>
          <w:i/>
          <w:iCs/>
        </w:rPr>
        <w:t xml:space="preserve">not</w:t>
      </w:r>
      <w:r>
        <w:t xml:space="preserve"> the sum of the countries — eliminations and central items live only in the consolidation. A tab whose name matches </w:t>
      </w:r>
      <w:r>
        <w:rPr>
          <w:rFonts w:ascii="Consolas" w:cs="Consolas" w:eastAsia="Consolas" w:hAnsi="Consolas"/>
          <w:shd w:fill="F2F1ED" w:val="clear"/>
        </w:rPr>
        <w:t xml:space="preserve">group_tab_patterns</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Consol…</w:t>
      </w:r>
      <w:r>
        <w:t xml:space="preserve">, </w:t>
      </w:r>
      <w:r>
        <w:rPr>
          <w:rFonts w:ascii="Consolas" w:cs="Consolas" w:eastAsia="Consolas" w:hAnsi="Consolas"/>
          <w:shd w:fill="F2F1ED" w:val="clear"/>
        </w:rPr>
        <w:t xml:space="preserve">Group Total</w:t>
      </w:r>
      <w:r>
        <w:t xml:space="preserve"> by default) is therefore </w:t>
      </w:r>
      <w:r>
        <w:rPr>
          <w:b/>
          <w:bCs/>
        </w:rPr>
        <w:t xml:space="preserve">never merged as one more country</w:t>
      </w:r>
      <w:r>
        <w:t xml:space="preserve">, so nothing ever double counts. What happens instead is </w:t>
      </w:r>
      <w:r>
        <w:rPr>
          <w:rFonts w:ascii="Consolas" w:cs="Consolas" w:eastAsia="Consolas" w:hAnsi="Consolas"/>
          <w:shd w:fill="F2F1ED" w:val="clear"/>
        </w:rPr>
        <w:t xml:space="preserve">group_consolidation</w:t>
      </w:r>
      <w:r>
        <w:t xml:space="preserve">'s choice:</w:t>
      </w:r>
    </w:p>
    <w:p>
      <w:pPr>
        <w:spacing w:after="140"/>
        <w:ind w:left="360"/>
      </w:pPr>
      <w:r>
        <w:t xml:space="preserve">- </w:t>
      </w:r>
      <w:r>
        <w:rPr>
          <w:b/>
          <w:bCs/>
        </w:rPr>
        <w:t xml:space="preserve">`auto`</w:t>
      </w:r>
      <w:r>
        <w:t xml:space="preserve"> (default) — if the tab is present its figures speak for the Group: the unscoped page (tiles, Financial Summary, commentary, exports) and the strip's top row read the consolidation, while scoping to any country, region or business — or cutting a chart by geography — reads the country tabs, because the consolidation has no geography inside it. If no such tab exists, the Group is the roll-up of the country tabs, exactly as before. - </w:t>
      </w:r>
      <w:r>
        <w:rPr>
          <w:b/>
          <w:bCs/>
        </w:rPr>
        <w:t xml:space="preserve">`rollup`</w:t>
      </w:r>
      <w:r>
        <w:t xml:space="preserve"> — the tab is set aside and the Group is always the roll-up, for workbooks whose Group tab is stale or unwanted.</w:t>
      </w:r>
    </w:p>
    <w:p>
      <w:pPr>
        <w:spacing w:after="140"/>
        <w:ind w:left="360"/>
      </w:pPr>
      <w:r>
        <w:t xml:space="preserve">The ingest report says which way the Group was made — </w:t>
      </w:r>
      <w:r>
        <w:rPr>
          <w:i/>
          <w:iCs/>
        </w:rPr>
        <w:t xml:space="preserve">"read from the Group tab — the consolidated figures speak for the Group, and the tab is never added to the countries"</w:t>
      </w:r>
      <w:r>
        <w:t xml:space="preserve"> — so the source is never a guess.</w:t>
      </w:r>
    </w:p>
    <w:p>
      <w:pPr>
        <w:spacing w:after="140"/>
      </w:pPr>
      <w:r>
        <w:rPr>
          <w:b/>
          <w:bCs/>
        </w:rPr>
        <w:t xml:space="preserve">The tiers read as the organisation reads them.</w:t>
      </w:r>
      <w:r>
        <w:t xml:space="preserve"> Countries make a region, regions make the global business, global businesses make the Group: tabs named </w:t>
      </w:r>
      <w:r>
        <w:rPr>
          <w:rFonts w:ascii="Consolas" w:cs="Consolas" w:eastAsia="Consolas" w:hAnsi="Consolas"/>
          <w:shd w:fill="F2F1ED" w:val="clear"/>
        </w:rPr>
        <w:t xml:space="preserve">IWPB Singapore</w:t>
      </w:r>
      <w:r>
        <w:t xml:space="preserve"> and </w:t>
      </w:r>
      <w:r>
        <w:rPr>
          <w:rFonts w:ascii="Consolas" w:cs="Consolas" w:eastAsia="Consolas" w:hAnsi="Consolas"/>
          <w:shd w:fill="F2F1ED" w:val="clear"/>
        </w:rPr>
        <w:t xml:space="preserve">CIB Singapore</w:t>
      </w:r>
      <w:r>
        <w:t xml:space="preserve"> resolve through the CountryHierarchy's Level 0, the strip shows </w:t>
      </w:r>
      <w:r>
        <w:rPr>
          <w:b/>
          <w:bCs/>
        </w:rPr>
        <w:t xml:space="preserve">Group</w:t>
      </w:r>
      <w:r>
        <w:t xml:space="preserve"> on top (the consolidation where the file carries one, tagged </w:t>
      </w:r>
      <w:r>
        <w:rPr>
          <w:rFonts w:ascii="Consolas" w:cs="Consolas" w:eastAsia="Consolas" w:hAnsi="Consolas"/>
          <w:shd w:fill="F2F1ED" w:val="clear"/>
        </w:rPr>
        <w:t xml:space="preserve">CONSOL</w:t>
      </w:r>
      <w:r>
        <w:t xml:space="preserve">; the sum of the global businesses otherwise), then </w:t>
      </w:r>
      <w:r>
        <w:rPr>
          <w:b/>
          <w:bCs/>
        </w:rPr>
        <w:t xml:space="preserve">Global IWPB</w:t>
      </w:r>
      <w:r>
        <w:t xml:space="preserve"> and </w:t>
      </w:r>
      <w:r>
        <w:rPr>
          <w:b/>
          <w:bCs/>
        </w:rPr>
        <w:t xml:space="preserve">Global CIB</w:t>
      </w:r>
      <w:r>
        <w:t xml:space="preserve"> — the business rows carry the </w:t>
      </w:r>
      <w:r>
        <w:rPr>
          <w:rFonts w:ascii="Consolas" w:cs="Consolas" w:eastAsia="Consolas" w:hAnsi="Consolas"/>
          <w:shd w:fill="F2F1ED" w:val="clear"/>
        </w:rPr>
        <w:t xml:space="preserve">global_business_prefix</w:t>
      </w:r>
      <w:r>
        <w:t xml:space="preserve"> (</w:t>
      </w:r>
      <w:r>
        <w:rPr>
          <w:rFonts w:ascii="Consolas" w:cs="Consolas" w:eastAsia="Consolas" w:hAnsi="Consolas"/>
          <w:shd w:fill="F2F1ED" w:val="clear"/>
        </w:rPr>
        <w:t xml:space="preserve">Global</w:t>
      </w:r>
      <w:r>
        <w:t xml:space="preserve"> by default, blank switches it off, and the scope-bar dropdown reads the same) — each opening into its regions (tagged </w:t>
      </w:r>
      <w:r>
        <w:rPr>
          <w:rFonts w:ascii="Consolas" w:cs="Consolas" w:eastAsia="Consolas" w:hAnsi="Consolas"/>
          <w:shd w:fill="F2F1ED" w:val="clear"/>
        </w:rPr>
        <w:t xml:space="preserve">REGION</w:t>
      </w:r>
      <w:r>
        <w:t xml:space="preserve">, each the sum of its countries), with the countries in the picker beneath.</w:t>
      </w:r>
    </w:p>
    <w:p>
      <w:pPr>
        <w:spacing w:after="140"/>
      </w:pPr>
      <w:r>
        <w:t xml:space="preserve">The scope bar's </w:t>
      </w:r>
      <w:r>
        <w:rPr>
          <w:b/>
          <w:bCs/>
        </w:rPr>
        <w:t xml:space="preserve">country dropdown keeps the same association</w:t>
      </w:r>
      <w:r>
        <w:t xml:space="preserve">: countries are grouped under their </w:t>
      </w:r>
      <w:r>
        <w:rPr>
          <w:rFonts w:ascii="Consolas" w:cs="Consolas" w:eastAsia="Consolas" w:hAnsi="Consolas"/>
          <w:shd w:fill="F2F1ED" w:val="clear"/>
        </w:rPr>
        <w:t xml:space="preserve">Business · Region</w:t>
      </w:r>
      <w:r>
        <w:t xml:space="preserve"> headings rather than listed flat, and picking Singapore under </w:t>
      </w:r>
      <w:r>
        <w:rPr>
          <w:rFonts w:ascii="Consolas" w:cs="Consolas" w:eastAsia="Consolas" w:hAnsi="Consolas"/>
          <w:shd w:fill="F2F1ED" w:val="clear"/>
        </w:rPr>
        <w:t xml:space="preserve">CIB · Asia</w:t>
      </w:r>
      <w:r>
        <w:t xml:space="preserve"> scopes to CIB's Singapore, not to every Singapore. And wherever the file carries a Group consolidation, the top of the tree and the dropdowns' everything-option are named </w:t>
      </w:r>
      <w:r>
        <w:rPr>
          <w:b/>
          <w:bCs/>
        </w:rPr>
        <w:t xml:space="preserve">Group</w:t>
      </w:r>
      <w:r>
        <w:t xml:space="preserve"> — choosing it reads the consolidation, so it says so, rather than whatever the CountryHierarchy calls its Level 1.</w:t>
      </w:r>
    </w:p>
    <w:p>
      <w:pPr>
        <w:spacing w:after="140"/>
      </w:pPr>
      <w:r>
        <w:t xml:space="preserve">The hierarchy never leaks the other way: an entry with no tab in the loaded file — a country or a whole region the CountryHierarchy knows but this month's TM1 extract does not carry — is not offered in any dropdown, strip row or picker. The hierarchy places what is loaded; it never invents entries.</w:t>
      </w:r>
    </w:p>
    <w:p>
      <w:pPr>
        <w:spacing w:after="140"/>
      </w:pPr>
      <w:r>
        <w:rPr>
          <w:b/>
          <w:bCs/>
        </w:rPr>
        <w:t xml:space="preserve">Group and Global are different words for different things.</w:t>
      </w:r>
      <w:r>
        <w:t xml:space="preserve"> The </w:t>
      </w:r>
      <w:r>
        <w:rPr>
          <w:b/>
          <w:bCs/>
        </w:rPr>
        <w:t xml:space="preserve">Group</w:t>
      </w:r>
      <w:r>
        <w:t xml:space="preserve"> is every business together — summed, or read from the Group tab — so the top of a multi-business file, and of any file carrying a Group tab, is named Group. A </w:t>
      </w:r>
      <w:r>
        <w:rPr>
          <w:b/>
          <w:bCs/>
        </w:rPr>
        <w:t xml:space="preserve">Global business</w:t>
      </w:r>
      <w:r>
        <w:t xml:space="preserve"> is one business consolidated across its regions, so a single-business file with no Group tab is headed </w:t>
      </w:r>
      <w:r>
        <w:rPr>
          <w:b/>
          <w:bCs/>
        </w:rPr>
        <w:t xml:space="preserve">Global IWPB</w:t>
      </w:r>
      <w:r>
        <w:t xml:space="preserve">, never Group.</w:t>
      </w:r>
    </w:p>
    <w:p>
      <w:pPr>
        <w:spacing w:after="140"/>
      </w:pPr>
      <w:r>
        <w:rPr>
          <w:b/>
          <w:bCs/>
        </w:rPr>
        <w:t xml:space="preserve">Business groups are whatever the CountryHierarchy declares</w:t>
      </w:r>
      <w:r>
        <w:t xml:space="preserve"> — its Level 0 values. IWPB and CIB are the classic global businesses, and entity groups sit beside them as peers: the Group pack declares </w:t>
      </w:r>
      <w:r>
        <w:rPr>
          <w:b/>
          <w:bCs/>
        </w:rPr>
        <w:t xml:space="preserve">HK</w:t>
      </w:r>
      <w:r>
        <w:t xml:space="preserve">, </w:t>
      </w:r>
      <w:r>
        <w:rPr>
          <w:b/>
          <w:bCs/>
        </w:rPr>
        <w:t xml:space="preserve">UK</w:t>
      </w:r>
      <w:r>
        <w:t xml:space="preserve"> and </w:t>
      </w:r>
      <w:r>
        <w:rPr>
          <w:b/>
          <w:bCs/>
        </w:rPr>
        <w:t xml:space="preserve">Corp Centre</w:t>
      </w:r>
      <w:r>
        <w:t xml:space="preserve">, each consolidating exactly the same way — the Group is the sum of all five (Corp Centre negative and all), each group scopes every page, and per-group Definitions read each group its own way with a </w:t>
      </w:r>
      <w:r>
        <w:rPr>
          <w:rFonts w:ascii="Consolas" w:cs="Consolas" w:eastAsia="Consolas" w:hAnsi="Consolas"/>
          <w:shd w:fill="F2F1ED" w:val="clear"/>
        </w:rPr>
        <w:t xml:space="preserve">GROUP</w:t>
      </w:r>
      <w:r>
        <w:t xml:space="preserve"> row as the fallback. A bare tab named after an entity group (a tab called </w:t>
      </w:r>
      <w:r>
        <w:rPr>
          <w:rFonts w:ascii="Consolas" w:cs="Consolas" w:eastAsia="Consolas" w:hAnsi="Consolas"/>
          <w:shd w:fill="F2F1ED" w:val="clear"/>
        </w:rPr>
        <w:t xml:space="preserve">UK</w:t>
      </w:r>
      <w:r>
        <w:t xml:space="preserve">) resolves to that group even where the same name exists as a country inside another business — the country tab inside a business carries the business in its name (</w:t>
      </w:r>
      <w:r>
        <w:rPr>
          <w:rFonts w:ascii="Consolas" w:cs="Consolas" w:eastAsia="Consolas" w:hAnsi="Consolas"/>
          <w:shd w:fill="F2F1ED" w:val="clear"/>
        </w:rPr>
        <w:t xml:space="preserve">IWPB UK</w:t>
      </w:r>
      <w:r>
        <w:t xml:space="preserve">).</w:t>
      </w:r>
    </w:p>
    <w:p>
      <w:pPr>
        <w:spacing w:after="140"/>
      </w:pPr>
      <w:r>
        <w:rPr>
          <w:b/>
          <w:bCs/>
        </w:rPr>
        <w:t xml:space="preserve">Business performance</w:t>
      </w:r>
      <w:r>
        <w:t xml:space="preserve"> is its own page off the left-hand nav, beside the Financial Summary — the consolidation shown as evidence: one column per KPI tile on the grid (Revenue, ECL, the cost lines…, the same names and the same netting), one row per business / region / country with a Global subtotal per business and the Group at the foot. Every column casts exactly as displayed — the rounding point lands on the largest row of each block, and the Group line reads exactly what its tile reads. A lone country that would just rename its region is skipped.</w:t>
      </w:r>
    </w:p>
    <w:p>
      <w:pPr>
        <w:spacing w:after="140"/>
      </w:pPr>
      <w:r>
        <w:rPr>
          <w:b/>
          <w:bCs/>
        </w:rPr>
        <w:t xml:space="preserve">Every cell reads through the same scope machinery the tiles read</w:t>
      </w:r>
      <w:r>
        <w:t xml:space="preserve"> — a row's figure is exactly what the scope bar would show for that business / region / country, never a private row-selection of the page's own, so the page and the tiles cannot disagree. The Group line is what the unscoped tiles show: the file's own Group consolidation tab where it carries one, and any gap against the roll-up stands as an explicit </w:t>
      </w:r>
      <w:r>
        <w:rPr>
          <w:rFonts w:ascii="Consolas" w:cs="Consolas" w:eastAsia="Consolas" w:hAnsi="Consolas"/>
          <w:shd w:fill="F2F1ED" w:val="clear"/>
        </w:rPr>
        <w:t xml:space="preserve">Consolidation &amp; eliminations</w:t>
      </w:r>
      <w:r>
        <w:t xml:space="preserve"> line so the column still casts in plain sight.</w:t>
      </w:r>
    </w:p>
    <w:p>
      <w:pPr>
        <w:spacing w:after="140"/>
      </w:pPr>
      <w:r>
        <w:rPr>
          <w:b/>
          <w:bCs/>
        </w:rPr>
        <w:t xml:space="preserve">The rollup counts only rows the hierarchy maps</w:t>
      </w:r>
      <w:r>
        <w:t xml:space="preserve"> — the same rows the scope bar can reach. Rows without a business mapping (an </w:t>
      </w:r>
      <w:r>
        <w:rPr>
          <w:rFonts w:ascii="Consolas" w:cs="Consolas" w:eastAsia="Consolas" w:hAnsi="Consolas"/>
          <w:shd w:fill="F2F1ED" w:val="clear"/>
        </w:rPr>
        <w:t xml:space="preserve">Unallocated</w:t>
      </w:r>
      <w:r>
        <w:t xml:space="preserve"> line) and rows whose region the hierarchy never mapped — an empty region cell or the literal </w:t>
      </w:r>
      <w:r>
        <w:rPr>
          <w:rFonts w:ascii="Consolas" w:cs="Consolas" w:eastAsia="Consolas" w:hAnsi="Consolas"/>
          <w:shd w:fill="F2F1ED" w:val="clear"/>
        </w:rPr>
        <w:t xml:space="preserve">Unmapped</w:t>
      </w:r>
      <w:r>
        <w:t xml:space="preserve"> the merge stamps on a tab the CountryHierarchy cannot place (an </w:t>
      </w:r>
      <w:r>
        <w:rPr>
          <w:rFonts w:ascii="Consolas" w:cs="Consolas" w:eastAsia="Consolas" w:hAnsi="Consolas"/>
          <w:shd w:fill="F2F1ED" w:val="clear"/>
        </w:rPr>
        <w:t xml:space="preserve">(unmapped)</w:t>
      </w:r>
      <w:r>
        <w:t xml:space="preserve"> tier beside the named regions) stay visible as grey memo lines that never join the sums, so a mapping gap shows itself instead of silently inflating a Global line; setting </w:t>
      </w:r>
      <w:r>
        <w:rPr>
          <w:rFonts w:ascii="Consolas" w:cs="Consolas" w:eastAsia="Consolas" w:hAnsi="Consolas"/>
          <w:shd w:fill="F2F1ED" w:val="clear"/>
        </w:rPr>
        <w:t xml:space="preserve">bizperf_unmapped=add</w:t>
      </w:r>
      <w:r>
        <w:t xml:space="preserve"> restores adding them. Note the scope bar and this page read differently by design: the tiles obey the full geographic scope, while this page always shows the whole tree. A line a group defines no reading for (a per-business Definition it never wrote) shows a dash rather than borrowing a figure; a line that sits wholly inside another (Banking NII inside Revenue) is headed </w:t>
      </w:r>
      <w:r>
        <w:rPr>
          <w:rFonts w:ascii="Consolas" w:cs="Consolas" w:eastAsia="Consolas" w:hAnsi="Consolas"/>
          <w:shd w:fill="F2F1ED" w:val="clear"/>
        </w:rPr>
        <w:t xml:space="preserve">within Revenue</w:t>
      </w:r>
      <w:r>
        <w:t xml:space="preserve"> so nobody adds the two; balance-sheet tiles keep their own column in the balance unit as closing positions — never added into a P&amp;L column.</w:t>
      </w:r>
    </w:p>
    <w:p>
      <w:pPr>
        <w:spacing w:after="140"/>
      </w:pPr>
      <w:r>
        <w:rPr>
          <w:b/>
          <w:bCs/>
        </w:rPr>
        <w:t xml:space="preserve">Export to Excel</w:t>
      </w:r>
      <w:r>
        <w:t xml:space="preserve"> writes the same table as a workbook. The page reads the whole tree whatever geography is scoped elsewhere, and the nav link only appears on a file that carries more than one business group.</w:t>
      </w:r>
    </w:p>
    <w:p>
      <w:pPr>
        <w:spacing w:after="140"/>
      </w:pPr>
      <w:r>
        <w:t xml:space="preserve">Scoping lives in the </w:t>
      </w:r>
      <w:r>
        <w:rPr>
          <w:b/>
          <w:bCs/>
        </w:rPr>
        <w:t xml:space="preserve">top scope bar</w:t>
      </w:r>
      <w:r>
        <w:t xml:space="preserve">: the business line, region and country dropdowns beside Units (each narrowed to the level above it), with the active scope shown as removable chips on the Summary. Picking a scope there drives every page, chart, export and simulation, and clearing a chip restores the wider view.</w:t>
      </w:r>
    </w:p>
    <w:p>
      <w:pPr>
        <w:spacing w:after="140"/>
      </w:pPr>
      <w:r>
        <w:t xml:space="preserve">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100"/>
      </w:pPr>
      <w:r>
        <w:rPr>
          <w:b/>
          <w:bCs/>
        </w:rPr>
        <w:t xml:space="preserve">KPI summary</w:t>
      </w:r>
      <w:r>
        <w:t xml:space="preserve"> —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 The </w:t>
      </w:r>
      <w:r>
        <w:rPr>
          <w:b/>
          <w:bCs/>
        </w:rPr>
        <w:t xml:space="preserve">⤓ PPT</w:t>
      </w:r>
      <w:r>
        <w:t xml:space="preserve"> button beside Export to Excel produces the same tile grid as a single widescreen slide, built natively in PowerPoint.</w:t>
      </w:r>
    </w:p>
    <w:p>
      <w:pPr>
        <w:spacing w:after="100"/>
        <w:ind w:left="360"/>
      </w:pPr>
      <w:r>
        <w:t xml:space="preserve">The deck mirrors the screen exactly: the tiles the summary is showing right now, in their rendered order — a tile behind "Show all" or parked stays off the deck, and a panel the screen hides never becomes a slide — followed by the page's own commentary: the hero line, the trajectory and Mix notes where those panels are visible, and the Management Commentary on its own slides. The trajectory's note is written under the chart on the page itself — the selected line's movement against its baseline, its strongest actual month and the outlook against target — so what the deck prints is what the screen already shows, and it can be edited and kept like any other commentary block before exporting.</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 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simulation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TM1 extract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 Nothing is recalculated by hiding — a parked tile is only out of view, and the reporting pack, the Financial Summary and the KPI scorecard still carry the line in full.</w:t>
      </w:r>
    </w:p>
    <w:p>
      <w:pPr>
        <w:spacing w:after="100"/>
        <w:ind w:left="360"/>
      </w:pPr>
      <w:r>
        <w:t xml:space="preserve">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 The plain-language form is the </w:t>
      </w:r>
      <w:r>
        <w:rPr>
          <w:b/>
          <w:bCs/>
        </w:rPr>
        <w:t xml:space="preserve">Tiles</w:t>
      </w:r>
      <w:r>
        <w:t xml:space="preserve"> tab of the configuration workbook: one row per tile, </w:t>
      </w:r>
      <w:r>
        <w:rPr>
          <w:rFonts w:ascii="Consolas" w:cs="Consolas" w:eastAsia="Consolas" w:hAnsi="Consolas"/>
          <w:shd w:fill="F2F1ED" w:val="clear"/>
        </w:rPr>
        <w:t xml:space="preserve">Y</w:t>
      </w:r>
      <w:r>
        <w:t xml:space="preserve"> to show, </w:t>
      </w:r>
      <w:r>
        <w:rPr>
          <w:rFonts w:ascii="Consolas" w:cs="Consolas" w:eastAsia="Consolas" w:hAnsi="Consolas"/>
          <w:shd w:fill="F2F1ED" w:val="clear"/>
        </w:rPr>
        <w:t xml:space="preserve">N</w:t>
      </w:r>
      <w:r>
        <w:t xml:space="preserve"> to hide (a tab of only-</w:t>
      </w:r>
      <w:r>
        <w:rPr>
          <w:rFonts w:ascii="Consolas" w:cs="Consolas" w:eastAsia="Consolas" w:hAnsi="Consolas"/>
          <w:shd w:fill="F2F1ED" w:val="clear"/>
        </w:rPr>
        <w:t xml:space="preserve">Y</w:t>
      </w:r>
      <w:r>
        <w:t xml:space="preserve"> rows shows just those), and </w:t>
      </w:r>
      <w:r>
        <w:rPr>
          <w:rFonts w:ascii="Consolas" w:cs="Consolas" w:eastAsia="Consolas" w:hAnsi="Consolas"/>
          <w:shd w:fill="F2F1ED" w:val="clear"/>
        </w:rPr>
        <w:t xml:space="preserve">+</w:t>
      </w:r>
      <w:r>
        <w:t xml:space="preserve"> to </w:t>
      </w:r>
      <w:r>
        <w:rPr>
          <w:b/>
          <w:bCs/>
        </w:rPr>
        <w:t xml:space="preserve">add</w:t>
      </w:r>
      <w:r>
        <w:t xml:space="preserve"> a line the default grid does not carry — resolved from the </w:t>
      </w:r>
      <w:r>
        <w:rPr>
          <w:rFonts w:ascii="Consolas" w:cs="Consolas" w:eastAsia="Consolas" w:hAnsi="Consolas"/>
          <w:shd w:fill="F2F1ED" w:val="clear"/>
        </w:rPr>
        <w:t xml:space="preserve">Metrics</w:t>
      </w:r>
      <w:r>
        <w:t xml:space="preserve"> sheet or any MICA level, so </w:t>
      </w:r>
      <w:r>
        <w:rPr>
          <w:rFonts w:ascii="Consolas" w:cs="Consolas" w:eastAsia="Consolas" w:hAnsi="Consolas"/>
          <w:shd w:fill="F2F1ED" w:val="clear"/>
        </w:rPr>
        <w:t xml:space="preserve">Banking NII | +</w:t>
      </w:r>
      <w:r>
        <w:t xml:space="preserve"> puts Banking NII on the grid, always visible, without touching the rest. An optional </w:t>
      </w:r>
      <w:r>
        <w:rPr>
          <w:b/>
          <w:bCs/>
        </w:rPr>
        <w:t xml:space="preserve">Nets with</w:t>
      </w:r>
      <w:r>
        <w:t xml:space="preserve"> column names the lines a tile nets in.</w:t>
      </w:r>
    </w:p>
    <w:p>
      <w:pPr>
        <w:spacing w:after="100"/>
        <w:ind w:left="360"/>
      </w:pPr>
      <w:r>
        <w:t xml:space="preserve">A </w:t>
      </w:r>
      <w:r>
        <w:rPr>
          <w:rFonts w:ascii="Consolas" w:cs="Consolas" w:eastAsia="Consolas" w:hAnsi="Consolas"/>
          <w:shd w:fill="F2F1ED" w:val="clear"/>
        </w:rPr>
        <w:t xml:space="preserve">Metrics</w:t>
      </w:r>
      <w:r>
        <w:t xml:space="preserve"> row defines a named selection the grid can carry: </w:t>
      </w:r>
      <w:r>
        <w:rPr>
          <w:rFonts w:ascii="Consolas" w:cs="Consolas" w:eastAsia="Consolas" w:hAnsi="Consolas"/>
          <w:shd w:fill="F2F1ED" w:val="clear"/>
        </w:rPr>
        <w:t xml:space="preserve">dim=value</w:t>
      </w:r>
      <w:r>
        <w:t xml:space="preserve"> keeps rows, </w:t>
      </w:r>
      <w:r>
        <w:rPr>
          <w:rFonts w:ascii="Consolas" w:cs="Consolas" w:eastAsia="Consolas" w:hAnsi="Consolas"/>
          <w:shd w:fill="F2F1ED" w:val="clear"/>
        </w:rPr>
        <w:t xml:space="preserve">dim!=value</w:t>
      </w:r>
      <w:r>
        <w:t xml:space="preserve"> excludes them — so </w:t>
      </w:r>
      <w:r>
        <w:rPr>
          <w:rFonts w:ascii="Consolas" w:cs="Consolas" w:eastAsia="Consolas" w:hAnsi="Consolas"/>
          <w:shd w:fill="F2F1ED" w:val="clear"/>
        </w:rPr>
        <w:t xml:space="preserve">Banking NII</w:t>
      </w:r>
      <w:r>
        <w:t xml:space="preserve"> is defined as </w:t>
      </w:r>
      <w:r>
        <w:rPr>
          <w:rFonts w:ascii="Consolas" w:cs="Consolas" w:eastAsia="Consolas" w:hAnsi="Consolas"/>
          <w:shd w:fill="F2F1ED" w:val="clear"/>
        </w:rPr>
        <w:t xml:space="preserve">micaL2=Revenue; micaL3!=Net Insurance Revenue</w:t>
      </w:r>
      <w:r>
        <w:t xml:space="preserve">, the Revenue block less its insurance line, and every figure on the tile is computed over exactly those rows.</w:t>
      </w:r>
    </w:p>
    <w:p>
      <w:pPr>
        <w:spacing w:after="100"/>
        <w:ind w:left="360"/>
      </w:pPr>
      <w:r>
        <w:t xml:space="preserve">The same name may carry a </w:t>
      </w:r>
      <w:r>
        <w:rPr>
          <w:b/>
          <w:bCs/>
        </w:rPr>
        <w:t xml:space="preserve">different definition per business</w:t>
      </w:r>
      <w:r>
        <w:t xml:space="preserve"> — an optional </w:t>
      </w:r>
      <w:r>
        <w:rPr>
          <w:rFonts w:ascii="Consolas" w:cs="Consolas" w:eastAsia="Consolas" w:hAnsi="Consolas"/>
          <w:shd w:fill="F2F1ED" w:val="clear"/>
        </w:rPr>
        <w:t xml:space="preserve">Applies to</w:t>
      </w:r>
      <w:r>
        <w:t xml:space="preserve"> column names whose definition each row is (</w:t>
      </w:r>
      <w:r>
        <w:rPr>
          <w:rFonts w:ascii="Consolas" w:cs="Consolas" w:eastAsia="Consolas" w:hAnsi="Consolas"/>
          <w:shd w:fill="F2F1ED" w:val="clear"/>
        </w:rPr>
        <w:t xml:space="preserve">Banking NII | micaL2=Revenue; micaL3!=Net Insurance Revenue | IWPB</w:t>
      </w:r>
      <w:r>
        <w:t xml:space="preserve"> beside </w:t>
      </w:r>
      <w:r>
        <w:rPr>
          <w:rFonts w:ascii="Consolas" w:cs="Consolas" w:eastAsia="Consolas" w:hAnsi="Consolas"/>
          <w:shd w:fill="F2F1ED" w:val="clear"/>
        </w:rPr>
        <w:t xml:space="preserve">Banking NII | accH3=Banking NII | CIB</w:t>
      </w:r>
      <w:r>
        <w:t xml:space="preserve">): each business's rows are judged by the definition that business wrote, a row with no </w:t>
      </w:r>
      <w:r>
        <w:rPr>
          <w:rFonts w:ascii="Consolas" w:cs="Consolas" w:eastAsia="Consolas" w:hAnsi="Consolas"/>
          <w:shd w:fill="F2F1ED" w:val="clear"/>
        </w:rPr>
        <w:t xml:space="preserve">Applies to</w:t>
      </w:r>
      <w:r>
        <w:t xml:space="preserve"> covers the businesses that wrote none, and a group view is simply the sum of every business read its own way — never one business's definition forced on another's rows. The plain-language form is the </w:t>
      </w:r>
      <w:r>
        <w:rPr>
          <w:b/>
          <w:bCs/>
        </w:rPr>
        <w:t xml:space="preserve">Definitions</w:t>
      </w:r>
      <w:r>
        <w:t xml:space="preserve"> tab — the calculation's lineage, one component per row, in the file's own line names:</w:t>
      </w:r>
    </w:p>
    <w:p>
      <w:pPr>
        <w:shd w:fill="F2F1ED" w:val="clear"/>
        <w:spacing w:after="0"/>
      </w:pPr>
      <w:r>
        <w:rPr>
          <w:rFonts w:ascii="Consolas" w:cs="Consolas" w:eastAsia="Consolas" w:hAnsi="Consolas"/>
          <w:sz w:val="18"/>
          <w:szCs w:val="18"/>
        </w:rPr>
        <w:t xml:space="preserve">Calculation  | Business | Line                   | Include | MICA level | Tile</w:t>
      </w:r>
    </w:p>
    <w:p>
      <w:pPr>
        <w:shd w:fill="F2F1ED" w:val="clear"/>
        <w:spacing w:after="0"/>
      </w:pPr>
      <w:r>
        <w:rPr>
          <w:rFonts w:ascii="Consolas" w:cs="Consolas" w:eastAsia="Consolas" w:hAnsi="Consolas"/>
          <w:sz w:val="18"/>
          <w:szCs w:val="18"/>
        </w:rPr>
        <w:t xml:space="preserve">Banking NII  | IWPB     | Revenue                |   +     |    L2      |</w:t>
      </w:r>
    </w:p>
    <w:p>
      <w:pPr>
        <w:shd w:fill="F2F1ED" w:val="clear"/>
        <w:spacing w:after="0"/>
      </w:pPr>
      <w:r>
        <w:rPr>
          <w:rFonts w:ascii="Consolas" w:cs="Consolas" w:eastAsia="Consolas" w:hAnsi="Consolas"/>
          <w:sz w:val="18"/>
          <w:szCs w:val="18"/>
        </w:rPr>
        <w:t xml:space="preserve">Banking NII  | IWPB     | Net Insurance Revenue  |   −     |    L3      |</w:t>
      </w:r>
    </w:p>
    <w:p>
      <w:pPr>
        <w:shd w:fill="F2F1ED" w:val="clear"/>
        <w:spacing w:after="0"/>
      </w:pPr>
      <w:r>
        <w:rPr>
          <w:rFonts w:ascii="Consolas" w:cs="Consolas" w:eastAsia="Consolas" w:hAnsi="Consolas"/>
          <w:sz w:val="18"/>
          <w:szCs w:val="18"/>
        </w:rPr>
        <w:t xml:space="preserve">Banking NII  | CIB      | Banking NII            |   +     |   accH3    |</w:t>
      </w:r>
    </w:p>
    <w:p>
      <w:pPr>
        <w:spacing w:after="120"/>
      </w:pPr>
    </w:p>
    <w:p>
      <w:pPr>
        <w:spacing w:after="140"/>
        <w:ind w:left="360"/>
      </w:pPr>
      <w:r>
        <w:rPr>
          <w:rFonts w:ascii="Consolas" w:cs="Consolas" w:eastAsia="Consolas" w:hAnsi="Consolas"/>
          <w:shd w:fill="F2F1ED" w:val="clear"/>
        </w:rPr>
        <w:t xml:space="preserve">+</w:t>
      </w:r>
      <w:r>
        <w:t xml:space="preserve"> includes the named line, </w:t>
      </w:r>
      <w:r>
        <w:rPr>
          <w:rFonts w:ascii="Consolas" w:cs="Consolas" w:eastAsia="Consolas" w:hAnsi="Consolas"/>
          <w:shd w:fill="F2F1ED" w:val="clear"/>
        </w:rPr>
        <w:t xml:space="preserve">−</w:t>
      </w:r>
      <w:r>
        <w:t xml:space="preserve"> carves it out, blank Business covers every business that wrote none. </w:t>
      </w:r>
      <w:r>
        <w:rPr>
          <w:b/>
          <w:bCs/>
        </w:rPr>
        <w:t xml:space="preserve">MICA level</w:t>
      </w:r>
      <w:r>
        <w:t xml:space="preserve"> pins the name to the level it lives at — </w:t>
      </w:r>
      <w:r>
        <w:rPr>
          <w:rFonts w:ascii="Consolas" w:cs="Consolas" w:eastAsia="Consolas" w:hAnsi="Consolas"/>
          <w:shd w:fill="F2F1ED" w:val="clear"/>
        </w:rPr>
        <w:t xml:space="preserve">L1</w:t>
      </w:r>
      <w:r>
        <w:t xml:space="preserve">..</w:t>
      </w:r>
      <w:r>
        <w:rPr>
          <w:rFonts w:ascii="Consolas" w:cs="Consolas" w:eastAsia="Consolas" w:hAnsi="Consolas"/>
          <w:shd w:fill="F2F1ED" w:val="clear"/>
        </w:rPr>
        <w:t xml:space="preserve">L4</w:t>
      </w:r>
      <w:r>
        <w:t xml:space="preserve"> for MICA, or a hierarchy key like </w:t>
      </w:r>
      <w:r>
        <w:rPr>
          <w:rFonts w:ascii="Consolas" w:cs="Consolas" w:eastAsia="Consolas" w:hAnsi="Consolas"/>
          <w:shd w:fill="F2F1ED" w:val="clear"/>
        </w:rPr>
        <w:t xml:space="preserve">accH3</w:t>
      </w:r>
      <w:r>
        <w:t xml:space="preserve"> — so a name that exists at two levels is never guessed (blank searches every level).</w:t>
      </w:r>
    </w:p>
    <w:p>
      <w:pPr>
        <w:spacing w:after="140"/>
        <w:ind w:left="360"/>
      </w:pPr>
      <w:r>
        <w:t xml:space="preserve">A defined calculation </w:t>
      </w:r>
      <w:r>
        <w:rPr>
          <w:b/>
          <w:bCs/>
        </w:rPr>
        <w:t xml:space="preserve">follows through by itself</w:t>
      </w:r>
      <w:r>
        <w:t xml:space="preserve">: it joins the tile grid, the slide deck, the KPI nav and the tile-driven commentary with no further wiring — put </w:t>
      </w:r>
      <w:r>
        <w:rPr>
          <w:rFonts w:ascii="Consolas" w:cs="Consolas" w:eastAsia="Consolas" w:hAnsi="Consolas"/>
          <w:shd w:fill="F2F1ED" w:val="clear"/>
        </w:rPr>
        <w:t xml:space="preserve">N</w:t>
      </w:r>
      <w:r>
        <w:t xml:space="preserve"> in the </w:t>
      </w:r>
      <w:r>
        <w:rPr>
          <w:b/>
          <w:bCs/>
        </w:rPr>
        <w:t xml:space="preserve">Tile</w:t>
      </w:r>
      <w:r>
        <w:t xml:space="preserve"> column to keep it a definition only. What the tab reads is exactly what the tile computes — the tile's tooltip reads the lineage back word for word, level included — and a Definitions entry speaks over a Metrics row written for the same calculation and business, so there is one place to look and it wins.</w:t>
      </w:r>
    </w:p>
    <w:p>
      <w:pPr>
        <w:pStyle w:val="ListParagraph"/>
        <w:numPr>
          <w:ilvl w:val="0"/>
          <w:numId w:val="3"/>
        </w:numPr>
        <w:spacing w:after="100"/>
      </w:pPr>
      <w:r>
        <w:rPr>
          <w:b/>
          <w:bCs/>
        </w:rPr>
        <w:t xml:space="preserve">The headline is always the year to date, through the last actual month.</w:t>
      </w:r>
      <w:r>
        <w:t xml:space="preserve"> Whatever the variance period compares on — a quarter, a single month, the full year — the figure at the top of a tile is the same one: the YTD through the last month before the forecast begins, taken from the file's own YTD column, and labelled with that month (</w:t>
      </w:r>
      <w:r>
        <w:rPr>
          <w:rFonts w:ascii="Consolas" w:cs="Consolas" w:eastAsia="Consolas" w:hAnsi="Consolas"/>
          <w:shd w:fill="F2F1ED" w:val="clear"/>
        </w:rPr>
        <w:t xml:space="preserve">JUN YTD</w:t>
      </w:r>
      <w:r>
        <w:t xml:space="preserve">).</w:t>
      </w:r>
    </w:p>
    <w:p>
      <w:pPr>
        <w:spacing w:after="100"/>
        <w:ind w:left="360"/>
      </w:pPr>
      <w:r>
        <w:t xml:space="preserve">The </w:t>
      </w:r>
      <w:r>
        <w:rPr>
          <w:b/>
          <w:bCs/>
        </w:rPr>
        <w:t xml:space="preserve">YTD through</w:t>
      </w:r>
      <w:r>
        <w:t xml:space="preserve"> selector offers actual months only — pick MAY and every tile reads </w:t>
      </w:r>
      <w:r>
        <w:rPr>
          <w:rFonts w:ascii="Consolas" w:cs="Consolas" w:eastAsia="Consolas" w:hAnsi="Consolas"/>
          <w:shd w:fill="F2F1ED" w:val="clear"/>
        </w:rPr>
        <w:t xml:space="preserve">MAY YTD</w:t>
      </w:r>
      <w:r>
        <w:t xml:space="preserve">; forecast months are not offered, so the page never looks like it is reading a month that hasn't happened. The forecast still feeds everything it should: the FY bases, the trajectory's forecast tail and the full-year outlook. Balances keep their closing balance, labelled the same way (</w:t>
      </w:r>
      <w:r>
        <w:rPr>
          <w:rFonts w:ascii="Consolas" w:cs="Consolas" w:eastAsia="Consolas" w:hAnsi="Consolas"/>
          <w:shd w:fill="F2F1ED" w:val="clear"/>
        </w:rPr>
        <w:t xml:space="preserve">JUN closing</w:t>
      </w:r>
      <w:r>
        <w:t xml:space="preserve">). The PowerPoint one-pager leads with the same figure.</w:t>
      </w:r>
    </w:p>
    <w:p>
      <w:pPr>
        <w:pStyle w:val="ListParagraph"/>
        <w:numPr>
          <w:ilvl w:val="0"/>
          <w:numId w:val="3"/>
        </w:numPr>
        <w:spacing w:after="80"/>
      </w:pPr>
      <w:r>
        <w:rPr>
          <w:b/>
          <w:bCs/>
        </w:rPr>
        <w:t xml:space="preserve">Three comparisons on a tile, and no more</w:t>
      </w:r>
      <w:r>
        <w:t xml:space="preserve"> —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Tgt</w:t>
      </w:r>
      <w:r>
        <w:t xml:space="preserve">, in those words, at the grain of the headline: year to date for a P&amp;L line, closing for a balance. The variance period drives the trajectory, the commentary and the reporting pack; it never renames or replaces a tile row. Tiles move only with the </w:t>
      </w:r>
      <w:r>
        <w:rPr>
          <w:b/>
          <w:bCs/>
        </w:rPr>
        <w:t xml:space="preserve">YTD through</w:t>
      </w:r>
      <w:r>
        <w:t xml:space="preserve"> month.</w:t>
      </w:r>
    </w:p>
    <w:p>
      <w:pPr>
        <w:pStyle w:val="ListParagraph"/>
        <w:numPr>
          <w:ilvl w:val="0"/>
          <w:numId w:val="3"/>
        </w:numPr>
        <w:spacing w:after="80"/>
      </w:pPr>
      <w:r>
        <w:rPr>
          <w:b/>
          <w:bCs/>
        </w:rPr>
        <w:t xml:space="preserve">Tiles never invent lines.</w:t>
      </w:r>
      <w:r>
        <w:t xml:space="preserve"> The grid is the file's own MICA lines — </w:t>
      </w:r>
      <w:r>
        <w:rPr>
          <w:b/>
          <w:bCs/>
        </w:rPr>
        <w:t xml:space="preserve">Level 1 and Level 2 together</w:t>
      </w:r>
      <w:r>
        <w:t xml:space="preserve">: every Level 2 line and every Level 1 rollup, one tile each (a rollup that adds nothing over its only child is dropped, and a P&amp;L rollup's figure excludes the balance memo lines filed beneath it, so a result and a balance are never added). </w:t>
      </w:r>
      <w:r>
        <w:rPr>
          <w:rFonts w:ascii="Consolas" w:cs="Consolas" w:eastAsia="Consolas" w:hAnsi="Consolas"/>
          <w:shd w:fill="F2F1ED" w:val="clear"/>
        </w:rPr>
        <w:t xml:space="preserve">tile_level: level1</w:t>
      </w:r>
      <w:r>
        <w:t xml:space="preserve"> or </w:t>
      </w:r>
      <w:r>
        <w:rPr>
          <w:rFonts w:ascii="Consolas" w:cs="Consolas" w:eastAsia="Consolas" w:hAnsi="Consolas"/>
          <w:shd w:fill="F2F1ED" w:val="clear"/>
        </w:rPr>
        <w:t xml:space="preserve">level2</w:t>
      </w:r>
      <w:r>
        <w:t xml:space="preserve"> narrows the grid to one level; a </w:t>
      </w:r>
      <w:r>
        <w:rPr>
          <w:rFonts w:ascii="Consolas" w:cs="Consolas" w:eastAsia="Consolas" w:hAnsi="Consolas"/>
          <w:shd w:fill="F2F1ED" w:val="clear"/>
        </w:rPr>
        <w:t xml:space="preserve">tile_lines</w:t>
      </w:r>
      <w:r>
        <w:t xml:space="preserve"> list names the set explicitly. The </w:t>
      </w:r>
      <w:r>
        <w:rPr>
          <w:rFonts w:ascii="Consolas" w:cs="Consolas" w:eastAsia="Consolas" w:hAnsi="Consolas"/>
          <w:shd w:fill="F2F1ED" w:val="clear"/>
        </w:rPr>
        <w:t xml:space="preserve">Metrics</w:t>
      </w:r>
      <w:r>
        <w:t xml:space="preserve"> sheet feeds the KPI scorecard and the metric scopes, but metrics reach the tile grid only when the config says </w:t>
      </w:r>
      <w:r>
        <w:rPr>
          <w:rFonts w:ascii="Consolas" w:cs="Consolas" w:eastAsia="Consolas" w:hAnsi="Consolas"/>
          <w:shd w:fill="F2F1ED" w:val="clear"/>
        </w:rPr>
        <w:t xml:space="preserve">tile_metrics: Y</w:t>
      </w:r>
      <w:r>
        <w:t xml:space="preserve"> in so many words; the old </w:t>
      </w:r>
      <w:r>
        <w:rPr>
          <w:rFonts w:ascii="Consolas" w:cs="Consolas" w:eastAsia="Consolas" w:hAnsi="Consolas"/>
          <w:shd w:fill="F2F1ED" w:val="clear"/>
        </w:rPr>
        <w:t xml:space="preserve">auto</w:t>
      </w:r>
      <w:r>
        <w:t xml:space="preserve"> no longer puts every metric on the grid.</w:t>
      </w:r>
    </w:p>
    <w:p>
      <w:pPr>
        <w:pStyle w:val="ListParagraph"/>
        <w:numPr>
          <w:ilvl w:val="0"/>
          <w:numId w:val="3"/>
        </w:numPr>
        <w:spacing w:after="80"/>
      </w:pPr>
      <w:r>
        <w:rPr>
          <w:b/>
          <w:bCs/>
        </w:rPr>
        <w:t xml:space="preserve">One tile per line.</w:t>
      </w:r>
      <w:r>
        <w:t xml:space="preserve"> A merged configuration names the same line more than once — in each pack's metric list, as a rollup and again as its own row — and two lists can call one set of rows by two names. The grid, the PowerPoint one-pager and the left-hand KPI nav each show a line once: a name already on the grid does not come again, and neither do rows already on it, whatever the second list calls them. Only a genuinely different parent earns a second tile, and that tile says whose it is (</w:t>
      </w:r>
      <w:r>
        <w:rPr>
          <w:rFonts w:ascii="Consolas" w:cs="Consolas" w:eastAsia="Consolas" w:hAnsi="Consolas"/>
          <w:shd w:fill="F2F1ED" w:val="clear"/>
        </w:rPr>
        <w:t xml:space="preserve">Other · Costs</w:t>
      </w:r>
      <w:r>
        <w:t xml:space="preserve">).</w:t>
      </w:r>
    </w:p>
    <w:p>
      <w:pPr>
        <w:pStyle w:val="ListParagraph"/>
        <w:numPr>
          <w:ilvl w:val="0"/>
          <w:numId w:val="3"/>
        </w:numPr>
        <w:spacing w:after="100"/>
      </w:pPr>
      <w:r>
        <w:rPr>
          <w:b/>
          <w:bCs/>
        </w:rPr>
        <w:t xml:space="preserve">A line nets in what offsets it.</w:t>
      </w:r>
      <w:r>
        <w:t xml:space="preserve"> Where a revenue line is reduced by another line beside it — an offset, a contra, a negative revenue line — the tile shows the </w:t>
      </w:r>
      <w:r>
        <w:rPr>
          <w:b/>
          <w:bCs/>
        </w:rPr>
        <w:t xml:space="preserve">net</w:t>
      </w:r>
      <w:r>
        <w:t xml:space="preserve">, and says what it netted in (</w:t>
      </w:r>
      <w:r>
        <w:rPr>
          <w:rFonts w:ascii="Consolas" w:cs="Consolas" w:eastAsia="Consolas" w:hAnsi="Consolas"/>
          <w:shd w:fill="F2F1ED" w:val="clear"/>
        </w:rPr>
        <w:t xml:space="preserve">net of Other Revenue (212)</w:t>
      </w:r>
      <w:r>
        <w:t xml:space="preserve">) so nothing is silent. The netting is done on the rows themselves, so the year to date, every variance period and the trajectory all net the same way, and a line already inside the tile is never counted twice.</w:t>
      </w:r>
    </w:p>
    <w:p>
      <w:pPr>
        <w:spacing w:after="100"/>
        <w:ind w:left="360"/>
      </w:pPr>
      <w:r>
        <w:t xml:space="preserve">The configuration has the first word: a </w:t>
      </w:r>
      <w:r>
        <w:rPr>
          <w:b/>
          <w:bCs/>
        </w:rPr>
        <w:t xml:space="preserve">Nets with</w:t>
      </w:r>
      <w:r>
        <w:t xml:space="preserve"> entry on the </w:t>
      </w:r>
      <w:r>
        <w:rPr>
          <w:rFonts w:ascii="Consolas" w:cs="Consolas" w:eastAsia="Consolas" w:hAnsi="Consolas"/>
          <w:shd w:fill="F2F1ED" w:val="clear"/>
        </w:rPr>
        <w:t xml:space="preserve">Tiles</w:t>
      </w:r>
      <w:r>
        <w:t xml:space="preserve"> tab (</w:t>
      </w:r>
      <w:r>
        <w:rPr>
          <w:rFonts w:ascii="Consolas" w:cs="Consolas" w:eastAsia="Consolas" w:hAnsi="Consolas"/>
          <w:shd w:fill="F2F1ED" w:val="clear"/>
        </w:rPr>
        <w:t xml:space="preserve">Revenue | Y | Other Revenue, Revenue offsets</w:t>
      </w:r>
      <w:r>
        <w:t xml:space="preserve">), or a </w:t>
      </w:r>
      <w:r>
        <w:rPr>
          <w:rFonts w:ascii="Consolas" w:cs="Consolas" w:eastAsia="Consolas" w:hAnsi="Consolas"/>
          <w:shd w:fill="F2F1ED" w:val="clear"/>
        </w:rPr>
        <w:t xml:space="preserve">tile_net</w:t>
      </w:r>
      <w:r>
        <w:t xml:space="preserve"> rule (</w:t>
      </w:r>
      <w:r>
        <w:rPr>
          <w:rFonts w:ascii="Consolas" w:cs="Consolas" w:eastAsia="Consolas" w:hAnsi="Consolas"/>
          <w:shd w:fill="F2F1ED" w:val="clear"/>
        </w:rPr>
        <w:t xml:space="preserve">Revenue = Other Revenue; Total Opex = Recoveries</w:t>
      </w:r>
      <w:r>
        <w:t xml:space="preserve">), names exactly what nets with what; </w:t>
      </w:r>
      <w:r>
        <w:rPr>
          <w:rFonts w:ascii="Consolas" w:cs="Consolas" w:eastAsia="Consolas" w:hAnsi="Consolas"/>
          <w:shd w:fill="F2F1ED" w:val="clear"/>
        </w:rPr>
        <w:t xml:space="preserve">-</w:t>
      </w:r>
      <w:r>
        <w:t xml:space="preserve"> in that column stops a netting the page would otherwise make, and </w:t>
      </w:r>
      <w:r>
        <w:rPr>
          <w:rFonts w:ascii="Consolas" w:cs="Consolas" w:eastAsia="Consolas" w:hAnsi="Consolas"/>
          <w:shd w:fill="F2F1ED" w:val="clear"/>
        </w:rPr>
        <w:t xml:space="preserve">tile_net_auto: N</w:t>
      </w:r>
      <w:r>
        <w:t xml:space="preserve"> switches the automatic rule off everywhere.</w:t>
      </w:r>
    </w:p>
    <w:p>
      <w:pPr>
        <w:spacing w:after="100"/>
        <w:ind w:left="360"/>
      </w:pPr>
      <w:r>
        <w:t xml:space="preserve">With nothing named, the page nets a line only when it runs against its own block — a negative line inside a positive revenue block — and only into the largest line of that block under the same parent, never into two tiles at once, and never a cost, an ECL or a balance (</w:t>
      </w:r>
      <w:r>
        <w:rPr>
          <w:rFonts w:ascii="Consolas" w:cs="Consolas" w:eastAsia="Consolas" w:hAnsi="Consolas"/>
          <w:shd w:fill="F2F1ED" w:val="clear"/>
        </w:rPr>
        <w:t xml:space="preserve">revenue_patterns</w:t>
      </w:r>
      <w:r>
        <w:t xml:space="preserve"> decides what reads as revenue). A balance never joins a P&amp;L line.</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w:t>
      </w:r>
      <w:r>
        <w:rPr>
          <w:b/>
          <w:bCs/>
        </w:rPr>
        <w:t xml:space="preserve">a decision is asked for where a line is unfavourable</w:t>
      </w:r>
      <w:r>
        <w:t xml:space="preserve">, so those lines rank worst-first as decision cards, each with the variance as its headline impact figure (233A / +11.5%), and the inferences the data supports — position vs the basis and the full-year gap to target — plus a </w:t>
      </w:r>
      <w:r>
        <w:rPr>
          <w:i/>
          <w:iCs/>
        </w:rPr>
        <w:t xml:space="preserve">Review trajectory</w:t>
      </w:r>
      <w:r>
        <w:t xml:space="preserve"> action that points the chart at that line.</w:t>
      </w:r>
    </w:p>
    <w:p>
      <w:pPr>
        <w:spacing w:after="100"/>
        <w:ind w:left="360"/>
      </w:pPr>
      <w:r>
        <w:t xml:space="preserve">A count badge carries the number of unfavourable lines, cards cap at </w:t>
      </w:r>
      <w:r>
        <w:rPr>
          <w:rFonts w:ascii="Consolas" w:cs="Consolas" w:eastAsia="Consolas" w:hAnsi="Consolas"/>
          <w:shd w:fill="F2F1ED" w:val="clear"/>
        </w:rPr>
        <w:t xml:space="preserve">decisions_max</w:t>
      </w:r>
      <w:r>
        <w:t xml:space="preserve"> (default 3) with the overflow noted, and a file with nothing unfavourable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TM1 extract carrying Deposits or Loans beside a result gets no total tile, no total row and no total in its commentary, because adding a balance to a result is not a figure; a P&amp;L-only TM1 extract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TM1 extract rather than by size, so a balance-sheet line is not hoisted above the P&amp;L. Lines </w:t>
      </w:r>
      <w:r>
        <w:rPr>
          <w:i/>
          <w:iCs/>
        </w:rPr>
        <w:t xml:space="preserve">within</w:t>
      </w:r>
      <w:r>
        <w:t xml:space="preserve"> a statement — the Level 2 lines under a rollup — always read in the TM1 extract's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source-row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TM1 extract's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left pane's commentary note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 under </w:t>
      </w:r>
      <w:r>
        <w:rPr>
          <w:b/>
          <w:bCs/>
        </w:rPr>
        <w:t xml:space="preserve">every</w:t>
      </w:r>
      <w:r>
        <w:t xml:space="preserve"> generated commentary, not just this page: the Management commentary on the KPI summary, the Financial Summary's own words and the All commentaries page each carry it, and on the summary it folds away with the commentary it belongs to.</w:t>
      </w:r>
    </w:p>
    <w:p>
      <w:pPr>
        <w:spacing w:after="140"/>
        <w:ind w:left="360"/>
      </w:pPr>
      <w:r>
        <w:t xml:space="preserve">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every surface and the Word exports carry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TM1 extract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TM1 extract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TM1 extract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TM1 extract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TM1 extract re-matches the same paragraphs against next month's names with nobody tagging a thing, and the left pane's commentary note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pStyle w:val="ListParagraph"/>
        <w:numPr>
          <w:ilvl w:val="0"/>
          <w:numId w:val="3"/>
        </w:numPr>
        <w:spacing w:after="100"/>
      </w:pPr>
      <w:r>
        <w:rPr>
          <w:b/>
          <w:bCs/>
        </w:rPr>
        <w:t xml:space="preserve">One config file drives everything</w:t>
      </w:r>
      <w:r>
        <w:t xml:space="preserve"> — </w:t>
      </w:r>
      <w:r>
        <w:rPr>
          <w:rFonts w:ascii="Consolas" w:cs="Consolas" w:eastAsia="Consolas" w:hAnsi="Consolas"/>
          <w:shd w:fill="F2F1ED" w:val="clear"/>
        </w:rPr>
        <w:t xml:space="preserve">Group_dashboard_config_pack.xlsx</w:t>
      </w:r>
      <w:r>
        <w:t xml:space="preserve"> is the single source of truth: it carries every business side by side — the merged CountryHierarchy (all businesses, regions and countries), both businesses' Product and Account hierarchies, their metrics, written commentary and scoped commentary templates (</w:t>
      </w:r>
      <w:r>
        <w:rPr>
          <w:rFonts w:ascii="Consolas" w:cs="Consolas" w:eastAsia="Consolas" w:hAnsi="Consolas"/>
          <w:shd w:fill="F2F1ED" w:val="clear"/>
        </w:rPr>
        <w:t xml:space="preserve">IWPB Global</w:t>
      </w:r>
      <w:r>
        <w:t xml:space="preserve"> … </w:t>
      </w:r>
      <w:r>
        <w:rPr>
          <w:rFonts w:ascii="Consolas" w:cs="Consolas" w:eastAsia="Consolas" w:hAnsi="Consolas"/>
          <w:shd w:fill="F2F1ED" w:val="clear"/>
        </w:rPr>
        <w:t xml:space="preserve">CIB Country</w:t>
      </w:r>
      <w:r>
        <w:t xml:space="preserve">), the six-basis variance periods and the tile controls — under one Group branding.</w:t>
      </w:r>
    </w:p>
    <w:p>
      <w:pPr>
        <w:spacing w:after="100"/>
        <w:ind w:left="360"/>
      </w:pPr>
      <w:r>
        <w:t xml:space="preserve">Upload this one workbook and the page serves the Group, either business, any region and any country from it; maintain this one file and nothing else. The per-business packs (</w:t>
      </w:r>
      <w:r>
        <w:rPr>
          <w:rFonts w:ascii="Consolas" w:cs="Consolas" w:eastAsia="Consolas" w:hAnsi="Consolas"/>
          <w:shd w:fill="F2F1ED" w:val="clear"/>
        </w:rPr>
        <w:t xml:space="preserve">IWPB_dashboard_config_pack.xlsx</w:t>
      </w:r>
      <w:r>
        <w:t xml:space="preserve">, </w:t>
      </w:r>
      <w:r>
        <w:rPr>
          <w:rFonts w:ascii="Consolas" w:cs="Consolas" w:eastAsia="Consolas" w:hAnsi="Consolas"/>
          <w:shd w:fill="F2F1ED" w:val="clear"/>
        </w:rPr>
        <w:t xml:space="preserve">CIB_dashboard_config_pack.xlsx</w:t>
      </w:r>
      <w:r>
        <w:t xml:space="preserve">) remain as worked single-business examples of the same format.</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Editing a block and keeping it still works: the written words refresh in place on the next ingest while your own edits stay.</w:t>
      </w:r>
    </w:p>
    <w:p>
      <w:pPr>
        <w:spacing w:after="140"/>
        <w:ind w:left="360"/>
      </w:pPr>
      <w:r>
        <w:rPr>
          <w:b/>
          <w:bCs/>
        </w:rPr>
        <w:t xml:space="preserve">Commentary templates — choosing how the narrative is worded.</w:t>
      </w:r>
      <w:r>
        <w:t xml:space="preserve"> The Management Commentary panel carries a </w:t>
      </w:r>
      <w:r>
        <w:rPr>
          <w:b/>
          <w:bCs/>
        </w:rPr>
        <w:t xml:space="preserve">Style</w:t>
      </w:r>
      <w:r>
        <w:t xml:space="preserve"> selector: the pack narrative, the house cascade, or any named template from the configuration's </w:t>
      </w:r>
      <w:r>
        <w:rPr>
          <w:rFonts w:ascii="Consolas" w:cs="Consolas" w:eastAsia="Consolas" w:hAnsi="Consolas"/>
          <w:shd w:fill="F2F1ED" w:val="clear"/>
        </w:rPr>
        <w:t xml:space="preserve">CommentaryTemplates</w:t>
      </w:r>
      <w:r>
        <w:t xml:space="preserve"> tab (</w:t>
      </w:r>
      <w:r>
        <w:rPr>
          <w:rFonts w:ascii="Consolas" w:cs="Consolas" w:eastAsia="Consolas" w:hAnsi="Consolas"/>
          <w:shd w:fill="F2F1ED" w:val="clear"/>
        </w:rPr>
        <w:t xml:space="preserve">Style | View | Pattern</w:t>
      </w:r>
      <w:r>
        <w:t xml:space="preserve">). A pattern is a sentence with tokens the page fills per statement line from the TM1 extract's own figures under the selected variance period —</w:t>
      </w:r>
    </w:p>
    <w:p>
      <w:pPr>
        <w:shd w:fill="F2F1ED" w:val="clear"/>
        <w:spacing w:after="0"/>
      </w:pPr>
      <w:r>
        <w:rPr>
          <w:rFonts w:ascii="Consolas" w:cs="Consolas" w:eastAsia="Consolas" w:hAnsi="Consolas"/>
          <w:sz w:val="18"/>
          <w:szCs w:val="18"/>
        </w:rPr>
        <w:t xml:space="preserve">Exec brief   | {line} {var} {vs}, led by {drivers}.</w:t>
      </w:r>
    </w:p>
    <w:p>
      <w:pPr>
        <w:shd w:fill="F2F1ED" w:val="clear"/>
        <w:spacing w:after="0"/>
      </w:pPr>
      <w:r>
        <w:rPr>
          <w:rFonts w:ascii="Consolas" w:cs="Consolas" w:eastAsia="Consolas" w:hAnsi="Consolas"/>
          <w:sz w:val="18"/>
          <w:szCs w:val="18"/>
        </w:rPr>
        <w:t xml:space="preserve">FP&amp;A detail  | {line}: {main} against {base} — {varamt} ({varpct}) {vs}. Key movers: {drivers}.</w:t>
      </w:r>
    </w:p>
    <w:p>
      <w:pPr>
        <w:spacing w:after="120"/>
      </w:pPr>
    </w:p>
    <w:p>
      <w:pPr>
        <w:spacing w:after="140"/>
        <w:ind w:left="360"/>
      </w:pPr>
      <w:r>
        <w:t xml:space="preserve">Tokens: </w:t>
      </w:r>
      <w:r>
        <w:rPr>
          <w:rFonts w:ascii="Consolas" w:cs="Consolas" w:eastAsia="Consolas" w:hAnsi="Consolas"/>
          <w:shd w:fill="F2F1ED" w:val="clear"/>
        </w:rPr>
        <w:t xml:space="preserve">{line}</w:t>
      </w:r>
      <w:r>
        <w:t xml:space="preserve"> </w:t>
      </w:r>
      <w:r>
        <w:rPr>
          <w:rFonts w:ascii="Consolas" w:cs="Consolas" w:eastAsia="Consolas" w:hAnsi="Consolas"/>
          <w:shd w:fill="F2F1ED" w:val="clear"/>
        </w:rPr>
        <w:t xml:space="preserve">{main}</w:t>
      </w:r>
      <w:r>
        <w:t xml:space="preserve"> </w:t>
      </w:r>
      <w:r>
        <w:rPr>
          <w:rFonts w:ascii="Consolas" w:cs="Consolas" w:eastAsia="Consolas" w:hAnsi="Consolas"/>
          <w:shd w:fill="F2F1ED" w:val="clear"/>
        </w:rPr>
        <w:t xml:space="preserve">{base}</w:t>
      </w:r>
      <w:r>
        <w:t xml:space="preserve"> </w:t>
      </w:r>
      <w:r>
        <w:rPr>
          <w:rFonts w:ascii="Consolas" w:cs="Consolas" w:eastAsia="Consolas" w:hAnsi="Consolas"/>
          <w:shd w:fill="F2F1ED" w:val="clear"/>
        </w:rPr>
        <w:t xml:space="preserve">{var}</w:t>
      </w:r>
      <w:r>
        <w:t xml:space="preserve"> (movement with %), </w:t>
      </w:r>
      <w:r>
        <w:rPr>
          <w:rFonts w:ascii="Consolas" w:cs="Consolas" w:eastAsia="Consolas" w:hAnsi="Consolas"/>
          <w:shd w:fill="F2F1ED" w:val="clear"/>
        </w:rPr>
        <w:t xml:space="preserve">{varamt}</w:t>
      </w:r>
      <w:r>
        <w:t xml:space="preserve"> (movement alone), </w:t>
      </w:r>
      <w:r>
        <w:rPr>
          <w:rFonts w:ascii="Consolas" w:cs="Consolas" w:eastAsia="Consolas" w:hAnsi="Consolas"/>
          <w:shd w:fill="F2F1ED" w:val="clear"/>
        </w:rPr>
        <w:t xml:space="preserve">{varpct}</w:t>
      </w:r>
      <w:r>
        <w:t xml:space="preserve">, </w:t>
      </w:r>
      <w:r>
        <w:rPr>
          <w:rFonts w:ascii="Consolas" w:cs="Consolas" w:eastAsia="Consolas" w:hAnsi="Consolas"/>
          <w:shd w:fill="F2F1ED" w:val="clear"/>
        </w:rPr>
        <w:t xml:space="preserve">{vs}</w:t>
      </w:r>
      <w:r>
        <w:t xml:space="preserve">, </w:t>
      </w:r>
      <w:r>
        <w:rPr>
          <w:rFonts w:ascii="Consolas" w:cs="Consolas" w:eastAsia="Consolas" w:hAnsi="Consolas"/>
          <w:shd w:fill="F2F1ED" w:val="clear"/>
        </w:rPr>
        <w:t xml:space="preserve">{basename}</w:t>
      </w:r>
      <w:r>
        <w:t xml:space="preserve">, </w:t>
      </w:r>
      <w:r>
        <w:rPr>
          <w:rFonts w:ascii="Consolas" w:cs="Consolas" w:eastAsia="Consolas" w:hAnsi="Consolas"/>
          <w:shd w:fill="F2F1ED" w:val="clear"/>
        </w:rPr>
        <w:t xml:space="preserve">{period}</w:t>
      </w:r>
      <w:r>
        <w:t xml:space="preserve">, </w:t>
      </w:r>
      <w:r>
        <w:rPr>
          <w:rFonts w:ascii="Consolas" w:cs="Consolas" w:eastAsia="Consolas" w:hAnsi="Consolas"/>
          <w:shd w:fill="F2F1ED" w:val="clear"/>
        </w:rPr>
        <w:t xml:space="preserve">{drivers}</w:t>
      </w:r>
      <w:r>
        <w:t xml:space="preserve">, </w:t>
      </w:r>
      <w:r>
        <w:rPr>
          <w:rFonts w:ascii="Consolas" w:cs="Consolas" w:eastAsia="Consolas" w:hAnsi="Consolas"/>
          <w:shd w:fill="F2F1ED" w:val="clear"/>
        </w:rPr>
        <w:t xml:space="preserve">{month}</w:t>
      </w:r>
      <w:r>
        <w:t xml:space="preserve">, </w:t>
      </w:r>
      <w:r>
        <w:rPr>
          <w:rFonts w:ascii="Consolas" w:cs="Consolas" w:eastAsia="Consolas" w:hAnsi="Consolas"/>
          <w:shd w:fill="F2F1ED" w:val="clear"/>
        </w:rPr>
        <w:t xml:space="preserve">{quarter}</w:t>
      </w:r>
      <w:r>
        <w:t xml:space="preserve">, </w:t>
      </w:r>
      <w:r>
        <w:rPr>
          <w:rFonts w:ascii="Consolas" w:cs="Consolas" w:eastAsia="Consolas" w:hAnsi="Consolas"/>
          <w:shd w:fill="F2F1ED" w:val="clear"/>
        </w:rPr>
        <w:t xml:space="preserve">{fy}</w:t>
      </w:r>
      <w:r>
        <w:t xml:space="preserve">, </w:t>
      </w:r>
      <w:r>
        <w:rPr>
          <w:rFonts w:ascii="Consolas" w:cs="Consolas" w:eastAsia="Consolas" w:hAnsi="Consolas"/>
          <w:shd w:fill="F2F1ED" w:val="clear"/>
        </w:rPr>
        <w:t xml:space="preserve">{ytd}</w:t>
      </w:r>
      <w:r>
        <w:t xml:space="preserve">. A template governs word order and tone, never arithmetic: every figure is computed exactly as the pack style computes it, expense lines still name no products as movers, and the written commentary still leads each line. Uploaded rows replace the built-in examples wholesale; </w:t>
      </w:r>
      <w:r>
        <w:rPr>
          <w:rFonts w:ascii="Consolas" w:cs="Consolas" w:eastAsia="Consolas" w:hAnsi="Consolas"/>
          <w:shd w:fill="F2F1ED" w:val="clear"/>
        </w:rPr>
        <w:t xml:space="preserve">View</w:t>
      </w:r>
      <w:r>
        <w:t xml:space="preserve"> scopes a pattern (blank = everywhere); </w:t>
      </w:r>
      <w:r>
        <w:rPr>
          <w:rFonts w:ascii="Consolas" w:cs="Consolas" w:eastAsia="Consolas" w:hAnsi="Consolas"/>
          <w:shd w:fill="F2F1ED" w:val="clear"/>
        </w:rPr>
        <w:t xml:space="preserve">commentary_format</w:t>
      </w:r>
      <w:r>
        <w:t xml:space="preserve"> in Settings names the default style, and the reader's own pick on the panel is remembered. The Word and PPT exports carry whichever style is on the page.</w:t>
      </w:r>
    </w:p>
    <w:p>
      <w:pPr>
        <w:spacing w:after="140"/>
        <w:ind w:left="360"/>
      </w:pPr>
      <w:r>
        <w:rPr>
          <w:b/>
          <w:bCs/>
        </w:rPr>
        <w:t xml:space="preserve">Scoped templates — the scope picks its own voice.</w:t>
      </w:r>
      <w:r>
        <w:t xml:space="preserve"> With the Style selector on </w:t>
      </w:r>
      <w:r>
        <w:rPr>
          <w:b/>
          <w:bCs/>
        </w:rPr>
        <w:t xml:space="preserve">Auto — match the scope</w:t>
      </w:r>
      <w:r>
        <w:t xml:space="preserve"> (the default), the page adopts whichever defined template best fits where it is looking: an unscoped multi-business page speaks the </w:t>
      </w:r>
      <w:r>
        <w:rPr>
          <w:rFonts w:ascii="Consolas" w:cs="Consolas" w:eastAsia="Consolas" w:hAnsi="Consolas"/>
          <w:shd w:fill="F2F1ED" w:val="clear"/>
        </w:rPr>
        <w:t xml:space="preserve">Group</w:t>
      </w:r>
      <w:r>
        <w:t xml:space="preserve"> template, a selected business its </w:t>
      </w:r>
      <w:r>
        <w:rPr>
          <w:rFonts w:ascii="Consolas" w:cs="Consolas" w:eastAsia="Consolas" w:hAnsi="Consolas"/>
          <w:shd w:fill="F2F1ED" w:val="clear"/>
        </w:rPr>
        <w:t xml:space="preserve">IWPB Global</w:t>
      </w:r>
      <w:r>
        <w:t xml:space="preserve"> or </w:t>
      </w:r>
      <w:r>
        <w:rPr>
          <w:rFonts w:ascii="Consolas" w:cs="Consolas" w:eastAsia="Consolas" w:hAnsi="Consolas"/>
          <w:shd w:fill="F2F1ED" w:val="clear"/>
        </w:rPr>
        <w:t xml:space="preserve">CIB Global</w:t>
      </w:r>
      <w:r>
        <w:t xml:space="preserve"> template, a region its </w:t>
      </w:r>
      <w:r>
        <w:rPr>
          <w:rFonts w:ascii="Consolas" w:cs="Consolas" w:eastAsia="Consolas" w:hAnsi="Consolas"/>
          <w:shd w:fill="F2F1ED" w:val="clear"/>
        </w:rPr>
        <w:t xml:space="preserve">Regional</w:t>
      </w:r>
      <w:r>
        <w:t xml:space="preserve"> and a country its </w:t>
      </w:r>
      <w:r>
        <w:rPr>
          <w:rFonts w:ascii="Consolas" w:cs="Consolas" w:eastAsia="Consolas" w:hAnsi="Consolas"/>
          <w:shd w:fill="F2F1ED" w:val="clear"/>
        </w:rPr>
        <w:t xml:space="preserve">Country</w:t>
      </w:r>
      <w:r>
        <w:t xml:space="preserve"> one — re-resolved automatically as the scope moves, with nothing to pick.</w:t>
      </w:r>
    </w:p>
    <w:p>
      <w:pPr>
        <w:spacing w:after="140"/>
        <w:ind w:left="360"/>
      </w:pPr>
      <w:r>
        <w:t xml:space="preserve">A template's scope is its </w:t>
      </w:r>
      <w:r>
        <w:rPr>
          <w:rFonts w:ascii="Consolas" w:cs="Consolas" w:eastAsia="Consolas" w:hAnsi="Consolas"/>
          <w:shd w:fill="F2F1ED" w:val="clear"/>
        </w:rPr>
        <w:t xml:space="preserve">Scope</w:t>
      </w:r>
      <w:r>
        <w:t xml:space="preserve"> column, or simply its own name: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Global</w:t>
      </w:r>
      <w:r>
        <w:t xml:space="preserve">, </w:t>
      </w:r>
      <w:r>
        <w:rPr>
          <w:rFonts w:ascii="Consolas" w:cs="Consolas" w:eastAsia="Consolas" w:hAnsi="Consolas"/>
          <w:shd w:fill="F2F1ED" w:val="clear"/>
        </w:rPr>
        <w:t xml:space="preserve">Regional</w:t>
      </w:r>
      <w:r>
        <w:t xml:space="preserve">, </w:t>
      </w:r>
      <w:r>
        <w:rPr>
          <w:rFonts w:ascii="Consolas" w:cs="Consolas" w:eastAsia="Consolas" w:hAnsi="Consolas"/>
          <w:shd w:fill="F2F1ED" w:val="clear"/>
        </w:rPr>
        <w:t xml:space="preserve">Country</w:t>
      </w:r>
      <w:r>
        <w:t xml:space="preserve">, optionally led by a business (</w:t>
      </w:r>
      <w:r>
        <w:rPr>
          <w:rFonts w:ascii="Consolas" w:cs="Consolas" w:eastAsia="Consolas" w:hAnsi="Consolas"/>
          <w:shd w:fill="F2F1ED" w:val="clear"/>
        </w:rPr>
        <w:t xml:space="preserve">IWPB Global</w:t>
      </w:r>
      <w:r>
        <w:t xml:space="preserve">) or a specific place (</w:t>
      </w:r>
      <w:r>
        <w:rPr>
          <w:rFonts w:ascii="Consolas" w:cs="Consolas" w:eastAsia="Consolas" w:hAnsi="Consolas"/>
          <w:shd w:fill="F2F1ED" w:val="clear"/>
        </w:rPr>
        <w:t xml:space="preserve">Singapore</w:t>
      </w:r>
      <w:r>
        <w:t xml:space="preserve">) — the most specific match wins, so </w:t>
      </w:r>
      <w:r>
        <w:rPr>
          <w:rFonts w:ascii="Consolas" w:cs="Consolas" w:eastAsia="Consolas" w:hAnsi="Consolas"/>
          <w:shd w:fill="F2F1ED" w:val="clear"/>
        </w:rPr>
        <w:t xml:space="preserve">IWPB Global</w:t>
      </w:r>
      <w:r>
        <w:t xml:space="preserve"> beats plain </w:t>
      </w:r>
      <w:r>
        <w:rPr>
          <w:rFonts w:ascii="Consolas" w:cs="Consolas" w:eastAsia="Consolas" w:hAnsi="Consolas"/>
          <w:shd w:fill="F2F1ED" w:val="clear"/>
        </w:rPr>
        <w:t xml:space="preserve">Global</w:t>
      </w:r>
      <w:r>
        <w:t xml:space="preserve"> when IWPB is selected. A scope with no template defined speaks the pack narrative, so IWPB can have its own voice while CIB reads the standard one until CIB defines its own. Both packs ship worked examples; a hand-picked style always overrides the scope.</w:t>
      </w:r>
    </w:p>
    <w:p>
      <w:pPr>
        <w:spacing w:after="140"/>
        <w:ind w:left="360"/>
      </w:pPr>
      <w:r>
        <w:rPr>
          <w:b/>
          <w:bCs/>
        </w:rPr>
        <w:t xml:space="preserve">The Active style lists scopes, not style names.</w:t>
      </w:r>
      <w:r>
        <w:t xml:space="preserve"> However many named styles the config carries, the pane's selector shows one entry per </w:t>
      </w:r>
      <w:r>
        <w:rPr>
          <w:b/>
          <w:bCs/>
        </w:rPr>
        <w:t xml:space="preserve">Scope</w:t>
      </w:r>
      <w:r>
        <w:t xml:space="preserve"> value —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IWPB</w:t>
      </w:r>
      <w:r>
        <w:t xml:space="preserve">, </w:t>
      </w:r>
      <w:r>
        <w:rPr>
          <w:rFonts w:ascii="Consolas" w:cs="Consolas" w:eastAsia="Consolas" w:hAnsi="Consolas"/>
          <w:shd w:fill="F2F1ED" w:val="clear"/>
        </w:rPr>
        <w:t xml:space="preserve">CIB</w:t>
      </w:r>
      <w:r>
        <w:t xml:space="preserve">, </w:t>
      </w:r>
      <w:r>
        <w:rPr>
          <w:rFonts w:ascii="Consolas" w:cs="Consolas" w:eastAsia="Consolas" w:hAnsi="Consolas"/>
          <w:shd w:fill="F2F1ED" w:val="clear"/>
        </w:rPr>
        <w:t xml:space="preserve">HK</w:t>
      </w:r>
      <w:r>
        <w:t xml:space="preserve">, </w:t>
      </w:r>
      <w:r>
        <w:rPr>
          <w:rFonts w:ascii="Consolas" w:cs="Consolas" w:eastAsia="Consolas" w:hAnsi="Consolas"/>
          <w:shd w:fill="F2F1ED" w:val="clear"/>
        </w:rPr>
        <w:t xml:space="preserve">UK</w:t>
      </w:r>
      <w:r>
        <w:t xml:space="preserve">, whatever the CommentaryTemplates' Scope column defines — plus Auto, and any style whose rows are deliberately unscoped, by its own name. Picking a scope forces that scope's template (its last-defined row), still filled from the selected variance period.</w:t>
      </w:r>
    </w:p>
    <w:p>
      <w:pPr>
        <w:spacing w:after="140"/>
        <w:ind w:left="360"/>
      </w:pPr>
      <w:r>
        <w:rPr>
          <w:b/>
          <w:bCs/>
        </w:rPr>
        <w:t xml:space="preserve">One selector, in the pane.</w:t>
      </w:r>
      <w:r>
        <w:t xml:space="preserve"> The Management Commentary panel carries no Style dropdown of its own: the narrative follows the scope and the </w:t>
      </w:r>
      <w:r>
        <w:rPr>
          <w:b/>
          <w:bCs/>
        </w:rPr>
        <w:t xml:space="preserve">selected variance period</w:t>
      </w:r>
      <w:r>
        <w:t xml:space="preserve">, exactly as the trajectory and tiles above it — a style pinned to one basis can never contradict the graph beside it. The left pane's </w:t>
      </w:r>
      <w:r>
        <w:rPr>
          <w:b/>
          <w:bCs/>
        </w:rPr>
        <w:t xml:space="preserve">Active style</w:t>
      </w:r>
      <w:r>
        <w:t xml:space="preserve"> is the single deliberate override.</w:t>
      </w:r>
    </w:p>
    <w:p>
      <w:pPr>
        <w:spacing w:after="140"/>
        <w:ind w:left="360"/>
      </w:pPr>
      <w:r>
        <w:rPr>
          <w:b/>
          <w:bCs/>
        </w:rPr>
        <w:t xml:space="preserve">The Style dropdown speaks the configuration's language.</w:t>
      </w:r>
      <w:r>
        <w:t xml:space="preserve"> It offers </w:t>
      </w:r>
      <w:r>
        <w:rPr>
          <w:b/>
          <w:bCs/>
        </w:rPr>
        <w:t xml:space="preserve">Auto — match the scope</w:t>
      </w:r>
      <w:r>
        <w:t xml:space="preserve"> plus the styles the config (and the reader's own saves) define — nothing else. The built-in Pack narrative and House cascade writers appear as choices only in a file with no templates defined at all; with templates present they remain the silent fallback wherever no scoped template matches, not a menu entry. And whichever </w:t>
      </w:r>
      <w:r>
        <w:rPr>
          <w:b/>
          <w:bCs/>
        </w:rPr>
        <w:t xml:space="preserve">variance period</w:t>
      </w:r>
      <w:r>
        <w:t xml:space="preserve"> is selected, the adopted template stays applied and re-fills from that basis — figures, vs-phrase and period label alike.</w:t>
      </w:r>
    </w:p>
    <w:p>
      <w:pPr>
        <w:spacing w:after="140"/>
        <w:ind w:left="360"/>
      </w:pPr>
      <w:r>
        <w:rPr>
          <w:b/>
          <w:bCs/>
        </w:rPr>
        <w:t xml:space="preserve">The style speaks on every composed surface.</w:t>
      </w:r>
      <w:r>
        <w:t xml:space="preserve"> The active style — Auto-resolved or hand-picked — words the Management Commentary, each </w:t>
      </w:r>
      <w:r>
        <w:rPr>
          <w:b/>
          <w:bCs/>
        </w:rPr>
        <w:t xml:space="preserve">All Commentaries</w:t>
      </w:r>
      <w:r>
        <w:t xml:space="preserve"> section (on that section's own basis, so the same sentence shape reads vs PY in one section and vs Target in the next), and the </w:t>
      </w:r>
      <w:r>
        <w:rPr>
          <w:b/>
          <w:bCs/>
        </w:rPr>
        <w:t xml:space="preserve">graph commentary's</w:t>
      </w:r>
      <w:r>
        <w:t xml:space="preserve"> movement sentence beneath the mix panel, the builder and the dashboard widgets. The analytical reads stay the writer's own — the section heads, the "largest line" opener, shares and concentration — and choosing </w:t>
      </w:r>
      <w:r>
        <w:rPr>
          <w:b/>
          <w:bCs/>
        </w:rPr>
        <w:t xml:space="preserve">Pack narrative</w:t>
      </w:r>
      <w:r>
        <w:t xml:space="preserve"> restores every surface at once. The Word and PPT exports carry whichever style is on the page.</w:t>
      </w:r>
    </w:p>
    <w:p>
      <w:pPr>
        <w:spacing w:after="140"/>
        <w:ind w:left="360"/>
      </w:pPr>
      <w:r>
        <w:rPr>
          <w:b/>
          <w:bCs/>
        </w:rPr>
        <w:t xml:space="preserve">The pane picks; the config authors.</w:t>
      </w:r>
      <w:r>
        <w:t xml:space="preserve"> The left pane's Commentary templates section is a picker, nothing more: the </w:t>
      </w:r>
      <w:r>
        <w:rPr>
          <w:b/>
          <w:bCs/>
        </w:rPr>
        <w:t xml:space="preserve">Active style</w:t>
      </w:r>
      <w:r>
        <w:t xml:space="preserve"> selector, offering Auto and the styles the configuration defines. All template authoring lives in the one config workbook — the </w:t>
      </w:r>
      <w:r>
        <w:rPr>
          <w:rFonts w:ascii="Consolas" w:cs="Consolas" w:eastAsia="Consolas" w:hAnsi="Consolas"/>
          <w:shd w:fill="F2F1ED" w:val="clear"/>
        </w:rPr>
        <w:t xml:space="preserve">CommentaryTemplates</w:t>
      </w:r>
      <w:r>
        <w:t xml:space="preserve"> tab and </w:t>
      </w:r>
      <w:r>
        <w:rPr>
          <w:rFonts w:ascii="Consolas" w:cs="Consolas" w:eastAsia="Consolas" w:hAnsi="Consolas"/>
          <w:shd w:fill="F2F1ED" w:val="clear"/>
        </w:rPr>
        <w:t xml:space="preserve">Template &lt;scope&gt;</w:t>
      </w:r>
      <w:r>
        <w:t xml:space="preserve"> tabs — so there is a single place templates come from and nothing to paste or upload in the page itself.</w:t>
      </w:r>
    </w:p>
    <w:p>
      <w:pPr>
        <w:spacing w:after="140"/>
        <w:ind w:left="360"/>
      </w:pPr>
      <w:r>
        <w:rPr>
          <w:b/>
          <w:bCs/>
        </w:rPr>
        <w:t xml:space="preserve">A write-up instead of a pattern.</w:t>
      </w:r>
      <w:r>
        <w:t xml:space="preserve"> This is the normal form: the Group pack's </w:t>
      </w:r>
      <w:r>
        <w:rPr>
          <w:rFonts w:ascii="Consolas" w:cs="Consolas" w:eastAsia="Consolas" w:hAnsi="Consolas"/>
          <w:shd w:fill="F2F1ED" w:val="clear"/>
        </w:rPr>
        <w:t xml:space="preserve">CommentaryTemplates</w:t>
      </w:r>
      <w:r>
        <w:t xml:space="preserve"> rows are themselves written as commentary sentences, and the pattern is detected automatically wherever a Pattern cell carries no </w:t>
      </w:r>
      <w:r>
        <w:rPr>
          <w:rFonts w:ascii="Consolas" w:cs="Consolas" w:eastAsia="Consolas" w:hAnsi="Consolas"/>
          <w:shd w:fill="F2F1ED" w:val="clear"/>
        </w:rPr>
        <w:t xml:space="preserve">{tokens}</w:t>
      </w:r>
      <w:r>
        <w:t xml:space="preserve"> — in the config rows, in </w:t>
      </w:r>
      <w:r>
        <w:rPr>
          <w:rFonts w:ascii="Consolas" w:cs="Consolas" w:eastAsia="Consolas" w:hAnsi="Consolas"/>
          <w:shd w:fill="F2F1ED" w:val="clear"/>
        </w:rPr>
        <w:t xml:space="preserve">Template &lt;scope&gt;</w:t>
      </w:r>
      <w:r>
        <w:t xml:space="preserve"> tabs, in template uploads and in the pane alike.  Nobody has to think in tokens: a written commentary — </w:t>
      </w:r>
      <w:r>
        <w:rPr>
          <w:i/>
          <w:iCs/>
        </w:rPr>
        <w:t xml:space="preserve">"Revenue of $4,193m was up $102m (2.5%) vs Q2 2025, led by Mutual Funds and Deposits."</w:t>
      </w:r>
      <w:r>
        <w:t xml:space="preserve"> — is read and turned into its pattern automatically, a token placed where each figure sits and every other word kept exactly as written.</w:t>
      </w:r>
    </w:p>
    <w:p>
      <w:pPr>
        <w:spacing w:after="140"/>
        <w:ind w:left="360"/>
      </w:pPr>
      <w:r>
        <w:t xml:space="preserve">A write-up lives in the config workbook: a </w:t>
      </w:r>
      <w:r>
        <w:rPr>
          <w:rFonts w:ascii="Consolas" w:cs="Consolas" w:eastAsia="Consolas" w:hAnsi="Consolas"/>
          <w:shd w:fill="F2F1ED" w:val="clear"/>
        </w:rPr>
        <w:t xml:space="preserve">CommentaryTemplates</w:t>
      </w:r>
      <w:r>
        <w:t xml:space="preserve"> row whose Pattern cell is prose, or a </w:t>
      </w:r>
      <w:r>
        <w:rPr>
          <w:b/>
          <w:bCs/>
        </w:rPr>
        <w:t xml:space="preserve">`Template &lt;scope&gt;` tab</w:t>
      </w:r>
      <w:r>
        <w:t xml:space="preserve"> (e.g. </w:t>
      </w:r>
      <w:r>
        <w:rPr>
          <w:rFonts w:ascii="Consolas" w:cs="Consolas" w:eastAsia="Consolas" w:hAnsi="Consolas"/>
          <w:shd w:fill="F2F1ED" w:val="clear"/>
        </w:rPr>
        <w:t xml:space="preserve">Template IWPB Global</w:t>
      </w:r>
      <w:r>
        <w:t xml:space="preserve">) holding a longer write-up, which overrides the sheet's row for the same scope. The recognition covers the movement clause (up/down amounts, F/A notation), the vs-phrase, an against/from base, percentages, mover lists after "led by", "driven by", "on the back of" or "reflecting", the subject line matched against the file's own line names, and place or business names, which become the scope.</w:t>
      </w:r>
    </w:p>
    <w:p>
      <w:pPr>
        <w:spacing w:after="140"/>
        <w:ind w:left="360"/>
      </w:pPr>
      <w:r>
        <w:rPr>
          <w:b/>
          <w:bCs/>
        </w:rPr>
        <w:t xml:space="preserve">Placeholder figures are recognised too</w:t>
      </w:r>
      <w:r>
        <w:t xml:space="preserve">, the way template packs are actually written: </w:t>
      </w:r>
      <w:r>
        <w:rPr>
          <w:rFonts w:ascii="Consolas" w:cs="Consolas" w:eastAsia="Consolas" w:hAnsi="Consolas"/>
          <w:shd w:fill="F2F1ED" w:val="clear"/>
        </w:rPr>
        <w:t xml:space="preserve">$Xm up/down</w:t>
      </w:r>
      <w:r>
        <w:t xml:space="preserve"> reads as the movement, </w:t>
      </w:r>
      <w:r>
        <w:rPr>
          <w:rFonts w:ascii="Consolas" w:cs="Consolas" w:eastAsia="Consolas" w:hAnsi="Consolas"/>
          <w:shd w:fill="F2F1ED" w:val="clear"/>
        </w:rPr>
        <w:t xml:space="preserve">x%</w:t>
      </w:r>
      <w:r>
        <w:t xml:space="preserve"> as the percentage, a bare </w:t>
      </w:r>
      <w:r>
        <w:rPr>
          <w:rFonts w:ascii="Consolas" w:cs="Consolas" w:eastAsia="Consolas" w:hAnsi="Consolas"/>
          <w:shd w:fill="F2F1ED" w:val="clear"/>
        </w:rPr>
        <w:t xml:space="preserve">$Xm</w:t>
      </w:r>
      <w:r>
        <w:t xml:space="preserve"> as the figure itself, and a named basis — "(Month) Actuals Vs Forecast", "FY Forecast vs Target" — reads as the </w:t>
      </w:r>
      <w:r>
        <w:rPr>
          <w:b/>
          <w:bCs/>
        </w:rPr>
        <w:t xml:space="preserve">selected variance period</w:t>
      </w:r>
      <w:r>
        <w:t xml:space="preserve">, so a write-up built on placeholders fills from whichever basis the left pane has selected and re-fills when it changes. Once derived it is an ordinary scoped template — adopted by Auto, previewed, exported and overridden like any other — and as always the tokens fill from the page's computed figures, so the example's own numbers never survive into the output.</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a </w:t>
      </w:r>
      <w:r>
        <w:rPr>
          <w:b/>
          <w:bCs/>
        </w:rPr>
        <w:t xml:space="preserve">Commentary</w:t>
      </w:r>
      <w:r>
        <w:t xml:space="preserve"> row in the config,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TM1 extract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TM1 extract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simulations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simulation actually moves, with Excel export. A simulation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A </w:t>
      </w:r>
      <w:r>
        <w:rPr>
          <w:b/>
          <w:bCs/>
        </w:rPr>
        <w:t xml:space="preserve">Forecast by month</w:t>
      </w:r>
      <w:r>
        <w:t xml:space="preserve"> table sits under the impact table: every forecast month with its prior forecast, its simulated figure and the movement between them. A P&amp;L foots to the sum of those months; a balance never does — each month is a closing position and the foot is the closing month, so the months are never added up.</w:t>
      </w:r>
    </w:p>
    <w:p>
      <w:pPr>
        <w:spacing w:after="100"/>
        <w:ind w:left="360"/>
      </w:pPr>
      <w:r>
        <w:rPr>
          <w:b/>
          <w:bCs/>
        </w:rPr>
        <w:t xml:space="preserve">⤓ Excel</w:t>
      </w:r>
      <w:r>
        <w:t xml:space="preserve"> sits on the result itself and carries both tables, the impact on one sheet and the month-by-month on another. Each sheet opens with what was run and over what: the simulation's name and category, the scope in force (business, region, country, month), the basis and units, the forecast months and the source file — then a rule table setting out how it was applied, one row per rule with its scope, its second condition, the statement it touches, the adjustment, the change and the months — and then the figures. Simulations save by name (localStorage) for reload; the work-in-progress simulation survives refreshes.</w:t>
      </w:r>
    </w:p>
    <w:p>
      <w:pPr>
        <w:spacing w:after="140"/>
        <w:ind w:left="360"/>
      </w:pPr>
      <w:r>
        <w:rPr>
          <w:b/>
          <w:bCs/>
        </w:rPr>
        <w:t xml:space="preserve">Pre-loaded simulations from the config pack</w:t>
      </w:r>
      <w:r>
        <w:t xml:space="preserve"> — an optional </w:t>
      </w:r>
      <w:r>
        <w:rPr>
          <w:rFonts w:ascii="Consolas" w:cs="Consolas" w:eastAsia="Consolas" w:hAnsi="Consolas"/>
          <w:shd w:fill="F2F1ED" w:val="clear"/>
        </w:rPr>
        <w:t xml:space="preserve">Simulations</w:t>
      </w:r>
      <w:r>
        <w:t xml:space="preserve"> sheet in the configuration workbook ships ready-made simulations to every user who opens the dashboard, instead of each living in one person's browser. Columns: </w:t>
      </w:r>
      <w:r>
        <w:rPr>
          <w:rFonts w:ascii="Consolas" w:cs="Consolas" w:eastAsia="Consolas" w:hAnsi="Consolas"/>
          <w:shd w:fill="F2F1ED" w:val="clear"/>
        </w:rPr>
        <w:t xml:space="preserve">Simulation | Dim | Value | Dim2 | Value2 | Statement | Type | Change | From | To | Category</w:t>
      </w:r>
      <w:r>
        <w:t xml:space="preserve">.</w:t>
      </w:r>
    </w:p>
    <w:p>
      <w:pPr>
        <w:spacing w:after="140"/>
        <w:ind w:left="360"/>
      </w:pPr>
      <w:r>
        <w:t xml:space="preserve">Rows sharing a Simulation name become one multi-rule simulation, and </w:t>
      </w:r>
      <w:r>
        <w:rPr>
          <w:rFonts w:ascii="Consolas" w:cs="Consolas" w:eastAsia="Consolas" w:hAnsi="Consolas"/>
          <w:shd w:fill="F2F1ED" w:val="clear"/>
        </w:rPr>
        <w:t xml:space="preserve">Category</w:t>
      </w:r>
      <w:r>
        <w:t xml:space="preserve"> files it on the page — the Saved simulations list and the compare picker group under those headings (Cost, Macroeconomic, Geopolitical, or whatever the sheet says), with anything a person saved themselves last under </w:t>
      </w:r>
      <w:r>
        <w:rPr>
          <w:b/>
          <w:bCs/>
        </w:rPr>
        <w:t xml:space="preserve">My simulations</w:t>
      </w:r>
      <w:r>
        <w:t xml:space="preserve">. (A sheet still named </w:t>
      </w:r>
      <w:r>
        <w:rPr>
          <w:rFonts w:ascii="Consolas" w:cs="Consolas" w:eastAsia="Consolas" w:hAnsi="Consolas"/>
          <w:shd w:fill="F2F1ED" w:val="clear"/>
        </w:rPr>
        <w:t xml:space="preserve">Scenarios</w:t>
      </w:r>
      <w:r>
        <w:t xml:space="preserve">, the tab's earlier name, is read exactly the same way, so packs already in circulation keep working.) </w:t>
      </w:r>
      <w:r>
        <w:rPr>
          <w:rFonts w:ascii="Consolas" w:cs="Consolas" w:eastAsia="Consolas" w:hAnsi="Consolas"/>
          <w:shd w:fill="F2F1ED" w:val="clear"/>
        </w:rPr>
        <w:t xml:space="preserve">Dim</w:t>
      </w:r>
      <w:r>
        <w:t xml:space="preserve">/</w:t>
      </w:r>
      <w:r>
        <w:rPr>
          <w:rFonts w:ascii="Consolas" w:cs="Consolas" w:eastAsia="Consolas" w:hAnsi="Consolas"/>
          <w:shd w:fill="F2F1ED" w:val="clear"/>
        </w:rPr>
        <w:t xml:space="preserve">Value</w:t>
      </w:r>
      <w:r>
        <w:t xml:space="preserve"> is the main scope (e.g. </w:t>
      </w:r>
      <w:r>
        <w:rPr>
          <w:rFonts w:ascii="Consolas" w:cs="Consolas" w:eastAsia="Consolas" w:hAnsi="Consolas"/>
          <w:shd w:fill="F2F1ED" w:val="clear"/>
        </w:rPr>
        <w:t xml:space="preserve">MICA Level 3</w:t>
      </w:r>
      <w:r>
        <w:t xml:space="preserve"> = </w:t>
      </w:r>
      <w:r>
        <w:rPr>
          <w:rFonts w:ascii="Consolas" w:cs="Consolas" w:eastAsia="Consolas" w:hAnsi="Consolas"/>
          <w:shd w:fill="F2F1ED" w:val="clear"/>
        </w:rPr>
        <w:t xml:space="preserve">NII - Net Interest Income</w:t>
      </w:r>
      <w:r>
        <w:t xml:space="preserve">); </w:t>
      </w:r>
      <w:r>
        <w:rPr>
          <w:rFonts w:ascii="Consolas" w:cs="Consolas" w:eastAsia="Consolas" w:hAnsi="Consolas"/>
          <w:shd w:fill="F2F1ED" w:val="clear"/>
        </w:rPr>
        <w:t xml:space="preserve">Dim2</w:t>
      </w:r>
      <w:r>
        <w:t xml:space="preserve">/</w:t>
      </w:r>
      <w:r>
        <w:rPr>
          <w:rFonts w:ascii="Consolas" w:cs="Consolas" w:eastAsia="Consolas" w:hAnsi="Consolas"/>
          <w:shd w:fill="F2F1ED" w:val="clear"/>
        </w:rPr>
        <w:t xml:space="preserve">Value2</w:t>
      </w:r>
      <w:r>
        <w:t xml:space="preserve"> is an optional second condition — a line </w:t>
      </w:r>
      <w:r>
        <w:rPr>
          <w:i/>
          <w:iCs/>
        </w:rPr>
        <w:t xml:space="preserve">within</w:t>
      </w:r>
      <w:r>
        <w:t xml:space="preserve"> a geography — shown on the rule as "· within Region = MENAT" (dims accepted: Country, Region, Business, MICA Level 1–4, Product Level 1–3).</w:t>
      </w:r>
    </w:p>
    <w:p>
      <w:pPr>
        <w:spacing w:after="140"/>
        <w:ind w:left="360"/>
      </w:pPr>
      <w:r>
        <w:rPr>
          <w:rFonts w:ascii="Consolas" w:cs="Consolas" w:eastAsia="Consolas" w:hAnsi="Consolas"/>
          <w:shd w:fill="F2F1ED" w:val="clear"/>
        </w:rPr>
        <w:t xml:space="preserve">Statement</w:t>
      </w:r>
      <w:r>
        <w:t xml:space="preserve"> is </w:t>
      </w:r>
      <w:r>
        <w:rPr>
          <w:rFonts w:ascii="Consolas" w:cs="Consolas" w:eastAsia="Consolas" w:hAnsi="Consolas"/>
          <w:shd w:fill="F2F1ED" w:val="clear"/>
        </w:rPr>
        <w:t xml:space="preserve">pl</w:t>
      </w:r>
      <w:r>
        <w:t xml:space="preserve">, </w:t>
      </w:r>
      <w:r>
        <w:rPr>
          <w:rFonts w:ascii="Consolas" w:cs="Consolas" w:eastAsia="Consolas" w:hAnsi="Consolas"/>
          <w:shd w:fill="F2F1ED" w:val="clear"/>
        </w:rPr>
        <w:t xml:space="preserve">bs</w:t>
      </w:r>
      <w:r>
        <w:t xml:space="preserve"> or </w:t>
      </w:r>
      <w:r>
        <w:rPr>
          <w:rFonts w:ascii="Consolas" w:cs="Consolas" w:eastAsia="Consolas" w:hAnsi="Consolas"/>
          <w:shd w:fill="F2F1ED" w:val="clear"/>
        </w:rPr>
        <w:t xml:space="preserve">all</w:t>
      </w:r>
      <w:r>
        <w:t xml:space="preserve">; </w:t>
      </w:r>
      <w:r>
        <w:rPr>
          <w:rFonts w:ascii="Consolas" w:cs="Consolas" w:eastAsia="Consolas" w:hAnsi="Consolas"/>
          <w:shd w:fill="F2F1ED" w:val="clear"/>
        </w:rPr>
        <w:t xml:space="preserve">Type</w:t>
      </w:r>
      <w:r>
        <w:t xml:space="preserve"> is </w:t>
      </w:r>
      <w:r>
        <w:rPr>
          <w:rFonts w:ascii="Consolas" w:cs="Consolas" w:eastAsia="Consolas" w:hAnsi="Consolas"/>
          <w:shd w:fill="F2F1ED" w:val="clear"/>
        </w:rPr>
        <w:t xml:space="preserve">pct</w:t>
      </w:r>
      <w:r>
        <w:t xml:space="preserve"> (% change), </w:t>
      </w:r>
      <w:r>
        <w:rPr>
          <w:rFonts w:ascii="Consolas" w:cs="Consolas" w:eastAsia="Consolas" w:hAnsi="Consolas"/>
          <w:shd w:fill="F2F1ED" w:val="clear"/>
        </w:rPr>
        <w:t xml:space="preserve">pctfy</w:t>
      </w:r>
      <w:r>
        <w:t xml:space="preserve"> (% of full year), </w:t>
      </w:r>
      <w:r>
        <w:rPr>
          <w:rFonts w:ascii="Consolas" w:cs="Consolas" w:eastAsia="Consolas" w:hAnsi="Consolas"/>
          <w:shd w:fill="F2F1ED" w:val="clear"/>
        </w:rPr>
        <w:t xml:space="preserve">amt</w:t>
      </w:r>
      <w:r>
        <w:t xml:space="preserve"> (add amount) or </w:t>
      </w:r>
      <w:r>
        <w:rPr>
          <w:rFonts w:ascii="Consolas" w:cs="Consolas" w:eastAsia="Consolas" w:hAnsi="Consolas"/>
          <w:shd w:fill="F2F1ED" w:val="clear"/>
        </w:rPr>
        <w:t xml:space="preserve">setm</w:t>
      </w:r>
      <w:r>
        <w:t xml:space="preserve"> (set monthly total); </w:t>
      </w:r>
      <w:r>
        <w:rPr>
          <w:rFonts w:ascii="Consolas" w:cs="Consolas" w:eastAsia="Consolas" w:hAnsi="Consolas"/>
          <w:shd w:fill="F2F1ED" w:val="clear"/>
        </w:rPr>
        <w:t xml:space="preserve">Change</w:t>
      </w:r>
      <w:r>
        <w:t xml:space="preserve"> is the number; </w:t>
      </w:r>
      <w:r>
        <w:rPr>
          <w:rFonts w:ascii="Consolas" w:cs="Consolas" w:eastAsia="Consolas" w:hAnsi="Consolas"/>
          <w:shd w:fill="F2F1ED" w:val="clear"/>
        </w:rPr>
        <w:t xml:space="preserve">From</w:t>
      </w:r>
      <w:r>
        <w:t xml:space="preserve">/</w:t>
      </w:r>
      <w:r>
        <w:rPr>
          <w:rFonts w:ascii="Consolas" w:cs="Consolas" w:eastAsia="Consolas" w:hAnsi="Consolas"/>
          <w:shd w:fill="F2F1ED" w:val="clear"/>
        </w:rPr>
        <w:t xml:space="preserve">To</w:t>
      </w:r>
      <w:r>
        <w:t xml:space="preserve"> are month names (</w:t>
      </w:r>
      <w:r>
        <w:rPr>
          <w:rFonts w:ascii="Consolas" w:cs="Consolas" w:eastAsia="Consolas" w:hAnsi="Consolas"/>
          <w:shd w:fill="F2F1ED" w:val="clear"/>
        </w:rPr>
        <w:t xml:space="preserve">AUG</w:t>
      </w:r>
      <w:r>
        <w:t xml:space="preserve">…</w:t>
      </w:r>
      <w:r>
        <w:rPr>
          <w:rFonts w:ascii="Consolas" w:cs="Consolas" w:eastAsia="Consolas" w:hAnsi="Consolas"/>
          <w:shd w:fill="F2F1ED" w:val="clear"/>
        </w:rPr>
        <w:t xml:space="preserve">DEC</w:t>
      </w:r>
      <w:r>
        <w:t xml:space="preserve">). Seeding happens when the config loads and never overwrites a simulation the user already saved under the same name; a seeded rule whose scope matches nothing in the loaded TM1 extract shows the usual "no rows match" note rather than silently doing nothing.</w:t>
      </w:r>
    </w:p>
    <w:p>
      <w:pPr>
        <w:spacing w:after="140"/>
        <w:ind w:left="360"/>
      </w:pPr>
      <w:r>
        <w:t xml:space="preserve">The Group pack ships sixteen simulations built this way: six Middle East crisis cases (Gulf rate cuts, EGP devaluation, deposit flight, Gulf inflows upside, trade disruption, and an oil-spike counter-case), five macroeconomic cases (global rate cuts, China hard landing, US/Europe recession, a markets-rally upside, and stagflation), and five cost cases (pay review, variable pay true-up, savings programme, indirect cost inflation, and an offshoring footprint shift that lowers UK direct costs while raising Asia's), filed on the sheet as Geopolitical, Macroeconomic and Cost respectively.</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is deliberately spare: the dashboards navigation, the Configuration section, the period controls (YTD-through month and variance period) and the Commentary templates picker — scoping happens in the top scope bar, and the Excel exports carry the default column set.</w:t>
      </w:r>
    </w:p>
    <w:p>
      <w:pPr>
        <w:spacing w:after="140"/>
      </w:pPr>
      <w:r>
        <w:t xml:space="preserve">The old Data drill down page is retired — the </w:t>
      </w:r>
      <w:r>
        <w:rPr>
          <w:b/>
          <w:bCs/>
        </w:rPr>
        <w:t xml:space="preserve">Query builder</w:t>
      </w:r>
      <w:r>
        <w:t xml:space="preserve"> covers it: drag the columns you want, filter and sort, run, and </w:t>
      </w:r>
      <w:r>
        <w:rPr>
          <w:b/>
          <w:bCs/>
        </w:rPr>
        <w:t xml:space="preserve">⤓ Export to Excel</w:t>
      </w:r>
      <w:r>
        <w:t xml:space="preserve"> on the Results panel downloads the result RAG compares YTD actuals with the same prior-year months: </w:t>
      </w:r>
      <w:r>
        <w:rPr>
          <w:b/>
          <w:bCs/>
        </w:rPr>
        <w:t xml:space="preserve">green at or above prior year, red below it</w:t>
      </w:r>
      <w:r>
        <w:t xml:space="preserve">. There is no amber and no watch band — an in-between rating only ever meant "within a tolerance nobody agreed", and it let the same figure read three ways depending on a setting.</w:t>
      </w:r>
    </w:p>
    <w:p>
      <w:pPr>
        <w:spacing w:after="140"/>
      </w:pPr>
      <w:r>
        <w:rPr>
          <w:rFonts w:ascii="Consolas" w:cs="Consolas" w:eastAsia="Consolas" w:hAnsi="Consolas"/>
          <w:shd w:fill="F2F1ED" w:val="clear"/>
        </w:rPr>
        <w:t xml:space="preserve">calc_rag_green_at</w:t>
      </w:r>
      <w:r>
        <w:t xml:space="preserve"> sets where favourable starts and is the whole of the policy;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There is </w:t>
      </w:r>
      <w:r>
        <w:rPr>
          <w:b/>
          <w:bCs/>
        </w:rPr>
        <w:t xml:space="preserve">one configuration file</w:t>
      </w:r>
      <w:r>
        <w:t xml:space="preserve">: </w:t>
      </w:r>
      <w:r>
        <w:rPr>
          <w:rFonts w:ascii="Consolas" w:cs="Consolas" w:eastAsia="Consolas" w:hAnsi="Consolas"/>
          <w:shd w:fill="F2F1ED" w:val="clear"/>
        </w:rPr>
        <w:t xml:space="preserve">Group_dashboard_config_pack.xlsx</w:t>
      </w:r>
      <w:r>
        <w:t xml:space="preserve"> in this folder, an xlsx workbook with a sheet per section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r>
        <w:t xml:space="preserve">, </w:t>
      </w:r>
      <w:r>
        <w:rPr>
          <w:rFonts w:ascii="Consolas" w:cs="Consolas" w:eastAsia="Consolas" w:hAnsi="Consolas"/>
          <w:shd w:fill="F2F1ED" w:val="clear"/>
        </w:rPr>
        <w:t xml:space="preserve">Metrics</w:t>
      </w:r>
      <w:r>
        <w:t xml:space="preserve">, </w:t>
      </w:r>
      <w:r>
        <w:rPr>
          <w:rFonts w:ascii="Consolas" w:cs="Consolas" w:eastAsia="Consolas" w:hAnsi="Consolas"/>
          <w:shd w:fill="F2F1ED" w:val="clear"/>
        </w:rPr>
        <w:t xml:space="preserve">Commentary</w:t>
      </w:r>
      <w:r>
        <w:t xml:space="preserve">, </w:t>
      </w:r>
      <w:r>
        <w:rPr>
          <w:rFonts w:ascii="Consolas" w:cs="Consolas" w:eastAsia="Consolas" w:hAnsi="Consolas"/>
          <w:shd w:fill="F2F1ED" w:val="clear"/>
        </w:rPr>
        <w:t xml:space="preserve">CommentaryTemplates</w:t>
      </w:r>
      <w:r>
        <w:t xml:space="preserve">, the hierarchies. Everything the page does is driven from it. (A flat CSV with columns </w:t>
      </w:r>
      <w:r>
        <w:rPr>
          <w:rFonts w:ascii="Consolas" w:cs="Consolas" w:eastAsia="Consolas" w:hAnsi="Consolas"/>
          <w:shd w:fill="F2F1ED" w:val="clear"/>
        </w:rPr>
        <w:t xml:space="preserve">Sheet,Key,Value,Extra1,Extra2,Extra3</w:t>
      </w:r>
      <w:r>
        <w:t xml:space="preserve"> is also accepted for tooling that emits CSV; the in-app download offers it. A sample lives under </w:t>
      </w:r>
      <w:r>
        <w:rPr>
          <w:rFonts w:ascii="Consolas" w:cs="Consolas" w:eastAsia="Consolas" w:hAnsi="Consolas"/>
          <w:shd w:fill="F2F1ED" w:val="clear"/>
        </w:rPr>
        <w:t xml:space="preserve">sample/</w:t>
      </w:r>
      <w:r>
        <w:t xml:space="preserve">.)</w:t>
      </w:r>
    </w:p>
    <w:p>
      <w:pPr>
        <w:spacing w:after="140"/>
      </w:pPr>
      <w:r>
        <w:t xml:space="preserve">What each section governs:</w:t>
      </w:r>
    </w:p>
    <w:p>
      <w:pPr>
        <w:pStyle w:val="ListParagraph"/>
        <w:numPr>
          <w:ilvl w:val="0"/>
          <w:numId w:val="3"/>
        </w:numPr>
        <w:spacing w:after="80"/>
      </w:pPr>
      <w:r>
        <w:rPr>
          <w:b/>
          <w:bCs/>
        </w:rPr>
        <w:t xml:space="preserve">Labels</w:t>
      </w:r>
      <w:r>
        <w:t xml:space="preserve"> — every heading, section title and control label the page shows, one </w:t>
      </w:r>
      <w:r>
        <w:rPr>
          <w:rFonts w:ascii="Consolas" w:cs="Consolas" w:eastAsia="Consolas" w:hAnsi="Consolas"/>
          <w:shd w:fill="F2F1ED" w:val="clear"/>
        </w:rPr>
        <w:t xml:space="preserve">Key | Text</w:t>
      </w:r>
      <w:r>
        <w:t xml:space="preserve"> row each. The whole left rail is worded here: the section headings (</w:t>
      </w:r>
      <w:r>
        <w:rPr>
          <w:rFonts w:ascii="Consolas" w:cs="Consolas" w:eastAsia="Consolas" w:hAnsi="Consolas"/>
          <w:shd w:fill="F2F1ED" w:val="clear"/>
        </w:rPr>
        <w:t xml:space="preserve">sect_dashboards</w:t>
      </w:r>
      <w:r>
        <w:t xml:space="preserve">, </w:t>
      </w:r>
      <w:r>
        <w:rPr>
          <w:rFonts w:ascii="Consolas" w:cs="Consolas" w:eastAsia="Consolas" w:hAnsi="Consolas"/>
          <w:shd w:fill="F2F1ED" w:val="clear"/>
        </w:rPr>
        <w:t xml:space="preserve">sect_config</w:t>
      </w:r>
      <w:r>
        <w:t xml:space="preserve">, </w:t>
      </w:r>
      <w:r>
        <w:rPr>
          <w:rFonts w:ascii="Consolas" w:cs="Consolas" w:eastAsia="Consolas" w:hAnsi="Consolas"/>
          <w:shd w:fill="F2F1ED" w:val="clear"/>
        </w:rPr>
        <w:t xml:space="preserve">sect_period</w:t>
      </w:r>
      <w:r>
        <w:t xml:space="preserve">, </w:t>
      </w:r>
      <w:r>
        <w:rPr>
          <w:rFonts w:ascii="Consolas" w:cs="Consolas" w:eastAsia="Consolas" w:hAnsi="Consolas"/>
          <w:shd w:fill="F2F1ED" w:val="clear"/>
        </w:rPr>
        <w:t xml:space="preserve">sect_comtpl</w:t>
      </w:r>
      <w:r>
        <w:t xml:space="preserve">), every navigation entry (</w:t>
      </w:r>
      <w:r>
        <w:rPr>
          <w:rFonts w:ascii="Consolas" w:cs="Consolas" w:eastAsia="Consolas" w:hAnsi="Consolas"/>
          <w:shd w:fill="F2F1ED" w:val="clear"/>
        </w:rPr>
        <w:t xml:space="preserve">nav_*</w:t>
      </w:r>
      <w:r>
        <w:t xml:space="preserve">), the ingest button and page (</w:t>
      </w:r>
      <w:r>
        <w:rPr>
          <w:rFonts w:ascii="Consolas" w:cs="Consolas" w:eastAsia="Consolas" w:hAnsi="Consolas"/>
          <w:shd w:fill="F2F1ED" w:val="clear"/>
        </w:rPr>
        <w:t xml:space="preserve">btn_newfile</w:t>
      </w:r>
      <w:r>
        <w:t xml:space="preserve">, </w:t>
      </w:r>
      <w:r>
        <w:rPr>
          <w:rFonts w:ascii="Consolas" w:cs="Consolas" w:eastAsia="Consolas" w:hAnsi="Consolas"/>
          <w:shd w:fill="F2F1ED" w:val="clear"/>
        </w:rPr>
        <w:t xml:space="preserve">ingest_title</w:t>
      </w:r>
      <w:r>
        <w:t xml:space="preserve">, </w:t>
      </w:r>
      <w:r>
        <w:rPr>
          <w:rFonts w:ascii="Consolas" w:cs="Consolas" w:eastAsia="Consolas" w:hAnsi="Consolas"/>
          <w:shd w:fill="F2F1ED" w:val="clear"/>
        </w:rPr>
        <w:t xml:space="preserve">ingest_drop</w:t>
      </w:r>
      <w:r>
        <w:t xml:space="preserve">) and the period controls (</w:t>
      </w:r>
      <w:r>
        <w:rPr>
          <w:rFonts w:ascii="Consolas" w:cs="Consolas" w:eastAsia="Consolas" w:hAnsi="Consolas"/>
          <w:shd w:fill="F2F1ED" w:val="clear"/>
        </w:rPr>
        <w:t xml:space="preserve">lbl_year</w:t>
      </w:r>
      <w:r>
        <w:t xml:space="preserve">, </w:t>
      </w:r>
      <w:r>
        <w:rPr>
          <w:rFonts w:ascii="Consolas" w:cs="Consolas" w:eastAsia="Consolas" w:hAnsi="Consolas"/>
          <w:shd w:fill="F2F1ED" w:val="clear"/>
        </w:rPr>
        <w:t xml:space="preserve">lbl_ytd</w:t>
      </w:r>
      <w:r>
        <w:t xml:space="preserve">, </w:t>
      </w:r>
      <w:r>
        <w:rPr>
          <w:rFonts w:ascii="Consolas" w:cs="Consolas" w:eastAsia="Consolas" w:hAnsi="Consolas"/>
          <w:shd w:fill="F2F1ED" w:val="clear"/>
        </w:rPr>
        <w:t xml:space="preserve">lbl_varper</w:t>
      </w:r>
      <w:r>
        <w:t xml:space="preserve">, </w:t>
      </w:r>
      <w:r>
        <w:rPr>
          <w:rFonts w:ascii="Consolas" w:cs="Consolas" w:eastAsia="Consolas" w:hAnsi="Consolas"/>
          <w:shd w:fill="F2F1ED" w:val="clear"/>
        </w:rPr>
        <w:t xml:space="preserve">lbl_units</w:t>
      </w:r>
      <w:r>
        <w:t xml:space="preserve">). Change a row and the pane follows on the next config load — nothing in the rail is hard-coded. The three packs carry the complete set, and </w:t>
      </w:r>
      <w:r>
        <w:rPr>
          <w:b/>
          <w:bCs/>
        </w:rPr>
        <w:t xml:space="preserve">Download template CSV</w:t>
      </w:r>
      <w:r>
        <w:t xml:space="preserve"> lists every key with its default, so the full surface is discoverable without reading the page source.</w:t>
      </w:r>
    </w:p>
    <w:p>
      <w:pPr>
        <w:pStyle w:val="ListParagraph"/>
        <w:numPr>
          <w:ilvl w:val="0"/>
          <w:numId w:val="3"/>
        </w:numPr>
        <w:spacing w:after="10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which tiles show at all (the plain-language form is the </w:t>
      </w:r>
      <w:r>
        <w:rPr>
          <w:b/>
          <w:bCs/>
        </w:rPr>
        <w:t xml:space="preserve">`Tiles` tab</w:t>
      </w:r>
      <w:r>
        <w:t xml:space="preserve"> — one row per tile, its name in column A,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in column B; </w:t>
      </w:r>
      <w:r>
        <w:rPr>
          <w:rFonts w:ascii="Consolas" w:cs="Consolas" w:eastAsia="Consolas" w:hAnsi="Consolas"/>
          <w:shd w:fill="F2F1ED" w:val="clear"/>
        </w:rPr>
        <w:t xml:space="preserve">N</w:t>
      </w:r>
      <w:r>
        <w:t xml:space="preserve"> parks it, and a tab of only-</w:t>
      </w:r>
      <w:r>
        <w:rPr>
          <w:rFonts w:ascii="Consolas" w:cs="Consolas" w:eastAsia="Consolas" w:hAnsi="Consolas"/>
          <w:shd w:fill="F2F1ED" w:val="clear"/>
        </w:rPr>
        <w:t xml:space="preserve">Y</w:t>
      </w:r>
      <w:r>
        <w:t xml:space="preserve"> rows shows just those.</w:t>
      </w:r>
    </w:p>
    <w:p>
      <w:pPr>
        <w:spacing w:after="100"/>
        <w:ind w:left="360"/>
      </w:pPr>
      <w:r>
        <w:t xml:space="preserve">The Settings rows remain for pattern work: </w:t>
      </w:r>
      <w:r>
        <w:rPr>
          <w:rFonts w:ascii="Consolas" w:cs="Consolas" w:eastAsia="Consolas" w:hAnsi="Consolas"/>
          <w:shd w:fill="F2F1ED" w:val="clear"/>
        </w:rPr>
        <w:t xml:space="preserve">tile_hidden</w:t>
      </w:r>
      <w:r>
        <w:t xml:space="preserve"> parks the named tiles — exact names or patterns, so </w:t>
      </w:r>
      <w:r>
        <w:rPr>
          <w:rFonts w:ascii="Consolas" w:cs="Consolas" w:eastAsia="Consolas" w:hAnsi="Consolas"/>
          <w:shd w:fill="F2F1ED" w:val="clear"/>
        </w:rPr>
        <w:t xml:space="preserve">cost.*</w:t>
      </w:r>
      <w:r>
        <w:t xml:space="preserve"> parks every cost line — and </w:t>
      </w:r>
      <w:r>
        <w:rPr>
          <w:rFonts w:ascii="Consolas" w:cs="Consolas" w:eastAsia="Consolas" w:hAnsi="Consolas"/>
          <w:shd w:fill="F2F1ED" w:val="clear"/>
        </w:rPr>
        <w:t xml:space="preserve">tile_visible</w:t>
      </w:r>
      <w:r>
        <w:t xml:space="preserve"> keeps </w:t>
      </w:r>
      <w:r>
        <w:rPr>
          <w:b/>
          <w:bCs/>
        </w:rPr>
        <w:t xml:space="preserve">only</w:t>
      </w:r>
      <w:r>
        <w:t xml:space="preserve"> the named ones; parked tiles stay one click away behind the "Show parked tiles" strip, a reader's own show/hide toggle still wins on their screen, and uploading a configuration re-baselines the tiles to its policy), the RAG threshold (</w:t>
      </w:r>
      <w:r>
        <w:rPr>
          <w:rFonts w:ascii="Consolas" w:cs="Consolas" w:eastAsia="Consolas" w:hAnsi="Consolas"/>
          <w:shd w:fill="F2F1ED" w:val="clear"/>
        </w:rPr>
        <w:t xml:space="preserve">calc_rag_green_at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w:t>
      </w:r>
    </w:p>
    <w:p>
      <w:pPr>
        <w:spacing w:after="100"/>
        <w:ind w:left="360"/>
      </w:pPr>
      <w:r>
        <w:t xml:space="preserve">By default this is exactly the six comparisons the All Commentaries pack writes, in the pack's order — </w:t>
      </w:r>
      <w:r>
        <w:rPr>
          <w:rFonts w:ascii="Consolas" w:cs="Consolas" w:eastAsia="Consolas" w:hAnsi="Consolas"/>
          <w:shd w:fill="F2F1ED" w:val="clear"/>
        </w:rPr>
        <w:t xml:space="preserve">qtr_py</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fy_pfc</w:t>
      </w:r>
      <w:r>
        <w:t xml:space="preserve">, </w:t>
      </w:r>
      <w:r>
        <w:rPr>
          <w:rFonts w:ascii="Consolas" w:cs="Consolas" w:eastAsia="Consolas" w:hAnsi="Consolas"/>
          <w:shd w:fill="F2F1ED" w:val="clear"/>
        </w:rPr>
        <w:t xml:space="preserve">fy_py</w:t>
      </w:r>
      <w:r>
        <w:t xml:space="preserve">, </w:t>
      </w:r>
      <w:r>
        <w:rPr>
          <w:rFonts w:ascii="Consolas" w:cs="Consolas" w:eastAsia="Consolas" w:hAnsi="Consolas"/>
          <w:shd w:fill="F2F1ED" w:val="clear"/>
        </w:rPr>
        <w:t xml:space="preserve">fy_tgt</w:t>
      </w:r>
      <w:r>
        <w:t xml:space="preserve"> — so the selector and the pack read one basis list; the page lands on the first of them the file can serve. A config can still narrow or extend the list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remain understood); entries a file cannot serve are hidden automatically.</w:t>
      </w:r>
    </w:p>
    <w:p>
      <w:pPr>
        <w:spacing w:after="140"/>
        <w:ind w:left="360"/>
      </w:pPr>
      <w:r>
        <w:t xml:space="preserve">The </w:t>
      </w:r>
      <w:r>
        <w:rPr>
          <w:b/>
          <w:bCs/>
        </w:rPr>
        <w:t xml:space="preserve">opening line</w:t>
      </w:r>
      <w:r>
        <w:t xml:space="preserve"> that used to stand above the page title — the one sentence naming the lead line, its movement and the outlook against target — is off by default (</w:t>
      </w:r>
      <w:r>
        <w:rPr>
          <w:rFonts w:ascii="Consolas" w:cs="Consolas" w:eastAsia="Consolas" w:hAnsi="Consolas"/>
          <w:shd w:fill="F2F1ED" w:val="clear"/>
        </w:rPr>
        <w:t xml:space="preserve">summary_lede</w:t>
      </w:r>
      <w:r>
        <w:t xml:space="preserve">). Set it to </w:t>
      </w:r>
      <w:r>
        <w:rPr>
          <w:rFonts w:ascii="Consolas" w:cs="Consolas" w:eastAsia="Consolas" w:hAnsi="Consolas"/>
          <w:shd w:fill="F2F1ED" w:val="clear"/>
        </w:rPr>
        <w:t xml:space="preserve">Y</w:t>
      </w:r>
      <w:r>
        <w:t xml:space="preserve"> to bring it back; the PowerPoint export follows the page either way.</w:t>
      </w:r>
    </w:p>
    <w:p>
      <w:pPr>
        <w:spacing w:after="140"/>
        <w:ind w:left="360"/>
      </w:pPr>
      <w:r>
        <w:rPr>
          <w:b/>
          <w:bCs/>
        </w:rPr>
        <w:t xml:space="preserve">Tile size</w:t>
      </w:r>
      <w:r>
        <w:t xml:space="preserve"> is configurable too: </w:t>
      </w:r>
      <w:r>
        <w:rPr>
          <w:rFonts w:ascii="Consolas" w:cs="Consolas" w:eastAsia="Consolas" w:hAnsi="Consolas"/>
          <w:shd w:fill="F2F1ED" w:val="clear"/>
        </w:rPr>
        <w:t xml:space="preserve">tile_height</w:t>
      </w:r>
      <w:r>
        <w:t xml:space="preserve"> (default </w:t>
      </w:r>
      <w:r>
        <w:rPr>
          <w:rFonts w:ascii="Consolas" w:cs="Consolas" w:eastAsia="Consolas" w:hAnsi="Consolas"/>
          <w:shd w:fill="F2F1ED" w:val="clear"/>
        </w:rPr>
        <w:t xml:space="preserve">150</w:t>
      </w:r>
      <w:r>
        <w:t xml:space="preserve">) is the height in pixels every tile shares, and </w:t>
      </w:r>
      <w:r>
        <w:rPr>
          <w:rFonts w:ascii="Consolas" w:cs="Consolas" w:eastAsia="Consolas" w:hAnsi="Consolas"/>
          <w:shd w:fill="F2F1ED" w:val="clear"/>
        </w:rPr>
        <w:t xml:space="preserve">tile_min_width</w:t>
      </w:r>
      <w:r>
        <w:t xml:space="preserve"> (default </w:t>
      </w:r>
      <w:r>
        <w:rPr>
          <w:rFonts w:ascii="Consolas" w:cs="Consolas" w:eastAsia="Consolas" w:hAnsi="Consolas"/>
          <w:shd w:fill="F2F1ED" w:val="clear"/>
        </w:rPr>
        <w:t xml:space="preserve">252</w:t>
      </w:r>
      <w:r>
        <w:t xml:space="preserve">) is the narrowest a tile may become before the grid drops a column — so it governs how many tiles sit in a row, and therefore how many rows the summary needs. Raise </w:t>
      </w:r>
      <w:r>
        <w:rPr>
          <w:rFonts w:ascii="Consolas" w:cs="Consolas" w:eastAsia="Consolas" w:hAnsi="Consolas"/>
          <w:shd w:fill="F2F1ED" w:val="clear"/>
        </w:rPr>
        <w:t xml:space="preserve">tile_height</w:t>
      </w:r>
      <w:r>
        <w:t xml:space="preserve"> for a roomier grid; raise </w:t>
      </w:r>
      <w:r>
        <w:rPr>
          <w:rFonts w:ascii="Consolas" w:cs="Consolas" w:eastAsia="Consolas" w:hAnsi="Consolas"/>
          <w:shd w:fill="F2F1ED" w:val="clear"/>
        </w:rPr>
        <w:t xml:space="preserve">tile_min_width</w:t>
      </w:r>
      <w:r>
        <w:t xml:space="preserve"> for fewer, wider tiles. </w:t>
      </w:r>
      <w:r>
        <w:rPr>
          <w:rFonts w:ascii="Consolas" w:cs="Consolas" w:eastAsia="Consolas" w:hAnsi="Consolas"/>
          <w:shd w:fill="F2F1ED" w:val="clear"/>
        </w:rPr>
        <w:t xml:space="preserve">tile_height</w:t>
      </w:r>
      <w:r>
        <w:t xml:space="preserve"> is a floor rather than a cap: a tile whose content needs more room still grows, so setting it very low simply lets the tiles find their natural height. Values that are not numbers, or below the workable minimums (60px high, 150px wide), fall back to the defaults rather than breaking the grid.</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TM1 extract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simulation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TM1 extract's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TM1 extract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TM1 extract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TM1 extract's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TM1 extract).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TM1 extract and pack together — a worked example of the six bases as a document.</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TM1 extract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TM1 extract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p>
      <w:pPr>
        <w:spacing w:after="140"/>
      </w:pPr>
      <w:r>
        <w:rPr>
          <w:b/>
          <w:bCs/>
        </w:rPr>
        <w:t xml:space="preserve">One type scale across every deck.</w:t>
      </w:r>
      <w:r>
        <w:t xml:space="preserve"> A slide title is the same size whether it opens a deck or continues it, and headings, paragraphs, notes, legends and table cells match from one export to the next — the sizes live in a single </w:t>
      </w:r>
      <w:r>
        <w:rPr>
          <w:rFonts w:ascii="Consolas" w:cs="Consolas" w:eastAsia="Consolas" w:hAnsi="Consolas"/>
          <w:shd w:fill="F2F1ED" w:val="clear"/>
        </w:rPr>
        <w:t xml:space="preserve">PPT_FS</w:t>
      </w:r>
      <w:r>
        <w:t xml:space="preserve"> scale rather than being chosen per slide. The KPI tiles settle their own three sizes once across the whole grid, off the longest name, value and comparison in the set, so a short line no longer prints larger than a long one beside it. The Financial Summary's dense table is the deliberate exception: it still fits itself to its column count, always smaller than the body size.</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2026-08-17T10:11:41.257Z</dcterms:created>
  <dcterms:modified xsi:type="dcterms:W3CDTF">2026-08-17T10:11:41.258Z</dcterms:modified>
</cp:coreProperties>
</file>

<file path=docProps/custom.xml><?xml version="1.0" encoding="utf-8"?>
<Properties xmlns="http://schemas.openxmlformats.org/officeDocument/2006/custom-properties" xmlns:vt="http://schemas.openxmlformats.org/officeDocument/2006/docPropsVTypes"/>
</file>