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t xml:space="preserve">Beneath the Management Commentary the Summary carries a </w:t>
      </w:r>
      <w:r>
        <w:rPr>
          <w:b/>
          <w:bCs/>
        </w:rPr>
        <w:t xml:space="preserve">Business performance</w:t>
      </w:r>
      <w:r>
        <w:t xml:space="preserve"> table — the consolidation shown as evidence: one row per region under its business, a Global subtotal per business, the Group at the foot, each with the P&amp;L YTD and the three comparisons. The regions visibly add to their Global line and the Global lines to the Group; rows no business mapping claims appear as an Unallocated line so the table always adds up; balances stay out. The table reads the whole tree whatever geography is scoped elsewhere, and hides on a single-business file.</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2026-08-15T18:52:15.011Z</dcterms:created>
  <dcterms:modified xsi:type="dcterms:W3CDTF">2026-08-15T18:52:15.012Z</dcterms:modified>
</cp:coreProperties>
</file>

<file path=docProps/custom.xml><?xml version="1.0" encoding="utf-8"?>
<Properties xmlns="http://schemas.openxmlformats.org/officeDocument/2006/custom-properties" xmlns:vt="http://schemas.openxmlformats.org/officeDocument/2006/docPropsVTypes"/>
</file>