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DB0011"/>
          <w:rFonts w:ascii="Segoe UI" w:hAnsi="Segoe UI"/>
          <w:sz w:val="28"/>
        </w:rPr>
        <w:t xml:space="preserve">IWPB Singapore Driller — commentary, JUN 2026</w:t>
      </w:r>
    </w:p>
    <w:p>
      <w:pPr>
        <w:spacing w:before="200" w:after="60"/>
      </w:pPr>
      <w:r>
        <w:rPr>
          <w:b/>
          <w:rFonts w:ascii="Segoe UI" w:hAnsi="Segoe UI"/>
          <w:sz w:val="24"/>
        </w:rPr>
        <w:t xml:space="preserve">(Current QTR) Actuals vs PY (ex notables)</w:t>
      </w:r>
    </w:p>
    <w:p>
      <w:pPr>
        <w:spacing w:after="120"/>
      </w:pPr>
      <w:r>
        <w:rPr>
          <w:i/>
          <w:color w:val="52514E"/>
          <w:rFonts w:ascii="Segoe UI" w:hAnsi="Segoe UI"/>
          <w:sz w:val="17"/>
        </w:rPr>
        <w:t xml:space="preserve">Filters: none · YTD Jan–JUN</w:t>
      </w:r>
    </w:p>
    <w:p>
      <w:pPr>
        <w:spacing w:before="0" w:after="120"/>
      </w:pPr>
      <w:r>
        <w:rPr>
          <w:b/>
          <w:rFonts w:ascii="Segoe UI" w:hAnsi="Segoe UI"/>
          <w:sz w:val="20"/>
        </w:rPr>
        <w:t xml:space="preserve">PBT ex Notables</w:t>
      </w:r>
      <w:r>
        <w:rPr>
          <w:rFonts w:ascii="Segoe UI" w:hAnsi="Segoe UI"/>
          <w:sz w:val="20"/>
        </w:rPr>
        <w:t xml:space="preserve"> is $102m up vs PY driven by lower Banking NII (</w:t>
      </w:r>
      <w:r>
        <w:rPr>
          <w:b/>
          <w:color w:val="0B7A0B"/>
          <w:rFonts w:ascii="Segoe UI" w:hAnsi="Segoe UI"/>
          <w:sz w:val="20"/>
        </w:rPr>
        <w:t xml:space="preserve">$163mF</w:t>
      </w:r>
      <w:r>
        <w:rPr>
          <w:rFonts w:ascii="Segoe UI" w:hAnsi="Segoe UI"/>
          <w:sz w:val="20"/>
        </w:rPr>
        <w:t xml:space="preserve"> 66.6%), offset by lower Revenue (</w:t>
      </w:r>
      <w:r>
        <w:rPr>
          <w:b/>
          <w:color w:val="C21A1A"/>
          <w:rFonts w:ascii="Segoe UI" w:hAnsi="Segoe UI"/>
          <w:sz w:val="20"/>
        </w:rPr>
        <w:t xml:space="preserve">$135mA</w:t>
      </w:r>
      <w:r>
        <w:rPr>
          <w:rFonts w:ascii="Segoe UI" w:hAnsi="Segoe UI"/>
          <w:sz w:val="20"/>
        </w:rPr>
        <w:t xml:space="preserve"> 8.1%)</w:t>
      </w:r>
    </w:p>
    <w:p>
      <w:pPr>
        <w:spacing w:before="0" w:after="120"/>
      </w:pPr>
      <w:r>
        <w:rPr>
          <w:rFonts w:ascii="Segoe UI" w:hAnsi="Segoe UI"/>
          <w:sz w:val="20"/>
        </w:rPr>
        <w:t xml:space="preserve">The half closed ahead of plan on revenue, with costs the watch item into the second half.</w:t>
      </w:r>
    </w:p>
    <w:p>
      <w:pPr>
        <w:spacing w:before="0" w:after="120"/>
      </w:pPr>
      <w:r>
        <w:rPr>
          <w:b/>
          <w:rFonts w:ascii="Segoe UI" w:hAnsi="Segoe UI"/>
          <w:sz w:val="20"/>
        </w:rPr>
        <w:t xml:space="preserve">Banking NII</w:t>
      </w:r>
      <w:r>
        <w:rPr>
          <w:rFonts w:ascii="Segoe UI" w:hAnsi="Segoe UI"/>
          <w:sz w:val="20"/>
        </w:rPr>
        <w:t xml:space="preserve"> of $81m are </w:t>
      </w:r>
      <w:r>
        <w:rPr>
          <w:b/>
          <w:color w:val="0B7A0B"/>
          <w:rFonts w:ascii="Segoe UI" w:hAnsi="Segoe UI"/>
          <w:sz w:val="20"/>
        </w:rPr>
        <w:t xml:space="preserve">$163mF</w:t>
      </w:r>
      <w:r>
        <w:rPr>
          <w:rFonts w:ascii="Segoe UI" w:hAnsi="Segoe UI"/>
          <w:sz w:val="20"/>
        </w:rPr>
        <w:t xml:space="preserve"> 66.6% driven by Saving Accounts (</w:t>
      </w:r>
      <w:r>
        <w:rPr>
          <w:b/>
          <w:color w:val="0B7A0B"/>
          <w:rFonts w:ascii="Segoe UI" w:hAnsi="Segoe UI"/>
          <w:sz w:val="20"/>
        </w:rPr>
        <w:t xml:space="preserve">$44mF</w:t>
      </w:r>
      <w:r>
        <w:rPr>
          <w:rFonts w:ascii="Segoe UI" w:hAnsi="Segoe UI"/>
          <w:sz w:val="20"/>
        </w:rPr>
        <w:t xml:space="preserve"> 193%), Other Products (</w:t>
      </w:r>
      <w:r>
        <w:rPr>
          <w:b/>
          <w:color w:val="0B7A0B"/>
          <w:rFonts w:ascii="Segoe UI" w:hAnsi="Segoe UI"/>
          <w:sz w:val="20"/>
        </w:rPr>
        <w:t xml:space="preserve">$43mF</w:t>
      </w:r>
      <w:r>
        <w:rPr>
          <w:rFonts w:ascii="Segoe UI" w:hAnsi="Segoe UI"/>
          <w:sz w:val="20"/>
        </w:rPr>
        <w:t xml:space="preserve"> 562%), Cards (</w:t>
      </w:r>
      <w:r>
        <w:rPr>
          <w:b/>
          <w:color w:val="0B7A0B"/>
          <w:rFonts w:ascii="Segoe UI" w:hAnsi="Segoe UI"/>
          <w:sz w:val="20"/>
        </w:rPr>
        <w:t xml:space="preserve">$34mF</w:t>
      </w:r>
      <w:r>
        <w:rPr>
          <w:rFonts w:ascii="Segoe UI" w:hAnsi="Segoe UI"/>
          <w:sz w:val="20"/>
        </w:rPr>
        <w:t xml:space="preserve"> 45.4%), Wealth Lending (</w:t>
      </w:r>
      <w:r>
        <w:rPr>
          <w:b/>
          <w:color w:val="0B7A0B"/>
          <w:rFonts w:ascii="Segoe UI" w:hAnsi="Segoe UI"/>
          <w:sz w:val="20"/>
        </w:rPr>
        <w:t xml:space="preserve">$32mF</w:t>
      </w:r>
      <w:r>
        <w:rPr>
          <w:rFonts w:ascii="Segoe UI" w:hAnsi="Segoe UI"/>
          <w:sz w:val="20"/>
        </w:rPr>
        <w:t xml:space="preserve"> 21.3%), offset by Mortgages (</w:t>
      </w:r>
      <w:r>
        <w:rPr>
          <w:b/>
          <w:color w:val="C21A1A"/>
          <w:rFonts w:ascii="Segoe UI" w:hAnsi="Segoe UI"/>
          <w:sz w:val="20"/>
        </w:rPr>
        <w:t xml:space="preserve">$27mA</w:t>
      </w:r>
      <w:r>
        <w:rPr>
          <w:rFonts w:ascii="Segoe UI" w:hAnsi="Segoe UI"/>
          <w:sz w:val="20"/>
        </w:rPr>
        <w:t xml:space="preserve"> 14.8%)</w:t>
      </w:r>
    </w:p>
    <w:p>
      <w:pPr>
        <w:spacing w:before="0" w:after="120"/>
      </w:pPr>
      <w:r>
        <w:rPr>
          <w:b/>
          <w:rFonts w:ascii="Segoe UI" w:hAnsi="Segoe UI"/>
          <w:sz w:val="20"/>
        </w:rPr>
        <w:t xml:space="preserve">Fees and Other Income</w:t>
      </w:r>
      <w:r>
        <w:rPr>
          <w:rFonts w:ascii="Segoe UI" w:hAnsi="Segoe UI"/>
          <w:sz w:val="20"/>
        </w:rPr>
        <w:t xml:space="preserve"> of $2,746m are </w:t>
      </w:r>
      <w:r>
        <w:rPr>
          <w:b/>
          <w:color w:val="0B7A0B"/>
          <w:rFonts w:ascii="Segoe UI" w:hAnsi="Segoe UI"/>
          <w:sz w:val="20"/>
        </w:rPr>
        <w:t xml:space="preserve">$75mF</w:t>
      </w:r>
      <w:r>
        <w:rPr>
          <w:rFonts w:ascii="Segoe UI" w:hAnsi="Segoe UI"/>
          <w:sz w:val="20"/>
        </w:rPr>
        <w:t xml:space="preserve"> 2.8% driven by Wealth Lending (</w:t>
      </w:r>
      <w:r>
        <w:rPr>
          <w:b/>
          <w:color w:val="0B7A0B"/>
          <w:rFonts w:ascii="Segoe UI" w:hAnsi="Segoe UI"/>
          <w:sz w:val="20"/>
        </w:rPr>
        <w:t xml:space="preserve">$86mF</w:t>
      </w:r>
      <w:r>
        <w:rPr>
          <w:rFonts w:ascii="Segoe UI" w:hAnsi="Segoe UI"/>
          <w:sz w:val="20"/>
        </w:rPr>
        <w:t xml:space="preserve"> 20.9%), offset by Structured Products (</w:t>
      </w:r>
      <w:r>
        <w:rPr>
          <w:b/>
          <w:color w:val="C21A1A"/>
          <w:rFonts w:ascii="Segoe UI" w:hAnsi="Segoe UI"/>
          <w:sz w:val="20"/>
        </w:rPr>
        <w:t xml:space="preserve">$58mA</w:t>
      </w:r>
      <w:r>
        <w:rPr>
          <w:rFonts w:ascii="Segoe UI" w:hAnsi="Segoe UI"/>
          <w:sz w:val="20"/>
        </w:rPr>
        <w:t xml:space="preserve"> 15.8%), Cash FX (</w:t>
      </w:r>
      <w:r>
        <w:rPr>
          <w:b/>
          <w:color w:val="C21A1A"/>
          <w:rFonts w:ascii="Segoe UI" w:hAnsi="Segoe UI"/>
          <w:sz w:val="20"/>
        </w:rPr>
        <w:t xml:space="preserve">$50mA</w:t>
      </w:r>
      <w:r>
        <w:rPr>
          <w:rFonts w:ascii="Segoe UI" w:hAnsi="Segoe UI"/>
          <w:sz w:val="20"/>
        </w:rPr>
        <w:t xml:space="preserve"> 33.5%)</w:t>
      </w:r>
    </w:p>
    <w:p>
      <w:pPr>
        <w:spacing w:before="0" w:after="120"/>
      </w:pPr>
      <w:r>
        <w:rPr>
          <w:b/>
          <w:rFonts w:ascii="Segoe UI" w:hAnsi="Segoe UI"/>
          <w:sz w:val="20"/>
        </w:rPr>
        <w:t xml:space="preserve">Revenue</w:t>
      </w:r>
      <w:r>
        <w:rPr>
          <w:rFonts w:ascii="Segoe UI" w:hAnsi="Segoe UI"/>
          <w:sz w:val="20"/>
        </w:rPr>
        <w:t xml:space="preserve"> of $1,528m are </w:t>
      </w:r>
      <w:r>
        <w:rPr>
          <w:b/>
          <w:color w:val="C21A1A"/>
          <w:rFonts w:ascii="Segoe UI" w:hAnsi="Segoe UI"/>
          <w:sz w:val="20"/>
        </w:rPr>
        <w:t xml:space="preserve">$135mA</w:t>
      </w:r>
      <w:r>
        <w:rPr>
          <w:rFonts w:ascii="Segoe UI" w:hAnsi="Segoe UI"/>
          <w:sz w:val="20"/>
        </w:rPr>
        <w:t xml:space="preserve"> 8.1% driven by Current Accounts (</w:t>
      </w:r>
      <w:r>
        <w:rPr>
          <w:b/>
          <w:color w:val="C21A1A"/>
          <w:rFonts w:ascii="Segoe UI" w:hAnsi="Segoe UI"/>
          <w:sz w:val="20"/>
        </w:rPr>
        <w:t xml:space="preserve">$66mA</w:t>
      </w:r>
      <w:r>
        <w:rPr>
          <w:rFonts w:ascii="Segoe UI" w:hAnsi="Segoe UI"/>
          <w:sz w:val="20"/>
        </w:rPr>
        <w:t xml:space="preserve"> 19.9%), Cards (</w:t>
      </w:r>
      <w:r>
        <w:rPr>
          <w:b/>
          <w:color w:val="C21A1A"/>
          <w:rFonts w:ascii="Segoe UI" w:hAnsi="Segoe UI"/>
          <w:sz w:val="20"/>
        </w:rPr>
        <w:t xml:space="preserve">$53mA</w:t>
      </w:r>
      <w:r>
        <w:rPr>
          <w:rFonts w:ascii="Segoe UI" w:hAnsi="Segoe UI"/>
          <w:sz w:val="20"/>
        </w:rPr>
        <w:t xml:space="preserve"> 18.1%), offset by Wealth Ins Distn (</w:t>
      </w:r>
      <w:r>
        <w:rPr>
          <w:b/>
          <w:color w:val="0B7A0B"/>
          <w:rFonts w:ascii="Segoe UI" w:hAnsi="Segoe UI"/>
          <w:sz w:val="20"/>
        </w:rPr>
        <w:t xml:space="preserve">$41mF</w:t>
      </w:r>
      <w:r>
        <w:rPr>
          <w:rFonts w:ascii="Segoe UI" w:hAnsi="Segoe UI"/>
          <w:sz w:val="20"/>
        </w:rPr>
        <w:t xml:space="preserve"> 34.6%), Wealth Lending (</w:t>
      </w:r>
      <w:r>
        <w:rPr>
          <w:b/>
          <w:color w:val="0B7A0B"/>
          <w:rFonts w:ascii="Segoe UI" w:hAnsi="Segoe UI"/>
          <w:sz w:val="20"/>
        </w:rPr>
        <w:t xml:space="preserve">$31mF</w:t>
      </w:r>
      <w:r>
        <w:rPr>
          <w:rFonts w:ascii="Segoe UI" w:hAnsi="Segoe UI"/>
          <w:sz w:val="20"/>
        </w:rPr>
        <w:t xml:space="preserve"> 20.4%)</w:t>
      </w:r>
    </w:p>
    <w:p>
      <w:pPr>
        <w:spacing w:before="0" w:after="120"/>
      </w:pPr>
      <w:r>
        <w:rPr>
          <w:b/>
          <w:rFonts w:ascii="Segoe UI" w:hAnsi="Segoe UI"/>
          <w:sz w:val="20"/>
        </w:rPr>
        <w:t xml:space="preserve">NII - Interest Income</w:t>
      </w:r>
      <w:r>
        <w:rPr>
          <w:rFonts w:ascii="Segoe UI" w:hAnsi="Segoe UI"/>
          <w:sz w:val="20"/>
        </w:rPr>
        <w:t xml:space="preserve"> — NII carried the half. Deposit margin held better than the plan assumed as the pass-through on time deposits was slower than expected.</w:t>
      </w:r>
    </w:p>
    <w:p>
      <w:pPr>
        <w:spacing w:before="0" w:after="120"/>
      </w:pPr>
      <w:r>
        <w:rPr>
          <w:b/>
          <w:rFonts w:ascii="Segoe UI" w:hAnsi="Segoe UI"/>
          <w:sz w:val="20"/>
        </w:rPr>
        <w:t xml:space="preserve">Net Fee Income</w:t>
      </w:r>
      <w:r>
        <w:rPr>
          <w:rFonts w:ascii="Segoe UI" w:hAnsi="Segoe UI"/>
          <w:sz w:val="20"/>
        </w:rPr>
        <w:t xml:space="preserve"> — was the softer line. Investment activity thinned after the March rally…</w:t>
      </w:r>
    </w:p>
    <w:p>
      <w:pPr>
        <w:spacing w:before="200" w:after="60"/>
      </w:pPr>
      <w:r>
        <w:rPr>
          <w:b/>
          <w:rFonts w:ascii="Segoe UI" w:hAnsi="Segoe UI"/>
          <w:sz w:val="24"/>
        </w:rPr>
        <w:t xml:space="preserve">(Month YTD) Actuals vs Target (ex notables)</w:t>
      </w:r>
    </w:p>
    <w:p>
      <w:pPr>
        <w:spacing w:before="0" w:after="120"/>
      </w:pPr>
      <w:r>
        <w:rPr>
          <w:b/>
          <w:rFonts w:ascii="Segoe UI" w:hAnsi="Segoe UI"/>
          <w:sz w:val="20"/>
        </w:rPr>
        <w:t xml:space="preserve">PBT ex Notables</w:t>
      </w:r>
      <w:r>
        <w:rPr>
          <w:rFonts w:ascii="Segoe UI" w:hAnsi="Segoe UI"/>
          <w:sz w:val="20"/>
        </w:rPr>
        <w:t xml:space="preserve"> is $84m up vs Target driven by higher Fees and Other Income (</w:t>
      </w:r>
      <w:r>
        <w:rPr>
          <w:b/>
          <w:color w:val="C21A1A"/>
          <w:rFonts w:ascii="Segoe UI" w:hAnsi="Segoe UI"/>
          <w:sz w:val="20"/>
        </w:rPr>
        <w:t xml:space="preserve">$70mA</w:t>
      </w:r>
      <w:r>
        <w:rPr>
          <w:rFonts w:ascii="Segoe UI" w:hAnsi="Segoe UI"/>
          <w:sz w:val="20"/>
        </w:rPr>
        <w:t xml:space="preserve"> 1.3%)</w:t>
      </w:r>
    </w:p>
    <w:p>
      <w:pPr>
        <w:spacing w:before="0" w:after="120"/>
      </w:pPr>
      <w:r>
        <w:rPr>
          <w:rFonts w:ascii="Segoe UI" w:hAnsi="Segoe UI"/>
          <w:sz w:val="20"/>
        </w:rPr>
        <w:t xml:space="preserve">The half closed ahead of plan on revenue, with costs the watch item into the second half.</w:t>
      </w:r>
    </w:p>
    <w:p>
      <w:pPr>
        <w:spacing w:before="0" w:after="120"/>
      </w:pPr>
      <w:r>
        <w:rPr>
          <w:b/>
          <w:rFonts w:ascii="Segoe UI" w:hAnsi="Segoe UI"/>
          <w:sz w:val="20"/>
        </w:rPr>
        <w:t xml:space="preserve">Banking NII</w:t>
      </w:r>
      <w:r>
        <w:rPr>
          <w:rFonts w:ascii="Segoe UI" w:hAnsi="Segoe UI"/>
          <w:sz w:val="20"/>
        </w:rPr>
        <w:t xml:space="preserve"> of $322m are </w:t>
      </w:r>
      <w:r>
        <w:rPr>
          <w:b/>
          <w:color w:val="C21A1A"/>
          <w:rFonts w:ascii="Segoe UI" w:hAnsi="Segoe UI"/>
          <w:sz w:val="20"/>
        </w:rPr>
        <w:t xml:space="preserve">$14mA</w:t>
      </w:r>
      <w:r>
        <w:rPr>
          <w:rFonts w:ascii="Segoe UI" w:hAnsi="Segoe UI"/>
          <w:sz w:val="20"/>
        </w:rPr>
        <w:t xml:space="preserve"> 4.4% driven by Current Accounts (</w:t>
      </w:r>
      <w:r>
        <w:rPr>
          <w:b/>
          <w:color w:val="C21A1A"/>
          <w:rFonts w:ascii="Segoe UI" w:hAnsi="Segoe UI"/>
          <w:sz w:val="20"/>
        </w:rPr>
        <w:t xml:space="preserve">$19mA</w:t>
      </w:r>
      <w:r>
        <w:rPr>
          <w:rFonts w:ascii="Segoe UI" w:hAnsi="Segoe UI"/>
          <w:sz w:val="20"/>
        </w:rPr>
        <w:t xml:space="preserve"> 31.3%), offset by Structured Products (</w:t>
      </w:r>
      <w:r>
        <w:rPr>
          <w:b/>
          <w:color w:val="0B7A0B"/>
          <w:rFonts w:ascii="Segoe UI" w:hAnsi="Segoe UI"/>
          <w:sz w:val="20"/>
        </w:rPr>
        <w:t xml:space="preserve">$8mF</w:t>
      </w:r>
      <w:r>
        <w:rPr>
          <w:rFonts w:ascii="Segoe UI" w:hAnsi="Segoe UI"/>
          <w:sz w:val="20"/>
        </w:rPr>
        <w:t xml:space="preserve"> 2.9%), Wealth Ins Distn (</w:t>
      </w:r>
      <w:r>
        <w:rPr>
          <w:b/>
          <w:color w:val="0B7A0B"/>
          <w:rFonts w:ascii="Segoe UI" w:hAnsi="Segoe UI"/>
          <w:sz w:val="20"/>
        </w:rPr>
        <w:t xml:space="preserve">$8mF</w:t>
      </w:r>
      <w:r>
        <w:rPr>
          <w:rFonts w:ascii="Segoe UI" w:hAnsi="Segoe UI"/>
          <w:sz w:val="20"/>
        </w:rPr>
        <w:t xml:space="preserve"> 4.1%)</w:t>
      </w:r>
    </w:p>
    <w:p>
      <w:pPr>
        <w:spacing w:before="0" w:after="120"/>
      </w:pPr>
      <w:r>
        <w:rPr>
          <w:b/>
          <w:rFonts w:ascii="Segoe UI" w:hAnsi="Segoe UI"/>
          <w:sz w:val="20"/>
        </w:rPr>
        <w:t xml:space="preserve">Fees and Other Income</w:t>
      </w:r>
      <w:r>
        <w:rPr>
          <w:rFonts w:ascii="Segoe UI" w:hAnsi="Segoe UI"/>
          <w:sz w:val="20"/>
        </w:rPr>
        <w:t xml:space="preserve"> of $5,483m are </w:t>
      </w:r>
      <w:r>
        <w:rPr>
          <w:b/>
          <w:color w:val="C21A1A"/>
          <w:rFonts w:ascii="Segoe UI" w:hAnsi="Segoe UI"/>
          <w:sz w:val="20"/>
        </w:rPr>
        <w:t xml:space="preserve">$70mA</w:t>
      </w:r>
      <w:r>
        <w:rPr>
          <w:rFonts w:ascii="Segoe UI" w:hAnsi="Segoe UI"/>
          <w:sz w:val="20"/>
        </w:rPr>
        <w:t xml:space="preserve"> 1.3% driven by Wealth Ins Distn (</w:t>
      </w:r>
      <w:r>
        <w:rPr>
          <w:b/>
          <w:color w:val="C21A1A"/>
          <w:rFonts w:ascii="Segoe UI" w:hAnsi="Segoe UI"/>
          <w:sz w:val="20"/>
        </w:rPr>
        <w:t xml:space="preserve">$38mA</w:t>
      </w:r>
      <w:r>
        <w:rPr>
          <w:rFonts w:ascii="Segoe UI" w:hAnsi="Segoe UI"/>
          <w:sz w:val="20"/>
        </w:rPr>
        <w:t xml:space="preserve"> 6.6%), Cards (</w:t>
      </w:r>
      <w:r>
        <w:rPr>
          <w:b/>
          <w:color w:val="C21A1A"/>
          <w:rFonts w:ascii="Segoe UI" w:hAnsi="Segoe UI"/>
          <w:sz w:val="20"/>
        </w:rPr>
        <w:t xml:space="preserve">$17mA</w:t>
      </w:r>
      <w:r>
        <w:rPr>
          <w:rFonts w:ascii="Segoe UI" w:hAnsi="Segoe UI"/>
          <w:sz w:val="20"/>
        </w:rPr>
        <w:t xml:space="preserve"> 2.3%), Wealth Lending (</w:t>
      </w:r>
      <w:r>
        <w:rPr>
          <w:b/>
          <w:color w:val="C21A1A"/>
          <w:rFonts w:ascii="Segoe UI" w:hAnsi="Segoe UI"/>
          <w:sz w:val="20"/>
        </w:rPr>
        <w:t xml:space="preserve">$15mA</w:t>
      </w:r>
      <w:r>
        <w:rPr>
          <w:rFonts w:ascii="Segoe UI" w:hAnsi="Segoe UI"/>
          <w:sz w:val="20"/>
        </w:rPr>
        <w:t xml:space="preserve"> 1.5%), offset by Mortgages (</w:t>
      </w:r>
      <w:r>
        <w:rPr>
          <w:b/>
          <w:color w:val="0B7A0B"/>
          <w:rFonts w:ascii="Segoe UI" w:hAnsi="Segoe UI"/>
          <w:sz w:val="20"/>
        </w:rPr>
        <w:t xml:space="preserve">$15mF</w:t>
      </w:r>
      <w:r>
        <w:rPr>
          <w:rFonts w:ascii="Segoe UI" w:hAnsi="Segoe UI"/>
          <w:sz w:val="20"/>
        </w:rPr>
        <w:t xml:space="preserve"> 2.4%), Structured Products (</w:t>
      </w:r>
      <w:r>
        <w:rPr>
          <w:b/>
          <w:color w:val="0B7A0B"/>
          <w:rFonts w:ascii="Segoe UI" w:hAnsi="Segoe UI"/>
          <w:sz w:val="20"/>
        </w:rPr>
        <w:t xml:space="preserve">$11mF</w:t>
      </w:r>
      <w:r>
        <w:rPr>
          <w:rFonts w:ascii="Segoe UI" w:hAnsi="Segoe UI"/>
          <w:sz w:val="20"/>
        </w:rPr>
        <w:t xml:space="preserve"> 1.8%)</w:t>
      </w:r>
    </w:p>
    <w:p>
      <w:pPr>
        <w:spacing w:before="0" w:after="120"/>
      </w:pPr>
      <w:r>
        <w:rPr>
          <w:b/>
          <w:rFonts w:ascii="Segoe UI" w:hAnsi="Segoe UI"/>
          <w:sz w:val="20"/>
        </w:rPr>
        <w:t xml:space="preserve">Revenue</w:t>
      </w:r>
      <w:r>
        <w:rPr>
          <w:rFonts w:ascii="Segoe UI" w:hAnsi="Segoe UI"/>
          <w:sz w:val="20"/>
        </w:rPr>
        <w:t xml:space="preserve"> of $3,052m are </w:t>
      </w:r>
      <w:r>
        <w:rPr>
          <w:b/>
          <w:color w:val="C21A1A"/>
          <w:rFonts w:ascii="Segoe UI" w:hAnsi="Segoe UI"/>
          <w:sz w:val="20"/>
        </w:rPr>
        <w:t xml:space="preserve">$1mA</w:t>
      </w:r>
      <w:r>
        <w:rPr>
          <w:rFonts w:ascii="Segoe UI" w:hAnsi="Segoe UI"/>
          <w:sz w:val="20"/>
        </w:rPr>
        <w:t xml:space="preserve"> 0.0% driven by Mortgages (</w:t>
      </w:r>
      <w:r>
        <w:rPr>
          <w:b/>
          <w:color w:val="C21A1A"/>
          <w:rFonts w:ascii="Segoe UI" w:hAnsi="Segoe UI"/>
          <w:sz w:val="20"/>
        </w:rPr>
        <w:t xml:space="preserve">$11mA</w:t>
      </w:r>
      <w:r>
        <w:rPr>
          <w:rFonts w:ascii="Segoe UI" w:hAnsi="Segoe UI"/>
          <w:sz w:val="20"/>
        </w:rPr>
        <w:t xml:space="preserve"> 4.0%), offset by Structured Products (</w:t>
      </w:r>
      <w:r>
        <w:rPr>
          <w:b/>
          <w:color w:val="0B7A0B"/>
          <w:rFonts w:ascii="Segoe UI" w:hAnsi="Segoe UI"/>
          <w:sz w:val="20"/>
        </w:rPr>
        <w:t xml:space="preserve">$13mF</w:t>
      </w:r>
      <w:r>
        <w:rPr>
          <w:rFonts w:ascii="Segoe UI" w:hAnsi="Segoe UI"/>
          <w:sz w:val="20"/>
        </w:rPr>
        <w:t xml:space="preserve"> 4.3%)</w:t>
      </w:r>
    </w:p>
    <w:p>
      <w:pPr>
        <w:spacing w:before="0" w:after="120"/>
      </w:pPr>
      <w:r>
        <w:rPr>
          <w:b/>
          <w:rFonts w:ascii="Segoe UI" w:hAnsi="Segoe UI"/>
          <w:sz w:val="20"/>
        </w:rPr>
        <w:t xml:space="preserve">NII - Interest Income</w:t>
      </w:r>
      <w:r>
        <w:rPr>
          <w:rFonts w:ascii="Segoe UI" w:hAnsi="Segoe UI"/>
          <w:sz w:val="20"/>
        </w:rPr>
        <w:t xml:space="preserve"> — NII carried the half. Deposit margin held better than the plan assumed as the pass-through on time deposits was slower than expected.</w:t>
      </w:r>
    </w:p>
    <w:p>
      <w:pPr>
        <w:spacing w:before="0" w:after="120"/>
      </w:pPr>
      <w:r>
        <w:rPr>
          <w:b/>
          <w:rFonts w:ascii="Segoe UI" w:hAnsi="Segoe UI"/>
          <w:sz w:val="20"/>
        </w:rPr>
        <w:t xml:space="preserve">Net Fee Income</w:t>
      </w:r>
      <w:r>
        <w:rPr>
          <w:rFonts w:ascii="Segoe UI" w:hAnsi="Segoe UI"/>
          <w:sz w:val="20"/>
        </w:rPr>
        <w:t xml:space="preserve"> — was the softer line. Investment activity thinned after the March rally…</w:t>
      </w:r>
    </w:p>
    <w:p>
      <w:pPr>
        <w:spacing w:before="200" w:after="60"/>
      </w:pPr>
      <w:r>
        <w:rPr>
          <w:b/>
          <w:rFonts w:ascii="Segoe UI" w:hAnsi="Segoe UI"/>
          <w:sz w:val="24"/>
        </w:rPr>
        <w:t xml:space="preserve">(Month) Actuals vs Forecast (ex notables)</w:t>
      </w:r>
    </w:p>
    <w:p>
      <w:pPr>
        <w:spacing w:before="0" w:after="120"/>
      </w:pPr>
      <w:r>
        <w:rPr>
          <w:b/>
          <w:rFonts w:ascii="Segoe UI" w:hAnsi="Segoe UI"/>
          <w:sz w:val="20"/>
        </w:rPr>
        <w:t xml:space="preserve">PBT ex Notables</w:t>
      </w:r>
      <w:r>
        <w:rPr>
          <w:rFonts w:ascii="Segoe UI" w:hAnsi="Segoe UI"/>
          <w:sz w:val="20"/>
        </w:rPr>
        <w:t xml:space="preserve"> is $35m up vs Forecast driven by higher Fees and Other Income (</w:t>
      </w:r>
      <w:r>
        <w:rPr>
          <w:b/>
          <w:color w:val="C21A1A"/>
          <w:rFonts w:ascii="Segoe UI" w:hAnsi="Segoe UI"/>
          <w:sz w:val="20"/>
        </w:rPr>
        <w:t xml:space="preserve">$74mA</w:t>
      </w:r>
      <w:r>
        <w:rPr>
          <w:rFonts w:ascii="Segoe UI" w:hAnsi="Segoe UI"/>
          <w:sz w:val="20"/>
        </w:rPr>
        <w:t xml:space="preserve"> 8.0%), offset by lower Banking NII (</w:t>
      </w:r>
      <w:r>
        <w:rPr>
          <w:b/>
          <w:color w:val="0B7A0B"/>
          <w:rFonts w:ascii="Segoe UI" w:hAnsi="Segoe UI"/>
          <w:sz w:val="20"/>
        </w:rPr>
        <w:t xml:space="preserve">$65mF</w:t>
      </w:r>
      <w:r>
        <w:rPr>
          <w:rFonts w:ascii="Segoe UI" w:hAnsi="Segoe UI"/>
          <w:sz w:val="20"/>
        </w:rPr>
        <w:t xml:space="preserve"> 79.9%)</w:t>
      </w:r>
    </w:p>
    <w:p>
      <w:pPr>
        <w:spacing w:before="0" w:after="120"/>
      </w:pPr>
      <w:r>
        <w:rPr>
          <w:rFonts w:ascii="Segoe UI" w:hAnsi="Segoe UI"/>
          <w:sz w:val="20"/>
        </w:rPr>
        <w:t xml:space="preserve">The half closed ahead of plan on revenue, with costs the watch item into the second half.</w:t>
      </w:r>
    </w:p>
    <w:p>
      <w:pPr>
        <w:spacing w:before="0" w:after="120"/>
      </w:pPr>
      <w:r>
        <w:rPr>
          <w:b/>
          <w:rFonts w:ascii="Segoe UI" w:hAnsi="Segoe UI"/>
          <w:sz w:val="20"/>
        </w:rPr>
        <w:t xml:space="preserve">Banking NII</w:t>
      </w:r>
      <w:r>
        <w:rPr>
          <w:rFonts w:ascii="Segoe UI" w:hAnsi="Segoe UI"/>
          <w:sz w:val="20"/>
        </w:rPr>
        <w:t xml:space="preserve"> of $16m are </w:t>
      </w:r>
      <w:r>
        <w:rPr>
          <w:b/>
          <w:color w:val="0B7A0B"/>
          <w:rFonts w:ascii="Segoe UI" w:hAnsi="Segoe UI"/>
          <w:sz w:val="20"/>
        </w:rPr>
        <w:t xml:space="preserve">$65mF</w:t>
      </w:r>
      <w:r>
        <w:rPr>
          <w:rFonts w:ascii="Segoe UI" w:hAnsi="Segoe UI"/>
          <w:sz w:val="20"/>
        </w:rPr>
        <w:t xml:space="preserve"> 79.9% driven by Wealth Lending (</w:t>
      </w:r>
      <w:r>
        <w:rPr>
          <w:b/>
          <w:color w:val="0B7A0B"/>
          <w:rFonts w:ascii="Segoe UI" w:hAnsi="Segoe UI"/>
          <w:sz w:val="20"/>
        </w:rPr>
        <w:t xml:space="preserve">$26mF</w:t>
      </w:r>
      <w:r>
        <w:rPr>
          <w:rFonts w:ascii="Segoe UI" w:hAnsi="Segoe UI"/>
          <w:sz w:val="20"/>
        </w:rPr>
        <w:t xml:space="preserve"> 59.0%), Wealth Ins Distn (</w:t>
      </w:r>
      <w:r>
        <w:rPr>
          <w:b/>
          <w:color w:val="0B7A0B"/>
          <w:rFonts w:ascii="Segoe UI" w:hAnsi="Segoe UI"/>
          <w:sz w:val="20"/>
        </w:rPr>
        <w:t xml:space="preserve">$16mF</w:t>
      </w:r>
      <w:r>
        <w:rPr>
          <w:rFonts w:ascii="Segoe UI" w:hAnsi="Segoe UI"/>
          <w:sz w:val="20"/>
        </w:rPr>
        <w:t xml:space="preserve"> 45.4%), Other Products (</w:t>
      </w:r>
      <w:r>
        <w:rPr>
          <w:b/>
          <w:color w:val="0B7A0B"/>
          <w:rFonts w:ascii="Segoe UI" w:hAnsi="Segoe UI"/>
          <w:sz w:val="20"/>
        </w:rPr>
        <w:t xml:space="preserve">$16mF</w:t>
      </w:r>
      <w:r>
        <w:rPr>
          <w:rFonts w:ascii="Segoe UI" w:hAnsi="Segoe UI"/>
          <w:sz w:val="20"/>
        </w:rPr>
        <w:t xml:space="preserve"> 201%), offset by Saving Accounts (</w:t>
      </w:r>
      <w:r>
        <w:rPr>
          <w:b/>
          <w:color w:val="C21A1A"/>
          <w:rFonts w:ascii="Segoe UI" w:hAnsi="Segoe UI"/>
          <w:sz w:val="20"/>
        </w:rPr>
        <w:t xml:space="preserve">$20mA</w:t>
      </w:r>
      <w:r>
        <w:rPr>
          <w:rFonts w:ascii="Segoe UI" w:hAnsi="Segoe UI"/>
          <w:sz w:val="20"/>
        </w:rPr>
        <w:t xml:space="preserve"> 77.7%)</w:t>
      </w:r>
    </w:p>
    <w:p>
      <w:pPr>
        <w:spacing w:before="0" w:after="120"/>
      </w:pPr>
      <w:r>
        <w:rPr>
          <w:b/>
          <w:rFonts w:ascii="Segoe UI" w:hAnsi="Segoe UI"/>
          <w:sz w:val="20"/>
        </w:rPr>
        <w:t xml:space="preserve">Fees and Other Income</w:t>
      </w:r>
      <w:r>
        <w:rPr>
          <w:rFonts w:ascii="Segoe UI" w:hAnsi="Segoe UI"/>
          <w:sz w:val="20"/>
        </w:rPr>
        <w:t xml:space="preserve"> of $859m are </w:t>
      </w:r>
      <w:r>
        <w:rPr>
          <w:b/>
          <w:color w:val="C21A1A"/>
          <w:rFonts w:ascii="Segoe UI" w:hAnsi="Segoe UI"/>
          <w:sz w:val="20"/>
        </w:rPr>
        <w:t xml:space="preserve">$74mA</w:t>
      </w:r>
      <w:r>
        <w:rPr>
          <w:rFonts w:ascii="Segoe UI" w:hAnsi="Segoe UI"/>
          <w:sz w:val="20"/>
        </w:rPr>
        <w:t xml:space="preserve"> 8.0% driven by Cash FX (</w:t>
      </w:r>
      <w:r>
        <w:rPr>
          <w:b/>
          <w:color w:val="C21A1A"/>
          <w:rFonts w:ascii="Segoe UI" w:hAnsi="Segoe UI"/>
          <w:sz w:val="20"/>
        </w:rPr>
        <w:t xml:space="preserve">$42mA</w:t>
      </w:r>
      <w:r>
        <w:rPr>
          <w:rFonts w:ascii="Segoe UI" w:hAnsi="Segoe UI"/>
          <w:sz w:val="20"/>
        </w:rPr>
        <w:t xml:space="preserve"> 88.6%), Mortgages (</w:t>
      </w:r>
      <w:r>
        <w:rPr>
          <w:b/>
          <w:color w:val="C21A1A"/>
          <w:rFonts w:ascii="Segoe UI" w:hAnsi="Segoe UI"/>
          <w:sz w:val="20"/>
        </w:rPr>
        <w:t xml:space="preserve">$16mA</w:t>
      </w:r>
      <w:r>
        <w:rPr>
          <w:rFonts w:ascii="Segoe UI" w:hAnsi="Segoe UI"/>
          <w:sz w:val="20"/>
        </w:rPr>
        <w:t xml:space="preserve"> 13.9%), Wealth Lending (</w:t>
      </w:r>
      <w:r>
        <w:rPr>
          <w:b/>
          <w:color w:val="C21A1A"/>
          <w:rFonts w:ascii="Segoe UI" w:hAnsi="Segoe UI"/>
          <w:sz w:val="20"/>
        </w:rPr>
        <w:t xml:space="preserve">$14mA</w:t>
      </w:r>
      <w:r>
        <w:rPr>
          <w:rFonts w:ascii="Segoe UI" w:hAnsi="Segoe UI"/>
          <w:sz w:val="20"/>
        </w:rPr>
        <w:t xml:space="preserve"> 8.3%), offset by Saving Accounts (</w:t>
      </w:r>
      <w:r>
        <w:rPr>
          <w:b/>
          <w:color w:val="0B7A0B"/>
          <w:rFonts w:ascii="Segoe UI" w:hAnsi="Segoe UI"/>
          <w:sz w:val="20"/>
        </w:rPr>
        <w:t xml:space="preserve">$27mF</w:t>
      </w:r>
      <w:r>
        <w:rPr>
          <w:rFonts w:ascii="Segoe UI" w:hAnsi="Segoe UI"/>
          <w:sz w:val="20"/>
        </w:rPr>
        <w:t xml:space="preserve"> 21.3%)</w:t>
      </w:r>
    </w:p>
    <w:p>
      <w:pPr>
        <w:spacing w:before="0" w:after="120"/>
      </w:pPr>
      <w:r>
        <w:rPr>
          <w:b/>
          <w:rFonts w:ascii="Segoe UI" w:hAnsi="Segoe UI"/>
          <w:sz w:val="20"/>
        </w:rPr>
        <w:t xml:space="preserve">Revenue</w:t>
      </w:r>
      <w:r>
        <w:rPr>
          <w:rFonts w:ascii="Segoe UI" w:hAnsi="Segoe UI"/>
          <w:sz w:val="20"/>
        </w:rPr>
        <w:t xml:space="preserve"> of $483m are </w:t>
      </w:r>
      <w:r>
        <w:rPr>
          <w:b/>
          <w:color w:val="C21A1A"/>
          <w:rFonts w:ascii="Segoe UI" w:hAnsi="Segoe UI"/>
          <w:sz w:val="20"/>
        </w:rPr>
        <w:t xml:space="preserve">$25mA</w:t>
      </w:r>
      <w:r>
        <w:rPr>
          <w:rFonts w:ascii="Segoe UI" w:hAnsi="Segoe UI"/>
          <w:sz w:val="20"/>
        </w:rPr>
        <w:t xml:space="preserve"> 4.9% driven by Wealth Ins Distn (</w:t>
      </w:r>
      <w:r>
        <w:rPr>
          <w:b/>
          <w:color w:val="C21A1A"/>
          <w:rFonts w:ascii="Segoe UI" w:hAnsi="Segoe UI"/>
          <w:sz w:val="20"/>
        </w:rPr>
        <w:t xml:space="preserve">$18mA</w:t>
      </w:r>
      <w:r>
        <w:rPr>
          <w:rFonts w:ascii="Segoe UI" w:hAnsi="Segoe UI"/>
          <w:sz w:val="20"/>
        </w:rPr>
        <w:t xml:space="preserve"> 33.2%), Current Accounts (</w:t>
      </w:r>
      <w:r>
        <w:rPr>
          <w:b/>
          <w:color w:val="C21A1A"/>
          <w:rFonts w:ascii="Segoe UI" w:hAnsi="Segoe UI"/>
          <w:sz w:val="20"/>
        </w:rPr>
        <w:t xml:space="preserve">$18mA</w:t>
      </w:r>
      <w:r>
        <w:rPr>
          <w:rFonts w:ascii="Segoe UI" w:hAnsi="Segoe UI"/>
          <w:sz w:val="20"/>
        </w:rPr>
        <w:t xml:space="preserve"> 21.0%), offset by Wealth Lending (</w:t>
      </w:r>
      <w:r>
        <w:rPr>
          <w:b/>
          <w:color w:val="0B7A0B"/>
          <w:rFonts w:ascii="Segoe UI" w:hAnsi="Segoe UI"/>
          <w:sz w:val="20"/>
        </w:rPr>
        <w:t xml:space="preserve">$14mF</w:t>
      </w:r>
      <w:r>
        <w:rPr>
          <w:rFonts w:ascii="Segoe UI" w:hAnsi="Segoe UI"/>
          <w:sz w:val="20"/>
        </w:rPr>
        <w:t xml:space="preserve"> 26.5%), Saving Accounts (</w:t>
      </w:r>
      <w:r>
        <w:rPr>
          <w:b/>
          <w:color w:val="0B7A0B"/>
          <w:rFonts w:ascii="Segoe UI" w:hAnsi="Segoe UI"/>
          <w:sz w:val="20"/>
        </w:rPr>
        <w:t xml:space="preserve">$11mF</w:t>
      </w:r>
      <w:r>
        <w:rPr>
          <w:rFonts w:ascii="Segoe UI" w:hAnsi="Segoe UI"/>
          <w:sz w:val="20"/>
        </w:rPr>
        <w:t xml:space="preserve"> 23.5%)</w:t>
      </w:r>
    </w:p>
    <w:p>
      <w:pPr>
        <w:spacing w:before="0" w:after="120"/>
      </w:pPr>
      <w:r>
        <w:rPr>
          <w:b/>
          <w:rFonts w:ascii="Segoe UI" w:hAnsi="Segoe UI"/>
          <w:sz w:val="20"/>
        </w:rPr>
        <w:t xml:space="preserve">NII - Interest Income</w:t>
      </w:r>
      <w:r>
        <w:rPr>
          <w:rFonts w:ascii="Segoe UI" w:hAnsi="Segoe UI"/>
          <w:sz w:val="20"/>
        </w:rPr>
        <w:t xml:space="preserve"> — NII carried the half. Deposit margin held better than the plan assumed as the pass-through on time deposits was slower than expected.</w:t>
      </w:r>
    </w:p>
    <w:p>
      <w:pPr>
        <w:spacing w:before="0" w:after="120"/>
      </w:pPr>
      <w:r>
        <w:rPr>
          <w:b/>
          <w:rFonts w:ascii="Segoe UI" w:hAnsi="Segoe UI"/>
          <w:sz w:val="20"/>
        </w:rPr>
        <w:t xml:space="preserve">Net Fee Income</w:t>
      </w:r>
      <w:r>
        <w:rPr>
          <w:rFonts w:ascii="Segoe UI" w:hAnsi="Segoe UI"/>
          <w:sz w:val="20"/>
        </w:rPr>
        <w:t xml:space="preserve"> — was the softer line. Investment activity thinned after the March rally…</w:t>
      </w:r>
    </w:p>
    <w:p>
      <w:pPr>
        <w:spacing w:before="200" w:after="60"/>
      </w:pPr>
      <w:r>
        <w:rPr>
          <w:b/>
          <w:rFonts w:ascii="Segoe UI" w:hAnsi="Segoe UI"/>
          <w:sz w:val="24"/>
        </w:rPr>
        <w:t xml:space="preserve">(Month) FY Forecast Vs Prior Forecast (ex notables)</w:t>
      </w:r>
    </w:p>
    <w:p>
      <w:pPr>
        <w:spacing w:before="0" w:after="120"/>
      </w:pPr>
      <w:r>
        <w:rPr>
          <w:b/>
          <w:rFonts w:ascii="Segoe UI" w:hAnsi="Segoe UI"/>
          <w:sz w:val="20"/>
        </w:rPr>
        <w:t xml:space="preserve">PBT ex Notables</w:t>
      </w:r>
      <w:r>
        <w:rPr>
          <w:rFonts w:ascii="Segoe UI" w:hAnsi="Segoe UI"/>
          <w:sz w:val="20"/>
        </w:rPr>
        <w:t xml:space="preserve"> is $1m up vs Prior Forecast driven by lower Revenue (</w:t>
      </w:r>
      <w:r>
        <w:rPr>
          <w:b/>
          <w:color w:val="C21A1A"/>
          <w:rFonts w:ascii="Segoe UI" w:hAnsi="Segoe UI"/>
          <w:sz w:val="20"/>
        </w:rPr>
        <w:t xml:space="preserve">$8mA</w:t>
      </w:r>
      <w:r>
        <w:rPr>
          <w:rFonts w:ascii="Segoe UI" w:hAnsi="Segoe UI"/>
          <w:sz w:val="20"/>
        </w:rPr>
        <w:t xml:space="preserve"> 0.1%), offset by lower Banking NII (</w:t>
      </w:r>
      <w:r>
        <w:rPr>
          <w:b/>
          <w:color w:val="0B7A0B"/>
          <w:rFonts w:ascii="Segoe UI" w:hAnsi="Segoe UI"/>
          <w:sz w:val="20"/>
        </w:rPr>
        <w:t xml:space="preserve">$7mF</w:t>
      </w:r>
      <w:r>
        <w:rPr>
          <w:rFonts w:ascii="Segoe UI" w:hAnsi="Segoe UI"/>
          <w:sz w:val="20"/>
        </w:rPr>
        <w:t xml:space="preserve"> 0.8%)</w:t>
      </w:r>
    </w:p>
    <w:p>
      <w:pPr>
        <w:spacing w:before="0" w:after="120"/>
      </w:pPr>
      <w:r>
        <w:rPr>
          <w:rFonts w:ascii="Segoe UI" w:hAnsi="Segoe UI"/>
          <w:sz w:val="20"/>
        </w:rPr>
        <w:t xml:space="preserve">The half closed ahead of plan on revenue, with costs the watch item into the second half.</w:t>
      </w:r>
    </w:p>
    <w:p>
      <w:pPr>
        <w:spacing w:before="0" w:after="120"/>
      </w:pPr>
      <w:r>
        <w:rPr>
          <w:b/>
          <w:rFonts w:ascii="Segoe UI" w:hAnsi="Segoe UI"/>
          <w:sz w:val="20"/>
        </w:rPr>
        <w:t xml:space="preserve">Banking NII</w:t>
      </w:r>
      <w:r>
        <w:rPr>
          <w:rFonts w:ascii="Segoe UI" w:hAnsi="Segoe UI"/>
          <w:sz w:val="20"/>
        </w:rPr>
        <w:t xml:space="preserve"> of $967m are </w:t>
      </w:r>
      <w:r>
        <w:rPr>
          <w:b/>
          <w:color w:val="0B7A0B"/>
          <w:rFonts w:ascii="Segoe UI" w:hAnsi="Segoe UI"/>
          <w:sz w:val="20"/>
        </w:rPr>
        <w:t xml:space="preserve">$7mF</w:t>
      </w:r>
      <w:r>
        <w:rPr>
          <w:rFonts w:ascii="Segoe UI" w:hAnsi="Segoe UI"/>
          <w:sz w:val="20"/>
        </w:rPr>
        <w:t xml:space="preserve"> 0.8% driven by Wealth Lending (</w:t>
      </w:r>
      <w:r>
        <w:rPr>
          <w:b/>
          <w:color w:val="0B7A0B"/>
          <w:rFonts w:ascii="Segoe UI" w:hAnsi="Segoe UI"/>
          <w:sz w:val="20"/>
        </w:rPr>
        <w:t xml:space="preserve">$10mF</w:t>
      </w:r>
      <w:r>
        <w:rPr>
          <w:rFonts w:ascii="Segoe UI" w:hAnsi="Segoe UI"/>
          <w:sz w:val="20"/>
        </w:rPr>
        <w:t xml:space="preserve"> 1.8%), offset by Saving Accounts (</w:t>
      </w:r>
      <w:r>
        <w:rPr>
          <w:b/>
          <w:color w:val="C21A1A"/>
          <w:rFonts w:ascii="Segoe UI" w:hAnsi="Segoe UI"/>
          <w:sz w:val="20"/>
        </w:rPr>
        <w:t xml:space="preserve">$10mA</w:t>
      </w:r>
      <w:r>
        <w:rPr>
          <w:rFonts w:ascii="Segoe UI" w:hAnsi="Segoe UI"/>
          <w:sz w:val="20"/>
        </w:rPr>
        <w:t xml:space="preserve"> 3.2%)</w:t>
      </w:r>
    </w:p>
    <w:p>
      <w:pPr>
        <w:spacing w:before="0" w:after="120"/>
      </w:pPr>
      <w:r>
        <w:rPr>
          <w:b/>
          <w:rFonts w:ascii="Segoe UI" w:hAnsi="Segoe UI"/>
          <w:sz w:val="20"/>
        </w:rPr>
        <w:t xml:space="preserve">Fees and Other Income</w:t>
      </w:r>
      <w:r>
        <w:rPr>
          <w:rFonts w:ascii="Segoe UI" w:hAnsi="Segoe UI"/>
          <w:sz w:val="20"/>
        </w:rPr>
        <w:t xml:space="preserve"> of $11,199m are </w:t>
      </w:r>
      <w:r>
        <w:rPr>
          <w:b/>
          <w:color w:val="C21A1A"/>
          <w:rFonts w:ascii="Segoe UI" w:hAnsi="Segoe UI"/>
          <w:sz w:val="20"/>
        </w:rPr>
        <w:t xml:space="preserve">$0mA</w:t>
      </w:r>
      <w:r>
        <w:rPr>
          <w:rFonts w:ascii="Segoe UI" w:hAnsi="Segoe UI"/>
          <w:sz w:val="20"/>
        </w:rPr>
        <w:t xml:space="preserve"> 0.0% driven by Wealth Lending (</w:t>
      </w:r>
      <w:r>
        <w:rPr>
          <w:b/>
          <w:color w:val="C21A1A"/>
          <w:rFonts w:ascii="Segoe UI" w:hAnsi="Segoe UI"/>
          <w:sz w:val="20"/>
        </w:rPr>
        <w:t xml:space="preserve">$11mA</w:t>
      </w:r>
      <w:r>
        <w:rPr>
          <w:rFonts w:ascii="Segoe UI" w:hAnsi="Segoe UI"/>
          <w:sz w:val="20"/>
        </w:rPr>
        <w:t xml:space="preserve"> 0.5%), offset by Mortgages (</w:t>
      </w:r>
      <w:r>
        <w:rPr>
          <w:b/>
          <w:color w:val="0B7A0B"/>
          <w:rFonts w:ascii="Segoe UI" w:hAnsi="Segoe UI"/>
          <w:sz w:val="20"/>
        </w:rPr>
        <w:t xml:space="preserve">$7mF</w:t>
      </w:r>
      <w:r>
        <w:rPr>
          <w:rFonts w:ascii="Segoe UI" w:hAnsi="Segoe UI"/>
          <w:sz w:val="20"/>
        </w:rPr>
        <w:t xml:space="preserve"> 0.5%)</w:t>
      </w:r>
    </w:p>
    <w:p>
      <w:pPr>
        <w:spacing w:before="0" w:after="120"/>
      </w:pPr>
      <w:r>
        <w:rPr>
          <w:b/>
          <w:rFonts w:ascii="Segoe UI" w:hAnsi="Segoe UI"/>
          <w:sz w:val="20"/>
        </w:rPr>
        <w:t xml:space="preserve">Revenue</w:t>
      </w:r>
      <w:r>
        <w:rPr>
          <w:rFonts w:ascii="Segoe UI" w:hAnsi="Segoe UI"/>
          <w:sz w:val="20"/>
        </w:rPr>
        <w:t xml:space="preserve"> of $6,094m are </w:t>
      </w:r>
      <w:r>
        <w:rPr>
          <w:b/>
          <w:color w:val="C21A1A"/>
          <w:rFonts w:ascii="Segoe UI" w:hAnsi="Segoe UI"/>
          <w:sz w:val="20"/>
        </w:rPr>
        <w:t xml:space="preserve">$8mA</w:t>
      </w:r>
      <w:r>
        <w:rPr>
          <w:rFonts w:ascii="Segoe UI" w:hAnsi="Segoe UI"/>
          <w:sz w:val="20"/>
        </w:rPr>
        <w:t xml:space="preserve"> 0.1% driven by Current Accounts (</w:t>
      </w:r>
      <w:r>
        <w:rPr>
          <w:b/>
          <w:color w:val="C21A1A"/>
          <w:rFonts w:ascii="Segoe UI" w:hAnsi="Segoe UI"/>
          <w:sz w:val="20"/>
        </w:rPr>
        <w:t xml:space="preserve">$7mA</w:t>
      </w:r>
      <w:r>
        <w:rPr>
          <w:rFonts w:ascii="Segoe UI" w:hAnsi="Segoe UI"/>
          <w:sz w:val="20"/>
        </w:rPr>
        <w:t xml:space="preserve"> 0.6%), offset by Saving Accounts (</w:t>
      </w:r>
      <w:r>
        <w:rPr>
          <w:b/>
          <w:color w:val="0B7A0B"/>
          <w:rFonts w:ascii="Segoe UI" w:hAnsi="Segoe UI"/>
          <w:sz w:val="20"/>
        </w:rPr>
        <w:t xml:space="preserve">$6mF</w:t>
      </w:r>
      <w:r>
        <w:rPr>
          <w:rFonts w:ascii="Segoe UI" w:hAnsi="Segoe UI"/>
          <w:sz w:val="20"/>
        </w:rPr>
        <w:t xml:space="preserve"> 1.0%), Structured Products (</w:t>
      </w:r>
      <w:r>
        <w:rPr>
          <w:b/>
          <w:color w:val="0B7A0B"/>
          <w:rFonts w:ascii="Segoe UI" w:hAnsi="Segoe UI"/>
          <w:sz w:val="20"/>
        </w:rPr>
        <w:t xml:space="preserve">$2mF</w:t>
      </w:r>
      <w:r>
        <w:rPr>
          <w:rFonts w:ascii="Segoe UI" w:hAnsi="Segoe UI"/>
          <w:sz w:val="20"/>
        </w:rPr>
        <w:t xml:space="preserve"> 0.4%)</w:t>
      </w:r>
    </w:p>
    <w:p>
      <w:pPr>
        <w:spacing w:before="0" w:after="120"/>
      </w:pPr>
      <w:r>
        <w:rPr>
          <w:b/>
          <w:rFonts w:ascii="Segoe UI" w:hAnsi="Segoe UI"/>
          <w:sz w:val="20"/>
        </w:rPr>
        <w:t xml:space="preserve">NII - Interest Income</w:t>
      </w:r>
      <w:r>
        <w:rPr>
          <w:rFonts w:ascii="Segoe UI" w:hAnsi="Segoe UI"/>
          <w:sz w:val="20"/>
        </w:rPr>
        <w:t xml:space="preserve"> — NII carried the half. Deposit margin held better than the plan assumed as the pass-through on time deposits was slower than expected.</w:t>
      </w:r>
    </w:p>
    <w:p>
      <w:pPr>
        <w:spacing w:before="0" w:after="120"/>
      </w:pPr>
      <w:r>
        <w:rPr>
          <w:b/>
          <w:rFonts w:ascii="Segoe UI" w:hAnsi="Segoe UI"/>
          <w:sz w:val="20"/>
        </w:rPr>
        <w:t xml:space="preserve">Net Fee Income</w:t>
      </w:r>
      <w:r>
        <w:rPr>
          <w:rFonts w:ascii="Segoe UI" w:hAnsi="Segoe UI"/>
          <w:sz w:val="20"/>
        </w:rPr>
        <w:t xml:space="preserve"> — was the softer line. Investment activity thinned after the March rally…</w:t>
      </w:r>
    </w:p>
    <w:p>
      <w:pPr>
        <w:spacing w:before="200" w:after="60"/>
      </w:pPr>
      <w:r>
        <w:rPr>
          <w:b/>
          <w:rFonts w:ascii="Segoe UI" w:hAnsi="Segoe UI"/>
          <w:sz w:val="24"/>
        </w:rPr>
        <w:t xml:space="preserve">(Month) FY Forecast Vs Prior Year (ex notables)</w:t>
      </w:r>
    </w:p>
    <w:p>
      <w:pPr>
        <w:spacing w:before="0" w:after="120"/>
      </w:pPr>
      <w:r>
        <w:rPr>
          <w:b/>
          <w:rFonts w:ascii="Segoe UI" w:hAnsi="Segoe UI"/>
          <w:sz w:val="20"/>
        </w:rPr>
        <w:t xml:space="preserve">PBT ex Notables</w:t>
      </w:r>
      <w:r>
        <w:rPr>
          <w:rFonts w:ascii="Segoe UI" w:hAnsi="Segoe UI"/>
          <w:sz w:val="20"/>
        </w:rPr>
        <w:t xml:space="preserve"> is $574m up vs Prior Year driven by higher Fees and Other Income (</w:t>
      </w:r>
      <w:r>
        <w:rPr>
          <w:b/>
          <w:color w:val="0B7A0B"/>
          <w:rFonts w:ascii="Segoe UI" w:hAnsi="Segoe UI"/>
          <w:sz w:val="20"/>
        </w:rPr>
        <w:t xml:space="preserve">$418mF</w:t>
      </w:r>
      <w:r>
        <w:rPr>
          <w:rFonts w:ascii="Segoe UI" w:hAnsi="Segoe UI"/>
          <w:sz w:val="20"/>
        </w:rPr>
        <w:t xml:space="preserve"> 3.9%) and lower Banking NII (</w:t>
      </w:r>
      <w:r>
        <w:rPr>
          <w:b/>
          <w:color w:val="0B7A0B"/>
          <w:rFonts w:ascii="Segoe UI" w:hAnsi="Segoe UI"/>
          <w:sz w:val="20"/>
        </w:rPr>
        <w:t xml:space="preserve">$239mF</w:t>
      </w:r>
      <w:r>
        <w:rPr>
          <w:rFonts w:ascii="Segoe UI" w:hAnsi="Segoe UI"/>
          <w:sz w:val="20"/>
        </w:rPr>
        <w:t xml:space="preserve"> 19.8%), offset by lower Revenue (</w:t>
      </w:r>
      <w:r>
        <w:rPr>
          <w:b/>
          <w:color w:val="C21A1A"/>
          <w:rFonts w:ascii="Segoe UI" w:hAnsi="Segoe UI"/>
          <w:sz w:val="20"/>
        </w:rPr>
        <w:t xml:space="preserve">$84mA</w:t>
      </w:r>
      <w:r>
        <w:rPr>
          <w:rFonts w:ascii="Segoe UI" w:hAnsi="Segoe UI"/>
          <w:sz w:val="20"/>
        </w:rPr>
        <w:t xml:space="preserve"> 1.4%)</w:t>
      </w:r>
    </w:p>
    <w:p>
      <w:pPr>
        <w:spacing w:before="0" w:after="120"/>
      </w:pPr>
      <w:r>
        <w:rPr>
          <w:rFonts w:ascii="Segoe UI" w:hAnsi="Segoe UI"/>
          <w:sz w:val="20"/>
        </w:rPr>
        <w:t xml:space="preserve">The half closed ahead of plan on revenue, with costs the watch item into the second half.</w:t>
      </w:r>
    </w:p>
    <w:p>
      <w:pPr>
        <w:spacing w:before="0" w:after="120"/>
      </w:pPr>
      <w:r>
        <w:rPr>
          <w:b/>
          <w:rFonts w:ascii="Segoe UI" w:hAnsi="Segoe UI"/>
          <w:sz w:val="20"/>
        </w:rPr>
        <w:t xml:space="preserve">Banking NII</w:t>
      </w:r>
      <w:r>
        <w:rPr>
          <w:rFonts w:ascii="Segoe UI" w:hAnsi="Segoe UI"/>
          <w:sz w:val="20"/>
        </w:rPr>
        <w:t xml:space="preserve"> of $967m are </w:t>
      </w:r>
      <w:r>
        <w:rPr>
          <w:b/>
          <w:color w:val="0B7A0B"/>
          <w:rFonts w:ascii="Segoe UI" w:hAnsi="Segoe UI"/>
          <w:sz w:val="20"/>
        </w:rPr>
        <w:t xml:space="preserve">$239mF</w:t>
      </w:r>
      <w:r>
        <w:rPr>
          <w:rFonts w:ascii="Segoe UI" w:hAnsi="Segoe UI"/>
          <w:sz w:val="20"/>
        </w:rPr>
        <w:t xml:space="preserve"> 19.8% driven by Saving Accounts (</w:t>
      </w:r>
      <w:r>
        <w:rPr>
          <w:b/>
          <w:color w:val="0B7A0B"/>
          <w:rFonts w:ascii="Segoe UI" w:hAnsi="Segoe UI"/>
          <w:sz w:val="20"/>
        </w:rPr>
        <w:t xml:space="preserve">$229mF</w:t>
      </w:r>
      <w:r>
        <w:rPr>
          <w:rFonts w:ascii="Segoe UI" w:hAnsi="Segoe UI"/>
          <w:sz w:val="20"/>
        </w:rPr>
        <w:t xml:space="preserve"> 313%), offset by Mortgages (</w:t>
      </w:r>
      <w:r>
        <w:rPr>
          <w:b/>
          <w:color w:val="C21A1A"/>
          <w:rFonts w:ascii="Segoe UI" w:hAnsi="Segoe UI"/>
          <w:sz w:val="20"/>
        </w:rPr>
        <w:t xml:space="preserve">$101mA</w:t>
      </w:r>
      <w:r>
        <w:rPr>
          <w:rFonts w:ascii="Segoe UI" w:hAnsi="Segoe UI"/>
          <w:sz w:val="20"/>
        </w:rPr>
        <w:t xml:space="preserve"> 14.1%), Cards (</w:t>
      </w:r>
      <w:r>
        <w:rPr>
          <w:b/>
          <w:color w:val="C21A1A"/>
          <w:rFonts w:ascii="Segoe UI" w:hAnsi="Segoe UI"/>
          <w:sz w:val="20"/>
        </w:rPr>
        <w:t xml:space="preserve">$62mA</w:t>
      </w:r>
      <w:r>
        <w:rPr>
          <w:rFonts w:ascii="Segoe UI" w:hAnsi="Segoe UI"/>
          <w:sz w:val="20"/>
        </w:rPr>
        <w:t xml:space="preserve"> 18.9%)</w:t>
      </w:r>
    </w:p>
    <w:p>
      <w:pPr>
        <w:spacing w:before="0" w:after="120"/>
      </w:pPr>
      <w:r>
        <w:rPr>
          <w:b/>
          <w:rFonts w:ascii="Segoe UI" w:hAnsi="Segoe UI"/>
          <w:sz w:val="20"/>
        </w:rPr>
        <w:t xml:space="preserve">Fees and Other Income</w:t>
      </w:r>
      <w:r>
        <w:rPr>
          <w:rFonts w:ascii="Segoe UI" w:hAnsi="Segoe UI"/>
          <w:sz w:val="20"/>
        </w:rPr>
        <w:t xml:space="preserve"> of $11,199m are </w:t>
      </w:r>
      <w:r>
        <w:rPr>
          <w:b/>
          <w:color w:val="0B7A0B"/>
          <w:rFonts w:ascii="Segoe UI" w:hAnsi="Segoe UI"/>
          <w:sz w:val="20"/>
        </w:rPr>
        <w:t xml:space="preserve">$418mF</w:t>
      </w:r>
      <w:r>
        <w:rPr>
          <w:rFonts w:ascii="Segoe UI" w:hAnsi="Segoe UI"/>
          <w:sz w:val="20"/>
        </w:rPr>
        <w:t xml:space="preserve"> 3.9% driven by Mortgages (</w:t>
      </w:r>
      <w:r>
        <w:rPr>
          <w:b/>
          <w:color w:val="0B7A0B"/>
          <w:rFonts w:ascii="Segoe UI" w:hAnsi="Segoe UI"/>
          <w:sz w:val="20"/>
        </w:rPr>
        <w:t xml:space="preserve">$318mF</w:t>
      </w:r>
      <w:r>
        <w:rPr>
          <w:rFonts w:ascii="Segoe UI" w:hAnsi="Segoe UI"/>
          <w:sz w:val="20"/>
        </w:rPr>
        <w:t xml:space="preserve"> 30.3%), Wealth Lending (</w:t>
      </w:r>
      <w:r>
        <w:rPr>
          <w:b/>
          <w:color w:val="0B7A0B"/>
          <w:rFonts w:ascii="Segoe UI" w:hAnsi="Segoe UI"/>
          <w:sz w:val="20"/>
        </w:rPr>
        <w:t xml:space="preserve">$202mF</w:t>
      </w:r>
      <w:r>
        <w:rPr>
          <w:rFonts w:ascii="Segoe UI" w:hAnsi="Segoe UI"/>
          <w:sz w:val="20"/>
        </w:rPr>
        <w:t xml:space="preserve"> 11.3%), offset by Other Products (</w:t>
      </w:r>
      <w:r>
        <w:rPr>
          <w:b/>
          <w:color w:val="C21A1A"/>
          <w:rFonts w:ascii="Segoe UI" w:hAnsi="Segoe UI"/>
          <w:sz w:val="20"/>
        </w:rPr>
        <w:t xml:space="preserve">$199mA</w:t>
      </w:r>
      <w:r>
        <w:rPr>
          <w:rFonts w:ascii="Segoe UI" w:hAnsi="Segoe UI"/>
          <w:sz w:val="20"/>
        </w:rPr>
        <w:t xml:space="preserve"> 12.6%), Cards (</w:t>
      </w:r>
      <w:r>
        <w:rPr>
          <w:b/>
          <w:color w:val="C21A1A"/>
          <w:rFonts w:ascii="Segoe UI" w:hAnsi="Segoe UI"/>
          <w:sz w:val="20"/>
        </w:rPr>
        <w:t xml:space="preserve">$71mA</w:t>
      </w:r>
      <w:r>
        <w:rPr>
          <w:rFonts w:ascii="Segoe UI" w:hAnsi="Segoe UI"/>
          <w:sz w:val="20"/>
        </w:rPr>
        <w:t xml:space="preserve"> 4.7%)</w:t>
      </w:r>
    </w:p>
    <w:p>
      <w:pPr>
        <w:spacing w:before="0" w:after="120"/>
      </w:pPr>
      <w:r>
        <w:rPr>
          <w:b/>
          <w:rFonts w:ascii="Segoe UI" w:hAnsi="Segoe UI"/>
          <w:sz w:val="20"/>
        </w:rPr>
        <w:t xml:space="preserve">Revenue</w:t>
      </w:r>
      <w:r>
        <w:rPr>
          <w:rFonts w:ascii="Segoe UI" w:hAnsi="Segoe UI"/>
          <w:sz w:val="20"/>
        </w:rPr>
        <w:t xml:space="preserve"> of $6,094m are </w:t>
      </w:r>
      <w:r>
        <w:rPr>
          <w:b/>
          <w:color w:val="C21A1A"/>
          <w:rFonts w:ascii="Segoe UI" w:hAnsi="Segoe UI"/>
          <w:sz w:val="20"/>
        </w:rPr>
        <w:t xml:space="preserve">$84mA</w:t>
      </w:r>
      <w:r>
        <w:rPr>
          <w:rFonts w:ascii="Segoe UI" w:hAnsi="Segoe UI"/>
          <w:sz w:val="20"/>
        </w:rPr>
        <w:t xml:space="preserve"> 1.4% driven by Current Accounts (</w:t>
      </w:r>
      <w:r>
        <w:rPr>
          <w:b/>
          <w:color w:val="C21A1A"/>
          <w:rFonts w:ascii="Segoe UI" w:hAnsi="Segoe UI"/>
          <w:sz w:val="20"/>
        </w:rPr>
        <w:t xml:space="preserve">$215mA</w:t>
      </w:r>
      <w:r>
        <w:rPr>
          <w:rFonts w:ascii="Segoe UI" w:hAnsi="Segoe UI"/>
          <w:sz w:val="20"/>
        </w:rPr>
        <w:t xml:space="preserve"> 17.2%), offset by Wealth Ins Distn (</w:t>
      </w:r>
      <w:r>
        <w:rPr>
          <w:b/>
          <w:color w:val="0B7A0B"/>
          <w:rFonts w:ascii="Segoe UI" w:hAnsi="Segoe UI"/>
          <w:sz w:val="20"/>
        </w:rPr>
        <w:t xml:space="preserve">$147mF</w:t>
      </w:r>
      <w:r>
        <w:rPr>
          <w:rFonts w:ascii="Segoe UI" w:hAnsi="Segoe UI"/>
          <w:sz w:val="20"/>
        </w:rPr>
        <w:t xml:space="preserve"> 28.7%)</w:t>
      </w:r>
    </w:p>
    <w:p>
      <w:pPr>
        <w:spacing w:before="0" w:after="120"/>
      </w:pPr>
      <w:r>
        <w:rPr>
          <w:b/>
          <w:rFonts w:ascii="Segoe UI" w:hAnsi="Segoe UI"/>
          <w:sz w:val="20"/>
        </w:rPr>
        <w:t xml:space="preserve">NII - Interest Income</w:t>
      </w:r>
      <w:r>
        <w:rPr>
          <w:rFonts w:ascii="Segoe UI" w:hAnsi="Segoe UI"/>
          <w:sz w:val="20"/>
        </w:rPr>
        <w:t xml:space="preserve"> — NII carried the half. Deposit margin held better than the plan assumed as the pass-through on time deposits was slower than expected.</w:t>
      </w:r>
    </w:p>
    <w:p>
      <w:pPr>
        <w:spacing w:before="0" w:after="120"/>
      </w:pPr>
      <w:r>
        <w:rPr>
          <w:b/>
          <w:rFonts w:ascii="Segoe UI" w:hAnsi="Segoe UI"/>
          <w:sz w:val="20"/>
        </w:rPr>
        <w:t xml:space="preserve">Net Fee Income</w:t>
      </w:r>
      <w:r>
        <w:rPr>
          <w:rFonts w:ascii="Segoe UI" w:hAnsi="Segoe UI"/>
          <w:sz w:val="20"/>
        </w:rPr>
        <w:t xml:space="preserve"> — was the softer line. Investment activity thinned after the March rally…</w:t>
      </w:r>
    </w:p>
    <w:p>
      <w:pPr>
        <w:spacing w:before="200" w:after="60"/>
      </w:pPr>
      <w:r>
        <w:rPr>
          <w:b/>
          <w:rFonts w:ascii="Segoe UI" w:hAnsi="Segoe UI"/>
          <w:sz w:val="24"/>
        </w:rPr>
        <w:t xml:space="preserve">(Month) FY Forecast Vs Target (ex notables)</w:t>
      </w:r>
    </w:p>
    <w:p>
      <w:pPr>
        <w:spacing w:before="0" w:after="120"/>
      </w:pPr>
      <w:r>
        <w:rPr>
          <w:b/>
          <w:rFonts w:ascii="Segoe UI" w:hAnsi="Segoe UI"/>
          <w:sz w:val="20"/>
        </w:rPr>
        <w:t xml:space="preserve">PBT ex Notables</w:t>
      </w:r>
      <w:r>
        <w:rPr>
          <w:rFonts w:ascii="Segoe UI" w:hAnsi="Segoe UI"/>
          <w:sz w:val="20"/>
        </w:rPr>
        <w:t xml:space="preserve"> is $5m up vs Target driven by higher Fees and Other Income (</w:t>
      </w:r>
      <w:r>
        <w:rPr>
          <w:b/>
          <w:color w:val="C21A1A"/>
          <w:rFonts w:ascii="Segoe UI" w:hAnsi="Segoe UI"/>
          <w:sz w:val="20"/>
        </w:rPr>
        <w:t xml:space="preserve">$29mA</w:t>
      </w:r>
      <w:r>
        <w:rPr>
          <w:rFonts w:ascii="Segoe UI" w:hAnsi="Segoe UI"/>
          <w:sz w:val="20"/>
        </w:rPr>
        <w:t xml:space="preserve"> 0.3%), offset by lower Banking NII (</w:t>
      </w:r>
      <w:r>
        <w:rPr>
          <w:b/>
          <w:color w:val="0B7A0B"/>
          <w:rFonts w:ascii="Segoe UI" w:hAnsi="Segoe UI"/>
          <w:sz w:val="20"/>
        </w:rPr>
        <w:t xml:space="preserve">$43mF</w:t>
      </w:r>
      <w:r>
        <w:rPr>
          <w:rFonts w:ascii="Segoe UI" w:hAnsi="Segoe UI"/>
          <w:sz w:val="20"/>
        </w:rPr>
        <w:t xml:space="preserve"> 4.2%)</w:t>
      </w:r>
    </w:p>
    <w:p>
      <w:pPr>
        <w:spacing w:before="0" w:after="120"/>
      </w:pPr>
      <w:r>
        <w:rPr>
          <w:rFonts w:ascii="Segoe UI" w:hAnsi="Segoe UI"/>
          <w:sz w:val="20"/>
        </w:rPr>
        <w:t xml:space="preserve">The half closed ahead of plan on revenue, with costs the watch item into the second half.</w:t>
      </w:r>
    </w:p>
    <w:p>
      <w:pPr>
        <w:spacing w:before="0" w:after="120"/>
      </w:pPr>
      <w:r>
        <w:rPr>
          <w:b/>
          <w:rFonts w:ascii="Segoe UI" w:hAnsi="Segoe UI"/>
          <w:sz w:val="20"/>
        </w:rPr>
        <w:t xml:space="preserve">Banking NII</w:t>
      </w:r>
      <w:r>
        <w:rPr>
          <w:rFonts w:ascii="Segoe UI" w:hAnsi="Segoe UI"/>
          <w:sz w:val="20"/>
        </w:rPr>
        <w:t xml:space="preserve"> of $967m are </w:t>
      </w:r>
      <w:r>
        <w:rPr>
          <w:b/>
          <w:color w:val="0B7A0B"/>
          <w:rFonts w:ascii="Segoe UI" w:hAnsi="Segoe UI"/>
          <w:sz w:val="20"/>
        </w:rPr>
        <w:t xml:space="preserve">$43mF</w:t>
      </w:r>
      <w:r>
        <w:rPr>
          <w:rFonts w:ascii="Segoe UI" w:hAnsi="Segoe UI"/>
          <w:sz w:val="20"/>
        </w:rPr>
        <w:t xml:space="preserve"> 4.2% driven by Cards (</w:t>
      </w:r>
      <w:r>
        <w:rPr>
          <w:b/>
          <w:color w:val="0B7A0B"/>
          <w:rFonts w:ascii="Segoe UI" w:hAnsi="Segoe UI"/>
          <w:sz w:val="20"/>
        </w:rPr>
        <w:t xml:space="preserve">$35mF</w:t>
      </w:r>
      <w:r>
        <w:rPr>
          <w:rFonts w:ascii="Segoe UI" w:hAnsi="Segoe UI"/>
          <w:sz w:val="20"/>
        </w:rPr>
        <w:t xml:space="preserve"> 8.1%), offset by Mortgages (</w:t>
      </w:r>
      <w:r>
        <w:rPr>
          <w:b/>
          <w:color w:val="C21A1A"/>
          <w:rFonts w:ascii="Segoe UI" w:hAnsi="Segoe UI"/>
          <w:sz w:val="20"/>
        </w:rPr>
        <w:t xml:space="preserve">$31mA</w:t>
      </w:r>
      <w:r>
        <w:rPr>
          <w:rFonts w:ascii="Segoe UI" w:hAnsi="Segoe UI"/>
          <w:sz w:val="20"/>
        </w:rPr>
        <w:t xml:space="preserve"> 3.9%), Other Products (</w:t>
      </w:r>
      <w:r>
        <w:rPr>
          <w:b/>
          <w:color w:val="C21A1A"/>
          <w:rFonts w:ascii="Segoe UI" w:hAnsi="Segoe UI"/>
          <w:sz w:val="20"/>
        </w:rPr>
        <w:t xml:space="preserve">$17mA</w:t>
      </w:r>
      <w:r>
        <w:rPr>
          <w:rFonts w:ascii="Segoe UI" w:hAnsi="Segoe UI"/>
          <w:sz w:val="20"/>
        </w:rPr>
        <w:t xml:space="preserve"> 15.0%)</w:t>
      </w:r>
    </w:p>
    <w:p>
      <w:pPr>
        <w:spacing w:before="0" w:after="120"/>
      </w:pPr>
      <w:r>
        <w:rPr>
          <w:b/>
          <w:rFonts w:ascii="Segoe UI" w:hAnsi="Segoe UI"/>
          <w:sz w:val="20"/>
        </w:rPr>
        <w:t xml:space="preserve">Fees and Other Income</w:t>
      </w:r>
      <w:r>
        <w:rPr>
          <w:rFonts w:ascii="Segoe UI" w:hAnsi="Segoe UI"/>
          <w:sz w:val="20"/>
        </w:rPr>
        <w:t xml:space="preserve"> of $11,199m are </w:t>
      </w:r>
      <w:r>
        <w:rPr>
          <w:b/>
          <w:color w:val="C21A1A"/>
          <w:rFonts w:ascii="Segoe UI" w:hAnsi="Segoe UI"/>
          <w:sz w:val="20"/>
        </w:rPr>
        <w:t xml:space="preserve">$29mA</w:t>
      </w:r>
      <w:r>
        <w:rPr>
          <w:rFonts w:ascii="Segoe UI" w:hAnsi="Segoe UI"/>
          <w:sz w:val="20"/>
        </w:rPr>
        <w:t xml:space="preserve"> 0.3% driven by Saving Accounts (</w:t>
      </w:r>
      <w:r>
        <w:rPr>
          <w:b/>
          <w:color w:val="C21A1A"/>
          <w:rFonts w:ascii="Segoe UI" w:hAnsi="Segoe UI"/>
          <w:sz w:val="20"/>
        </w:rPr>
        <w:t xml:space="preserve">$95mA</w:t>
      </w:r>
      <w:r>
        <w:rPr>
          <w:rFonts w:ascii="Segoe UI" w:hAnsi="Segoe UI"/>
          <w:sz w:val="20"/>
        </w:rPr>
        <w:t xml:space="preserve"> 5.9%), offset by Wealth Lending (</w:t>
      </w:r>
      <w:r>
        <w:rPr>
          <w:b/>
          <w:color w:val="0B7A0B"/>
          <w:rFonts w:ascii="Segoe UI" w:hAnsi="Segoe UI"/>
          <w:sz w:val="20"/>
        </w:rPr>
        <w:t xml:space="preserve">$74mF</w:t>
      </w:r>
      <w:r>
        <w:rPr>
          <w:rFonts w:ascii="Segoe UI" w:hAnsi="Segoe UI"/>
          <w:sz w:val="20"/>
        </w:rPr>
        <w:t xml:space="preserve"> 3.9%)</w:t>
      </w:r>
    </w:p>
    <w:p>
      <w:pPr>
        <w:spacing w:before="0" w:after="120"/>
      </w:pPr>
      <w:r>
        <w:rPr>
          <w:b/>
          <w:rFonts w:ascii="Segoe UI" w:hAnsi="Segoe UI"/>
          <w:sz w:val="20"/>
        </w:rPr>
        <w:t xml:space="preserve">Revenue</w:t>
      </w:r>
      <w:r>
        <w:rPr>
          <w:rFonts w:ascii="Segoe UI" w:hAnsi="Segoe UI"/>
          <w:sz w:val="20"/>
        </w:rPr>
        <w:t xml:space="preserve"> of $6,094m are </w:t>
      </w:r>
      <w:r>
        <w:rPr>
          <w:b/>
          <w:color w:val="C21A1A"/>
          <w:rFonts w:ascii="Segoe UI" w:hAnsi="Segoe UI"/>
          <w:sz w:val="20"/>
        </w:rPr>
        <w:t xml:space="preserve">$19mA</w:t>
      </w:r>
      <w:r>
        <w:rPr>
          <w:rFonts w:ascii="Segoe UI" w:hAnsi="Segoe UI"/>
          <w:sz w:val="20"/>
        </w:rPr>
        <w:t xml:space="preserve"> 0.3% driven by Wealth Ins Distn (</w:t>
      </w:r>
      <w:r>
        <w:rPr>
          <w:b/>
          <w:color w:val="C21A1A"/>
          <w:rFonts w:ascii="Segoe UI" w:hAnsi="Segoe UI"/>
          <w:sz w:val="20"/>
        </w:rPr>
        <w:t xml:space="preserve">$36mA</w:t>
      </w:r>
      <w:r>
        <w:rPr>
          <w:rFonts w:ascii="Segoe UI" w:hAnsi="Segoe UI"/>
          <w:sz w:val="20"/>
        </w:rPr>
        <w:t xml:space="preserve"> 5.2%), offset by Wealth Lending (</w:t>
      </w:r>
      <w:r>
        <w:rPr>
          <w:b/>
          <w:color w:val="0B7A0B"/>
          <w:rFonts w:ascii="Segoe UI" w:hAnsi="Segoe UI"/>
          <w:sz w:val="20"/>
        </w:rPr>
        <w:t xml:space="preserve">$22mF</w:t>
      </w:r>
      <w:r>
        <w:rPr>
          <w:rFonts w:ascii="Segoe UI" w:hAnsi="Segoe UI"/>
          <w:sz w:val="20"/>
        </w:rPr>
        <w:t xml:space="preserve"> 3.6%)</w:t>
      </w:r>
    </w:p>
    <w:p>
      <w:pPr>
        <w:spacing w:before="0" w:after="120"/>
      </w:pPr>
      <w:r>
        <w:rPr>
          <w:b/>
          <w:rFonts w:ascii="Segoe UI" w:hAnsi="Segoe UI"/>
          <w:sz w:val="20"/>
        </w:rPr>
        <w:t xml:space="preserve">NII - Interest Income</w:t>
      </w:r>
      <w:r>
        <w:rPr>
          <w:rFonts w:ascii="Segoe UI" w:hAnsi="Segoe UI"/>
          <w:sz w:val="20"/>
        </w:rPr>
        <w:t xml:space="preserve"> — NII carried the half. Deposit margin held better than the plan assumed as the pass-through on time deposits was slower than expected.</w:t>
      </w:r>
    </w:p>
    <w:p>
      <w:pPr>
        <w:spacing w:before="0" w:after="120"/>
      </w:pPr>
      <w:r>
        <w:rPr>
          <w:b/>
          <w:rFonts w:ascii="Segoe UI" w:hAnsi="Segoe UI"/>
          <w:sz w:val="20"/>
        </w:rPr>
        <w:t xml:space="preserve">Net Fee Income</w:t>
      </w:r>
      <w:r>
        <w:rPr>
          <w:rFonts w:ascii="Segoe UI" w:hAnsi="Segoe UI"/>
          <w:sz w:val="20"/>
        </w:rPr>
        <w:t xml:space="preserve"> — was the softer line. Investment activity thinned after the March rally…</w:t>
      </w:r>
    </w:p>
    <w:p>
      <w:pPr>
        <w:spacing w:before="240" w:after="0"/>
        <w:pBdr>
          <w:top w:val="single" w:sz="6" w:space="6" w:color="F4D7DA"/>
        </w:pBdr>
      </w:pPr>
      <w:r>
        <w:rPr>
          <w:i/>
          <w:color w:val="A8000B"/>
          <w:rFonts w:ascii="Segoe UI" w:hAnsi="Segoe UI"/>
          <w:sz w:val="17"/>
        </w:rPr>
        <w:t xml:space="preserve">The Commentary has been generated from the figures in the file and the written commentary carried with it. It may be inaccurate and/or incomplete. It is important to independently review and edit the content before further use or distribution.</w:t>
      </w:r>
    </w:p>
    <w:sectPr>
      <w:pgSz w:w="11906" w:h="16838"/>
      <w:pgMar w:top="1134" w:right="1134" w:bottom="1134" w:left="1134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54" w:hanging="227"/>
      </w:pPr>
    </w:lvl>
    <w:lvl w:ilvl="1">
      <w:start w:val="1"/>
      <w:numFmt w:val="bullet"/>
      <w:lvlText w:val="◦"/>
      <w:lvlJc w:val="left"/>
      <w:pPr>
        <w:ind w:left="794" w:hanging="227"/>
      </w:pPr>
    </w:lvl>
    <w:lvl w:ilvl="2">
      <w:start w:val="1"/>
      <w:numFmt w:val="bullet"/>
      <w:lvlText w:val="–"/>
      <w:lvlJc w:val="left"/>
      <w:pPr>
        <w:ind w:left="1134" w:hanging="227"/>
      </w:p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numbering" Target="numbering.xml"/>
</Relationships>
</file>