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spacing w:after="140"/>
      </w:pPr>
      <w:r>
        <w:rPr>
          <w:b/>
          <w:bCs/>
        </w:rPr>
        <w:t xml:space="preserve">Two files, and nothing else.</w:t>
      </w:r>
      <w:r>
        <w:t xml:space="preserve"> The app reads the </w:t>
      </w:r>
      <w:r>
        <w:rPr>
          <w:b/>
          <w:bCs/>
        </w:rPr>
        <w:t xml:space="preserve">TM1 data extract</w:t>
      </w:r>
      <w:r>
        <w:t xml:space="preserve"> and the </w:t>
      </w:r>
      <w:r>
        <w:rPr>
          <w:b/>
          <w:bCs/>
        </w:rPr>
        <w:t xml:space="preserve">configuration pack</w:t>
      </w:r>
      <w:r>
        <w:t xml:space="preserve"> — no other file is ingested. Each is recognised by what is inside it rather than by where it was dropped: the pack dropped on the ingest page is named and refused, with a pointer to </w:t>
      </w:r>
      <w:r>
        <w:rPr>
          <w:i/>
          <w:iCs/>
        </w:rPr>
        <w:t xml:space="preserve">Configuration → Upload config</w:t>
      </w:r>
      <w:r>
        <w:t xml:space="preserve">, instead of being parsed as data; an extract picked at Upload config is refused instead of replacing every rule with nothing, and the configuration in force is left untouched. Anything that is neither — a Word document, a PDF, a workbook of notes — is turned away by name before a byte of it is parsed, and more than one file at a time is refused rather than half-read.</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which puts each tile in one of </w:t>
      </w:r>
      <w:r>
        <w:rPr>
          <w:b/>
          <w:bCs/>
        </w:rPr>
        <w:t xml:space="preserve">three states</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rFonts w:ascii="Consolas" w:cs="Consolas" w:eastAsia="Consolas" w:hAnsi="Consolas"/>
                <w:b/>
                <w:bCs/>
                <w:color w:val="DB0011"/>
                <w:shd w:fill="F2F1ED" w:val="clear"/>
              </w:rPr>
              <w:t xml:space="preserve">Show</w:t>
            </w:r>
            <w:r>
              <w:rPr>
                <w:b/>
                <w:bCs/>
                <w:color w:val="DB0011"/>
              </w:rPr>
              <w:t xml:space="preserve"> cell</w:t>
            </w:r>
          </w:p>
        </w:tc>
        <w:tc>
          <w:tcPr>
            <w:shd w:fill="F7E9EA" w:val="clear"/>
            <w:tcMar>
              <w:top w:type="dxa" w:w="60"/>
              <w:left w:type="dxa" w:w="100"/>
              <w:bottom w:type="dxa" w:w="60"/>
              <w:right w:type="dxa" w:w="100"/>
            </w:tcMar>
          </w:tcPr>
          <w:p>
            <w:r>
              <w:rPr>
                <w:b/>
                <w:bCs/>
                <w:color w:val="DB0011"/>
              </w:rPr>
              <w:t xml:space="preserve">What happens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Y</w:t>
            </w:r>
            <w:r>
              <w:t xml:space="preserve"> (also </w:t>
            </w:r>
            <w:r>
              <w:rPr>
                <w:rFonts w:ascii="Consolas" w:cs="Consolas" w:eastAsia="Consolas" w:hAnsi="Consolas"/>
                <w:shd w:fill="F2F1ED" w:val="clear"/>
              </w:rPr>
              <w:t xml:space="preserve">Yes</w:t>
            </w:r>
            <w:r>
              <w:t xml:space="preserve">, </w:t>
            </w:r>
            <w:r>
              <w:rPr>
                <w:rFonts w:ascii="Consolas" w:cs="Consolas" w:eastAsia="Consolas" w:hAnsi="Consolas"/>
                <w:shd w:fill="F2F1ED" w:val="clear"/>
              </w:rPr>
              <w:t xml:space="preserve">Show</w:t>
            </w:r>
            <w:r>
              <w:t xml:space="preserve">, or blank)</w:t>
            </w:r>
          </w:p>
        </w:tc>
        <w:tc>
          <w:tcPr>
            <w:tcMar>
              <w:top w:type="dxa" w:w="60"/>
              <w:left w:type="dxa" w:w="100"/>
              <w:bottom w:type="dxa" w:w="60"/>
              <w:right w:type="dxa" w:w="100"/>
            </w:tcMar>
          </w:tcPr>
          <w:p>
            <w:pPr>
              <w:spacing w:after="0"/>
            </w:pPr>
            <w:r>
              <w:t xml:space="preserve">the tile is on the grid</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N</w:t>
            </w:r>
            <w:r>
              <w:t xml:space="preserve"> (also </w:t>
            </w:r>
            <w:r>
              <w:rPr>
                <w:rFonts w:ascii="Consolas" w:cs="Consolas" w:eastAsia="Consolas" w:hAnsi="Consolas"/>
                <w:shd w:fill="F2F1ED" w:val="clear"/>
              </w:rPr>
              <w:t xml:space="preserve">No</w:t>
            </w:r>
            <w:r>
              <w:t xml:space="preserve">, </w:t>
            </w:r>
            <w:r>
              <w:rPr>
                <w:rFonts w:ascii="Consolas" w:cs="Consolas" w:eastAsia="Consolas" w:hAnsi="Consolas"/>
                <w:shd w:fill="F2F1ED" w:val="clear"/>
              </w:rPr>
              <w:t xml:space="preserve">Hide</w:t>
            </w:r>
            <w:r>
              <w:t xml:space="preserve">, </w:t>
            </w:r>
            <w:r>
              <w:rPr>
                <w:rFonts w:ascii="Consolas" w:cs="Consolas" w:eastAsia="Consolas" w:hAnsi="Consolas"/>
                <w:shd w:fill="F2F1ED" w:val="clear"/>
              </w:rPr>
              <w:t xml:space="preserve">Park</w:t>
            </w:r>
            <w:r>
              <w:t xml:space="preserve">)</w:t>
            </w:r>
          </w:p>
        </w:tc>
        <w:tc>
          <w:tcPr>
            <w:tcMar>
              <w:top w:type="dxa" w:w="60"/>
              <w:left w:type="dxa" w:w="100"/>
              <w:bottom w:type="dxa" w:w="60"/>
              <w:right w:type="dxa" w:w="100"/>
            </w:tcMar>
          </w:tcPr>
          <w:p>
            <w:pPr>
              <w:spacing w:after="0"/>
            </w:pPr>
            <w:r>
              <w:rPr>
                <w:b/>
                <w:bCs/>
              </w:rPr>
              <w:t xml:space="preserve">parked</w:t>
            </w:r>
            <w:r>
              <w:t xml:space="preserve"> — off the grid, but the page offers </w:t>
            </w:r>
            <w:r>
              <w:rPr>
                <w:i/>
                <w:iCs/>
              </w:rPr>
              <w:t xml:space="preserve">"N hidden tiles — show"</w:t>
            </w:r>
            <w:r>
              <w:t xml:space="preserve"> and the reader can bring it back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X</w:t>
            </w:r>
            <w:r>
              <w:t xml:space="preserve"> (also </w:t>
            </w:r>
            <w:r>
              <w:rPr>
                <w:rFonts w:ascii="Consolas" w:cs="Consolas" w:eastAsia="Consolas" w:hAnsi="Consolas"/>
                <w:shd w:fill="F2F1ED" w:val="clear"/>
              </w:rPr>
              <w:t xml:space="preserve">Never</w:t>
            </w:r>
            <w:r>
              <w:t xml:space="preserve">, </w:t>
            </w:r>
            <w:r>
              <w:rPr>
                <w:rFonts w:ascii="Consolas" w:cs="Consolas" w:eastAsia="Consolas" w:hAnsi="Consolas"/>
                <w:shd w:fill="F2F1ED" w:val="clear"/>
              </w:rPr>
              <w:t xml:space="preserve">Off</w:t>
            </w:r>
            <w:r>
              <w:t xml:space="preserve">, </w:t>
            </w:r>
            <w:r>
              <w:rPr>
                <w:rFonts w:ascii="Consolas" w:cs="Consolas" w:eastAsia="Consolas" w:hAnsi="Consolas"/>
                <w:shd w:fill="F2F1ED" w:val="clear"/>
              </w:rPr>
              <w:t xml:space="preserve">Exclude</w:t>
            </w:r>
            <w:r>
              <w:t xml:space="preserve">, </w:t>
            </w:r>
            <w:r>
              <w:rPr>
                <w:rFonts w:ascii="Consolas" w:cs="Consolas" w:eastAsia="Consolas" w:hAnsi="Consolas"/>
                <w:shd w:fill="F2F1ED" w:val="clear"/>
              </w:rPr>
              <w:t xml:space="preserve">Remove</w:t>
            </w:r>
            <w:r>
              <w:t xml:space="preserve">, </w:t>
            </w:r>
            <w:r>
              <w:rPr>
                <w:rFonts w:ascii="Consolas" w:cs="Consolas" w:eastAsia="Consolas" w:hAnsi="Consolas"/>
                <w:shd w:fill="F2F1ED" w:val="clear"/>
              </w:rPr>
              <w:t xml:space="preserve">None</w:t>
            </w:r>
            <w:r>
              <w:t xml:space="preserve">)</w:t>
            </w:r>
          </w:p>
        </w:tc>
        <w:tc>
          <w:tcPr>
            <w:tcMar>
              <w:top w:type="dxa" w:w="60"/>
              <w:left w:type="dxa" w:w="100"/>
              <w:bottom w:type="dxa" w:w="60"/>
              <w:right w:type="dxa" w:w="100"/>
            </w:tcMar>
          </w:tcPr>
          <w:p>
            <w:pPr>
              <w:spacing w:after="0"/>
            </w:pPr>
            <w:r>
              <w:rPr>
                <w:b/>
                <w:bCs/>
              </w:rPr>
              <w:t xml:space="preserve">not on the page at all</w:t>
            </w:r>
            <w:r>
              <w:t xml:space="preserve"> — off the grid, out of the parked list, out of the left-rail KPI list, out of the PowerPoint deck and out of the Business performance columns, and no reader setting can bring it back</w:t>
            </w:r>
          </w:p>
        </w:tc>
      </w:tr>
    </w:tbl>
    <w:p>
      <w:pPr>
        <w:spacing w:after="160"/>
      </w:pPr>
    </w:p>
    <w:p>
      <w:pPr>
        <w:spacing w:after="140"/>
        <w:ind w:left="360"/>
      </w:pPr>
      <w:r>
        <w:t xml:space="preserve">A tab of only-</w:t>
      </w:r>
      <w:r>
        <w:rPr>
          <w:rFonts w:ascii="Consolas" w:cs="Consolas" w:eastAsia="Consolas" w:hAnsi="Consolas"/>
          <w:shd w:fill="F2F1ED" w:val="clear"/>
        </w:rPr>
        <w:t xml:space="preserve">Y</w:t>
      </w:r>
      <w:r>
        <w:t xml:space="preserve"> rows shows just those. </w:t>
      </w:r>
      <w:r>
        <w:rPr>
          <w:rFonts w:ascii="Consolas" w:cs="Consolas" w:eastAsia="Consolas" w:hAnsi="Consolas"/>
          <w:shd w:fill="F2F1ED" w:val="clear"/>
        </w:rPr>
        <w:t xml:space="preserve">+</w:t>
      </w:r>
      <w:r>
        <w:t xml:space="preserve"> </w:t>
      </w:r>
      <w:r>
        <w:rPr>
          <w:b/>
          <w:bCs/>
        </w:rPr>
        <w:t xml:space="preserve">adds</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 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4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sits on the result itself and carries both tables, the impact on one sheet and the month-by-month on another. Each sheet opens with what was run and over what: the simulation's name and category, the scope in force (business, region, country, month), the basis and units, the forecast months and the source file — then a rule table setting out how it was applied, one row per rule with its scope, its second condition, the statement it touches, the adjustment, the change and the months — and then the figures.</w:t>
      </w:r>
    </w:p>
    <w:p>
      <w:pPr>
        <w:spacing w:after="100"/>
        <w:ind w:left="360"/>
      </w:pPr>
      <w:r>
        <w:rPr>
          <w:b/>
          <w:bCs/>
        </w:rPr>
        <w:t xml:space="preserve">Compare simulations</w:t>
      </w:r>
      <w:r>
        <w:t xml:space="preserve"> runs any number of saved simulations side by side against the prior forecast — the picker groups them by their Category — with a chart, an FY outlook table and a </w:t>
      </w:r>
      <w:r>
        <w:rPr>
          <w:b/>
          <w:bCs/>
        </w:rPr>
        <w:t xml:space="preserve">Comparison by month</w:t>
      </w:r>
      <w:r>
        <w:t xml:space="preserve"> table: the prior forecast path with each simulation in its own column, footing to the sum of the forecast months. Its </w:t>
      </w:r>
      <w:r>
        <w:rPr>
          <w:b/>
          <w:bCs/>
        </w:rPr>
        <w:t xml:space="preserve">⤓ Excel</w:t>
      </w:r>
      <w:r>
        <w:t xml:space="preserve"> carries the FY comparison on one sheet and the month-by-month on another, each opening with the scope, units and a rule table naming how every simulation in the comparison is applied.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w:t>
      </w:r>
      <w:r>
        <w:rPr>
          <w:rFonts w:ascii="Consolas" w:cs="Consolas" w:eastAsia="Consolas" w:hAnsi="Consolas"/>
          <w:shd w:fill="F2F1ED" w:val="clear"/>
        </w:rPr>
        <w:t xml:space="preserve">Simulations</w:t>
      </w:r>
      <w:r>
        <w:t xml:space="preserve">, </w:t>
      </w:r>
      <w:r>
        <w:rPr>
          <w:rFonts w:ascii="Consolas" w:cs="Consolas" w:eastAsia="Consolas" w:hAnsi="Consolas"/>
          <w:shd w:fill="F2F1ED" w:val="clear"/>
        </w:rPr>
        <w:t xml:space="preserve">Rollup</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100"/>
      </w:pPr>
      <w:r>
        <w:rPr>
          <w:b/>
          <w:bCs/>
        </w:rPr>
        <w:t xml:space="preserve">Rollup</w:t>
      </w:r>
      <w:r>
        <w:t xml:space="preserve"> — which lines foot to their children and which are taken as the file reports them, declared at MICA Level 1 and 2 (Level 3/4 accepted too). Columns: </w:t>
      </w:r>
      <w:r>
        <w:rPr>
          <w:rFonts w:ascii="Consolas" w:cs="Consolas" w:eastAsia="Consolas" w:hAnsi="Consolas"/>
          <w:shd w:fill="F2F1ED" w:val="clear"/>
        </w:rPr>
        <w:t xml:space="preserve">Level | Line | Roll up | Basis | Unit | Grain | Match | Notes</w:t>
      </w:r>
      <w:r>
        <w:t xml:space="preserve">, </w:t>
      </w:r>
      <w:r>
        <w:rPr>
          <w:b/>
          <w:bCs/>
        </w:rPr>
        <w:t xml:space="preserve">read by their headings</w:t>
      </w:r>
      <w:r>
        <w:t xml:space="preserve">, so a column may be moved or a new one added without breaking a pack already in circulation. </w:t>
      </w:r>
      <w:r>
        <w:rPr>
          <w:rFonts w:ascii="Consolas" w:cs="Consolas" w:eastAsia="Consolas" w:hAnsi="Consolas"/>
          <w:shd w:fill="F2F1ED" w:val="clear"/>
        </w:rPr>
        <w:t xml:space="preserve">Roll up</w:t>
      </w:r>
      <w:r>
        <w:t xml:space="preserve"> is </w:t>
      </w:r>
      <w:r>
        <w:rPr>
          <w:rFonts w:ascii="Consolas" w:cs="Consolas" w:eastAsia="Consolas" w:hAnsi="Consolas"/>
          <w:shd w:fill="F2F1ED" w:val="clear"/>
        </w:rPr>
        <w:t xml:space="preserve">Sum</w:t>
      </w:r>
      <w:r>
        <w:t xml:space="preserve"> (the parent equals its components), </w:t>
      </w:r>
      <w:r>
        <w:rPr>
          <w:rFonts w:ascii="Consolas" w:cs="Consolas" w:eastAsia="Consolas" w:hAnsi="Consolas"/>
          <w:shd w:fill="F2F1ED" w:val="clear"/>
        </w:rPr>
        <w:t xml:space="preserve">As reported</w:t>
      </w:r>
      <w:r>
        <w:t xml:space="preserve"> (the row is authoritative and its children are information — a fee metric reported at country, region, global </w:t>
      </w:r>
      <w:r>
        <w:rPr>
          <w:i/>
          <w:iCs/>
        </w:rPr>
        <w:t xml:space="preserve">and</w:t>
      </w:r>
      <w:r>
        <w:t xml:space="preserve"> group belongs here), </w:t>
      </w:r>
      <w:r>
        <w:rPr>
          <w:rFonts w:ascii="Consolas" w:cs="Consolas" w:eastAsia="Consolas" w:hAnsi="Consolas"/>
          <w:shd w:fill="F2F1ED" w:val="clear"/>
        </w:rPr>
        <w:t xml:space="preserve">Never</w:t>
      </w:r>
      <w:r>
        <w:t xml:space="preserve"> (non-additive — a ratio) or </w:t>
      </w:r>
      <w:r>
        <w:rPr>
          <w:rFonts w:ascii="Consolas" w:cs="Consolas" w:eastAsia="Consolas" w:hAnsi="Consolas"/>
          <w:shd w:fill="F2F1ED" w:val="clear"/>
        </w:rPr>
        <w:t xml:space="preserve">Memo</w:t>
      </w:r>
      <w:r>
        <w:t xml:space="preserve"> (disclosure only; never contributes to a parent).</w:t>
      </w:r>
    </w:p>
    <w:p>
      <w:pPr>
        <w:spacing w:after="100"/>
        <w:ind w:left="360"/>
      </w:pPr>
      <w:r>
        <w:rPr>
          <w:rFonts w:ascii="Consolas" w:cs="Consolas" w:eastAsia="Consolas" w:hAnsi="Consolas"/>
          <w:shd w:fill="F2F1ED" w:val="clear"/>
        </w:rPr>
        <w:t xml:space="preserve">Basis</w:t>
      </w:r>
      <w:r>
        <w:t xml:space="preserve"> is </w:t>
      </w:r>
      <w:r>
        <w:rPr>
          <w:rFonts w:ascii="Consolas" w:cs="Consolas" w:eastAsia="Consolas" w:hAnsi="Consolas"/>
          <w:shd w:fill="F2F1ED" w:val="clear"/>
        </w:rPr>
        <w:t xml:space="preserve">P&amp;L</w:t>
      </w:r>
      <w:r>
        <w:t xml:space="preserve">, </w:t>
      </w:r>
      <w:r>
        <w:rPr>
          <w:rFonts w:ascii="Consolas" w:cs="Consolas" w:eastAsia="Consolas" w:hAnsi="Consolas"/>
          <w:shd w:fill="F2F1ED" w:val="clear"/>
        </w:rPr>
        <w:t xml:space="preserve">Balance</w:t>
      </w:r>
      <w:r>
        <w:t xml:space="preserve"> or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Grain</w:t>
      </w:r>
      <w:r>
        <w:t xml:space="preserve"> names the geographic levels a line may be read at — </w:t>
      </w:r>
      <w:r>
        <w:rPr>
          <w:rFonts w:ascii="Consolas" w:cs="Consolas" w:eastAsia="Consolas" w:hAnsi="Consolas"/>
          <w:shd w:fill="F2F1ED" w:val="clear"/>
        </w:rPr>
        <w:t xml:space="preserve">Country, Region, Global, Group</w:t>
      </w:r>
      <w:r>
        <w:t xml:space="preserve">, or </w:t>
      </w:r>
      <w:r>
        <w:rPr>
          <w:rFonts w:ascii="Consolas" w:cs="Consolas" w:eastAsia="Consolas" w:hAnsi="Consolas"/>
          <w:shd w:fill="F2F1ED" w:val="clear"/>
        </w:rPr>
        <w:t xml:space="preserve">All</w:t>
      </w:r>
      <w:r>
        <w:t xml:space="preserve"> — and nothing is ever apportioned below the finest grain declared. </w:t>
      </w:r>
      <w:r>
        <w:rPr>
          <w:rFonts w:ascii="Consolas" w:cs="Consolas" w:eastAsia="Consolas" w:hAnsi="Consolas"/>
          <w:shd w:fill="F2F1ED" w:val="clear"/>
        </w:rPr>
        <w:t xml:space="preserve">Match</w:t>
      </w:r>
      <w:r>
        <w:t xml:space="preserve"> lists alternative names for the same line, separated by </w:t>
      </w:r>
      <w:r>
        <w:rPr>
          <w:rFonts w:ascii="Consolas" w:cs="Consolas" w:eastAsia="Consolas" w:hAnsi="Consolas"/>
          <w:shd w:fill="F2F1ED" w:val="clear"/>
        </w:rPr>
        <w:t xml:space="preserve">|</w:t>
      </w:r>
      <w:r>
        <w:t xml:space="preserve">, so one declaration covers the naming a pack actually uses (</w:t>
      </w:r>
      <w:r>
        <w:rPr>
          <w:rFonts w:ascii="Consolas" w:cs="Consolas" w:eastAsia="Consolas" w:hAnsi="Consolas"/>
          <w:shd w:fill="F2F1ED" w:val="clear"/>
        </w:rPr>
        <w:t xml:space="preserve">PBT|PBT ex Notables</w:t>
      </w:r>
      <w:r>
        <w:t xml:space="preserve">). Calculated metrics belong here as well: a metric the </w:t>
      </w:r>
      <w:r>
        <w:rPr>
          <w:b/>
          <w:bCs/>
        </w:rPr>
        <w:t xml:space="preserve">Definitions</w:t>
      </w:r>
      <w:r>
        <w:t xml:space="preserve"> tab builds from other rows (Banking NII, for instance) is a view of those rows, so it is a </w:t>
      </w:r>
      <w:r>
        <w:rPr>
          <w:rFonts w:ascii="Consolas" w:cs="Consolas" w:eastAsia="Consolas" w:hAnsi="Consolas"/>
          <w:shd w:fill="F2F1ED" w:val="clear"/>
        </w:rPr>
        <w:t xml:space="preserve">Memo</w:t>
      </w:r>
      <w:r>
        <w:t xml:space="preserve"> — it is shown on its tile and never added beside its own components.</w:t>
      </w:r>
    </w:p>
    <w:p>
      <w:pPr>
        <w:spacing w:after="140"/>
        <w:ind w:left="360"/>
      </w:pPr>
      <w:r>
        <w:rPr>
          <w:b/>
          <w:bCs/>
        </w:rPr>
        <w:t xml:space="preserve">`Unit` — what the line is reported in.</w:t>
      </w:r>
      <w:r>
        <w:t xml:space="preserve"> A unit is two things and one cell states both: the </w:t>
      </w:r>
      <w:r>
        <w:rPr>
          <w:b/>
          <w:bCs/>
        </w:rPr>
        <w:t xml:space="preserve">scale</w:t>
      </w:r>
      <w:r>
        <w:t xml:space="preserve"> (millions, billions, thousands) and the </w:t>
      </w:r>
      <w:r>
        <w:rPr>
          <w:b/>
          <w:bCs/>
        </w:rPr>
        <w:t xml:space="preserve">kind</w:t>
      </w:r>
      <w:r>
        <w:t xml:space="preserve"> of thing being counted. </w:t>
      </w:r>
      <w:r>
        <w:rPr>
          <w:b/>
          <w:bCs/>
        </w:rPr>
        <w:t xml:space="preserve">The currency symbol is what separates them</w:t>
      </w:r>
      <w:r>
        <w:t xml:space="preserve"> — </w:t>
      </w:r>
      <w:r>
        <w:rPr>
          <w:rFonts w:ascii="Consolas" w:cs="Consolas" w:eastAsia="Consolas" w:hAnsi="Consolas"/>
          <w:shd w:fill="F2F1ED" w:val="clear"/>
        </w:rPr>
        <w:t xml:space="preserve">$mn</w:t>
      </w:r>
      <w:r>
        <w:t xml:space="preserve"> is money in millions, </w:t>
      </w:r>
      <w:r>
        <w:rPr>
          <w:rFonts w:ascii="Consolas" w:cs="Consolas" w:eastAsia="Consolas" w:hAnsi="Consolas"/>
          <w:shd w:fill="F2F1ED" w:val="clear"/>
        </w:rPr>
        <w:t xml:space="preserve">mn</w:t>
      </w:r>
      <w:r>
        <w:t xml:space="preserve"> on its own is a number in millions, and the two are never added together however alike their scales look.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Written as</w:t>
            </w:r>
          </w:p>
        </w:tc>
        <w:tc>
          <w:tcPr>
            <w:shd w:fill="F7E9EA" w:val="clear"/>
            <w:tcMar>
              <w:top w:type="dxa" w:w="60"/>
              <w:left w:type="dxa" w:w="100"/>
              <w:bottom w:type="dxa" w:w="60"/>
              <w:right w:type="dxa" w:w="100"/>
            </w:tcMar>
          </w:tcPr>
          <w:p>
            <w:r>
              <w:rPr>
                <w:b/>
                <w:bCs/>
                <w:color w:val="DB0011"/>
              </w:rPr>
              <w:t xml:space="preserve">Kind</w:t>
            </w:r>
          </w:p>
        </w:tc>
        <w:tc>
          <w:tcPr>
            <w:shd w:fill="F7E9EA" w:val="clear"/>
            <w:tcMar>
              <w:top w:type="dxa" w:w="60"/>
              <w:left w:type="dxa" w:w="100"/>
              <w:bottom w:type="dxa" w:w="60"/>
              <w:right w:type="dxa" w:w="100"/>
            </w:tcMar>
          </w:tcPr>
          <w:p>
            <w:r>
              <w:rPr>
                <w:b/>
                <w:bCs/>
                <w:color w:val="DB0011"/>
              </w:rPr>
              <w:t xml:space="preserve">Reads as</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US$m</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US$k</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US$m, US$bn, US$k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000s</w:t>
            </w:r>
            <w:r>
              <w:t xml:space="preserve"> (no currency)</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mn, bn, k</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Nos</w:t>
            </w:r>
          </w:p>
        </w:tc>
        <w:tc>
          <w:tcPr>
            <w:tcMar>
              <w:top w:type="dxa" w:w="60"/>
              <w:left w:type="dxa" w:w="100"/>
              <w:bottom w:type="dxa" w:w="60"/>
              <w:right w:type="dxa" w:w="100"/>
            </w:tcMar>
          </w:tcPr>
          <w:p>
            <w:pPr>
              <w:spacing w:after="0"/>
            </w:pPr>
            <w:r>
              <w:t xml:space="preserve">number</w:t>
            </w:r>
          </w:p>
        </w:tc>
        <w:tc>
          <w:tcPr>
            <w:tcMar>
              <w:top w:type="dxa" w:w="60"/>
              <w:left w:type="dxa" w:w="100"/>
              <w:bottom w:type="dxa" w:w="60"/>
              <w:right w:type="dxa" w:w="100"/>
            </w:tcMar>
          </w:tcPr>
          <w:p>
            <w:pPr>
              <w:spacing w:after="0"/>
            </w:pPr>
            <w:r>
              <w:t xml:space="preserve">a plain number</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pct</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ratio</w:t>
            </w:r>
          </w:p>
        </w:tc>
        <w:tc>
          <w:tcPr>
            <w:tcMar>
              <w:top w:type="dxa" w:w="60"/>
              <w:left w:type="dxa" w:w="100"/>
              <w:bottom w:type="dxa" w:w="60"/>
              <w:right w:type="dxa" w:w="100"/>
            </w:tcMar>
          </w:tcPr>
          <w:p>
            <w:pPr>
              <w:spacing w:after="0"/>
            </w:pPr>
            <w:r>
              <w:t xml:space="preserve">ratio</w:t>
            </w:r>
          </w:p>
        </w:tc>
        <w:tc>
          <w:tcPr>
            <w:tcMar>
              <w:top w:type="dxa" w:w="60"/>
              <w:left w:type="dxa" w:w="100"/>
              <w:bottom w:type="dxa" w:w="60"/>
              <w:right w:type="dxa" w:w="100"/>
            </w:tcMar>
          </w:tcPr>
          <w:p>
            <w:pPr>
              <w:spacing w:after="0"/>
            </w:pPr>
            <w:r>
              <w:t xml:space="preserve">a ratio — never additive</w:t>
            </w:r>
          </w:p>
        </w:tc>
      </w:tr>
      <w:tr>
        <w:tc>
          <w:tcPr>
            <w:tcMar>
              <w:top w:type="dxa" w:w="60"/>
              <w:left w:type="dxa" w:w="100"/>
              <w:bottom w:type="dxa" w:w="60"/>
              <w:right w:type="dxa" w:w="100"/>
            </w:tcMar>
          </w:tcPr>
          <w:p>
            <w:pPr>
              <w:spacing w:after="0"/>
            </w:pPr>
            <w:r>
              <w:rPr>
                <w:rFonts w:ascii="Consolas" w:cs="Consolas" w:eastAsia="Consolas" w:hAnsi="Consolas"/>
                <w:shd w:fill="F2F1ED" w:val="clear"/>
              </w:rPr>
              <w:t xml:space="preserve">$ as is</w:t>
            </w:r>
            <w:r>
              <w:t xml:space="preserve">, </w:t>
            </w:r>
            <w:r>
              <w:rPr>
                <w:rFonts w:ascii="Consolas" w:cs="Consolas" w:eastAsia="Consolas" w:hAnsi="Consolas"/>
                <w:shd w:fill="F2F1ED" w:val="clear"/>
              </w:rPr>
              <w:t xml:space="preserve">as reported</w:t>
            </w:r>
          </w:p>
        </w:tc>
        <w:tc>
          <w:tcPr>
            <w:tcMar>
              <w:top w:type="dxa" w:w="60"/>
              <w:left w:type="dxa" w:w="100"/>
              <w:bottom w:type="dxa" w:w="60"/>
              <w:right w:type="dxa" w:w="100"/>
            </w:tcMar>
          </w:tcPr>
          <w:p>
            <w:pPr>
              <w:spacing w:after="0"/>
            </w:pPr>
            <w:r>
              <w:t xml:space="preserve">money</w:t>
            </w:r>
          </w:p>
        </w:tc>
        <w:tc>
          <w:tcPr>
            <w:tcMar>
              <w:top w:type="dxa" w:w="60"/>
              <w:left w:type="dxa" w:w="100"/>
              <w:bottom w:type="dxa" w:w="60"/>
              <w:right w:type="dxa" w:w="100"/>
            </w:tcMar>
          </w:tcPr>
          <w:p>
            <w:pPr>
              <w:spacing w:after="0"/>
            </w:pPr>
            <w:r>
              <w:t xml:space="preserve">the unit the file itself carries</w:t>
            </w:r>
          </w:p>
        </w:tc>
      </w:tr>
    </w:tbl>
    <w:p>
      <w:pPr>
        <w:spacing w:after="160"/>
      </w:pPr>
    </w:p>
    <w:p>
      <w:pPr>
        <w:spacing w:after="140"/>
        <w:ind w:left="360"/>
      </w:pPr>
      <w:r>
        <w:rPr>
          <w:b/>
          <w:bCs/>
        </w:rPr>
        <w:t xml:space="preserve">The two kinds scale from different bases</w:t>
      </w:r>
      <w:r>
        <w:t xml:space="preserve">, because they start from different places. Money is stated against the file's own unit — a file in US$m carrying a line declared </w:t>
      </w:r>
      <w:r>
        <w:rPr>
          <w:rFonts w:ascii="Consolas" w:cs="Consolas" w:eastAsia="Consolas" w:hAnsi="Consolas"/>
          <w:shd w:fill="F2F1ED" w:val="clear"/>
        </w:rPr>
        <w:t xml:space="preserve">US$m</w:t>
      </w:r>
      <w:r>
        <w:t xml:space="preserve"> divides by one, and one declared </w:t>
      </w:r>
      <w:r>
        <w:rPr>
          <w:rFonts w:ascii="Consolas" w:cs="Consolas" w:eastAsia="Consolas" w:hAnsi="Consolas"/>
          <w:shd w:fill="F2F1ED" w:val="clear"/>
        </w:rPr>
        <w:t xml:space="preserve">US$bn</w:t>
      </w:r>
      <w:r>
        <w:t xml:space="preserve"> by a thousand. A count has no such base: 162,369 customers is 162,369 units, so a count declared </w:t>
      </w:r>
      <w:r>
        <w:rPr>
          <w:rFonts w:ascii="Consolas" w:cs="Consolas" w:eastAsia="Consolas" w:hAnsi="Consolas"/>
          <w:shd w:fill="F2F1ED" w:val="clear"/>
        </w:rPr>
        <w:t xml:space="preserve">mn</w:t>
      </w:r>
      <w:r>
        <w:t xml:space="preserve"> divides by a </w:t>
      </w:r>
      <w:r>
        <w:rPr>
          <w:b/>
          <w:bCs/>
        </w:rPr>
        <w:t xml:space="preserve">million</w:t>
      </w:r>
      <w:r>
        <w:t xml:space="preserve"> and prints as </w:t>
      </w:r>
      <w:r>
        <w:rPr>
          <w:rFonts w:ascii="Consolas" w:cs="Consolas" w:eastAsia="Consolas" w:hAnsi="Consolas"/>
          <w:shd w:fill="F2F1ED" w:val="clear"/>
        </w:rPr>
        <w:t xml:space="preserve">0.16mn</w:t>
      </w:r>
      <w:r>
        <w:t xml:space="preserve">. A count declared </w:t>
      </w:r>
      <w:r>
        <w:rPr>
          <w:rFonts w:ascii="Consolas" w:cs="Consolas" w:eastAsia="Consolas" w:hAnsi="Consolas"/>
          <w:shd w:fill="F2F1ED" w:val="clear"/>
        </w:rPr>
        <w:t xml:space="preserve">Absolute</w:t>
      </w:r>
      <w:r>
        <w:t xml:space="preserve"> divides by one. A figure scaled below one keeps two decimals rather than rounding itself away.</w:t>
      </w:r>
    </w:p>
    <w:p>
      <w:pPr>
        <w:spacing w:after="140"/>
        <w:ind w:left="360"/>
      </w:pPr>
      <w:r>
        <w:t xml:space="preserve">Declared per line at MICA Level 1 and 2. This is the pack's policy, not the reader's preference: a declared unit governs that line wherever it is printed, exactly as </w:t>
      </w:r>
      <w:r>
        <w:rPr>
          <w:rFonts w:ascii="Consolas" w:cs="Consolas" w:eastAsia="Consolas" w:hAnsi="Consolas"/>
          <w:shd w:fill="F2F1ED" w:val="clear"/>
        </w:rPr>
        <w:t xml:space="preserve">bs_unit</w:t>
      </w:r>
      <w:r>
        <w:t xml:space="preserve"> governs a balance, and the unit picker at the top of the page does not override it. Two rules keep it honest.</w:t>
      </w:r>
    </w:p>
    <w:p>
      <w:pPr>
        <w:spacing w:after="140"/>
        <w:ind w:left="360"/>
      </w:pPr>
      <w:r>
        <w:rPr>
          <w:b/>
          <w:bCs/>
        </w:rPr>
        <w:t xml:space="preserve">It restates the unit, never the figure</w:t>
      </w:r>
      <w:r>
        <w:t xml:space="preserve"> — a P&amp;L line is still the actuals YTD column for the month in hand, a balance still its closing month, taken exactly as the roll-up rules above describe. And </w:t>
      </w:r>
      <w:r>
        <w:rPr>
          <w:b/>
          <w:bCs/>
        </w:rPr>
        <w:t xml:space="preserve">a declaration only changes what it has to</w:t>
      </w:r>
      <w:r>
        <w:t xml:space="preserve">: naming the unit the file already carries (</w:t>
      </w:r>
      <w:r>
        <w:rPr>
          <w:rFonts w:ascii="Consolas" w:cs="Consolas" w:eastAsia="Consolas" w:hAnsi="Consolas"/>
          <w:shd w:fill="F2F1ED" w:val="clear"/>
        </w:rPr>
        <w:t xml:space="preserve">US$m</w:t>
      </w:r>
      <w:r>
        <w:t xml:space="preserve"> on a file stated in US$m) sets the label and leaves every figure formatted as before, while </w:t>
      </w:r>
      <w:r>
        <w:rPr>
          <w:rFonts w:ascii="Consolas" w:cs="Consolas" w:eastAsia="Consolas" w:hAnsi="Consolas"/>
          <w:shd w:fill="F2F1ED" w:val="clear"/>
        </w:rPr>
        <w:t xml:space="preserve">As reported</w:t>
      </w:r>
      <w:r>
        <w:t xml:space="preserve"> on a balance is what takes that line back out of billions. A row may carry a </w:t>
      </w:r>
      <w:r>
        <w:rPr>
          <w:rFonts w:ascii="Consolas" w:cs="Consolas" w:eastAsia="Consolas" w:hAnsi="Consolas"/>
          <w:shd w:fill="F2F1ED" w:val="clear"/>
        </w:rPr>
        <w:t xml:space="preserve">Unit</w:t>
      </w:r>
      <w:r>
        <w:t xml:space="preserve"> with the </w:t>
      </w:r>
      <w:r>
        <w:rPr>
          <w:rFonts w:ascii="Consolas" w:cs="Consolas" w:eastAsia="Consolas" w:hAnsi="Consolas"/>
          <w:shd w:fill="F2F1ED" w:val="clear"/>
        </w:rPr>
        <w:t xml:space="preserve">Roll up</w:t>
      </w:r>
      <w:r>
        <w:t xml:space="preserve"> column left blank — it then declares the unit and says nothing about how the line aggregates.</w:t>
      </w:r>
    </w:p>
    <w:p>
      <w:pPr>
        <w:spacing w:after="140"/>
        <w:ind w:left="360"/>
      </w:pPr>
      <w:r>
        <w:t xml:space="preserve">This governs the KPI tiles and the KPI summary (including the scorecard and dashboard widgets), </w:t>
      </w:r>
      <w:r>
        <w:rPr>
          <w:b/>
          <w:bCs/>
        </w:rPr>
        <w:t xml:space="preserve">Business performance</w:t>
      </w:r>
      <w:r>
        <w:t xml:space="preserve"> — each column is cast and headed in its own line's unit — and the </w:t>
      </w:r>
      <w:r>
        <w:rPr>
          <w:b/>
          <w:bCs/>
        </w:rPr>
        <w:t xml:space="preserve">Financial Summary</w:t>
      </w:r>
      <w:r>
        <w:t xml:space="preserve"> on screen, in its Excel export, in its PowerPoint table and in the words it writes, with each block headed in the unit its lines are declared in. The simulation pages, the drag &amp; drop charts and the mix analysis still follow the P&amp;L / balance convention (</w:t>
      </w:r>
      <w:r>
        <w:rPr>
          <w:rFonts w:ascii="Consolas" w:cs="Consolas" w:eastAsia="Consolas" w:hAnsi="Consolas"/>
          <w:shd w:fill="F2F1ED" w:val="clear"/>
        </w:rPr>
        <w:t xml:space="preserve">unit_label</w:t>
      </w:r>
      <w:r>
        <w:t xml:space="preserve"> and </w:t>
      </w:r>
      <w:r>
        <w:rPr>
          <w:rFonts w:ascii="Consolas" w:cs="Consolas" w:eastAsia="Consolas" w:hAnsi="Consolas"/>
          <w:shd w:fill="F2F1ED" w:val="clear"/>
        </w:rPr>
        <w:t xml:space="preserve">bs_unit</w:t>
      </w:r>
      <w:r>
        <w:t xml:space="preserve">).</w:t>
      </w:r>
    </w:p>
    <w:p>
      <w:pPr>
        <w:spacing w:after="140"/>
        <w:ind w:left="360"/>
      </w:pPr>
      <w:r>
        <w:rPr>
          <w:b/>
          <w:bCs/>
        </w:rPr>
        <w:t xml:space="preserve">The extract may state its own units.</w:t>
      </w:r>
      <w:r>
        <w:t xml:space="preserve"> Where the TM1 extract carries a </w:t>
      </w:r>
      <w:r>
        <w:rPr>
          <w:rFonts w:ascii="Consolas" w:cs="Consolas" w:eastAsia="Consolas" w:hAnsi="Consolas"/>
          <w:shd w:fill="F2F1ED" w:val="clear"/>
        </w:rPr>
        <w:t xml:space="preserve">Unit</w:t>
      </w:r>
      <w:r>
        <w:t xml:space="preserve"> column beside the hierarchy (also </w:t>
      </w:r>
      <w:r>
        <w:rPr>
          <w:rFonts w:ascii="Consolas" w:cs="Consolas" w:eastAsia="Consolas" w:hAnsi="Consolas"/>
          <w:shd w:fill="F2F1ED" w:val="clear"/>
        </w:rPr>
        <w:t xml:space="preserve">Units</w:t>
      </w:r>
      <w:r>
        <w:t xml:space="preserve">, </w:t>
      </w:r>
      <w:r>
        <w:rPr>
          <w:rFonts w:ascii="Consolas" w:cs="Consolas" w:eastAsia="Consolas" w:hAnsi="Consolas"/>
          <w:shd w:fill="F2F1ED" w:val="clear"/>
        </w:rPr>
        <w:t xml:space="preserve">UOM</w:t>
      </w:r>
      <w:r>
        <w:t xml:space="preserve">, </w:t>
      </w:r>
      <w:r>
        <w:rPr>
          <w:rFonts w:ascii="Consolas" w:cs="Consolas" w:eastAsia="Consolas" w:hAnsi="Consolas"/>
          <w:shd w:fill="F2F1ED" w:val="clear"/>
        </w:rPr>
        <w:t xml:space="preserve">Reported in</w:t>
      </w:r>
      <w:r>
        <w:t xml:space="preserve">, </w:t>
      </w:r>
      <w:r>
        <w:rPr>
          <w:rFonts w:ascii="Consolas" w:cs="Consolas" w:eastAsia="Consolas" w:hAnsi="Consolas"/>
          <w:shd w:fill="F2F1ED" w:val="clear"/>
        </w:rPr>
        <w:t xml:space="preserve">Scale</w:t>
      </w:r>
      <w:r>
        <w:t xml:space="preserve">) — one value per line, exactly as a reporting pack writes it — the app reads it and resolves each line's unit from it. It is not offered as a dimension to slice by; it is what the figures beside it mean.</w:t>
      </w:r>
    </w:p>
    <w:p>
      <w:pPr>
        <w:spacing w:after="140"/>
        <w:ind w:left="360"/>
      </w:pPr>
      <w:r>
        <w:t xml:space="preserve">Precedence: </w:t>
      </w:r>
      <w:r>
        <w:rPr>
          <w:b/>
          <w:bCs/>
        </w:rPr>
        <w:t xml:space="preserve">the pack's declaration first</w:t>
      </w:r>
      <w:r>
        <w:t xml:space="preserve"> (that is policy, and it is how a typo or an inconsistency in the extract gets overruled), </w:t>
      </w:r>
      <w:r>
        <w:rPr>
          <w:b/>
          <w:bCs/>
        </w:rPr>
        <w:t xml:space="preserve">then the file's own column</w:t>
      </w:r>
      <w:r>
        <w:t xml:space="preserve">, </w:t>
      </w:r>
      <w:r>
        <w:rPr>
          <w:b/>
          <w:bCs/>
        </w:rPr>
        <w:t xml:space="preserve">then the P&amp;L / balance convention.</w:t>
      </w:r>
      <w:r>
        <w:t xml:space="preserve"> A line whose rows disagree on their unit is taken from neither, a token the app cannot read (</w:t>
      </w:r>
      <w:r>
        <w:rPr>
          <w:rFonts w:ascii="Consolas" w:cs="Consolas" w:eastAsia="Consolas" w:hAnsi="Consolas"/>
          <w:shd w:fill="F2F1ED" w:val="clear"/>
        </w:rPr>
        <w:t xml:space="preserve">$mb</w:t>
      </w:r>
      <w:r>
        <w:t xml:space="preserve">) is named in the ingest report rather than guessed at, and the report lists the money, number and ratio units it found.</w:t>
      </w:r>
    </w:p>
    <w:p>
      <w:pPr>
        <w:spacing w:after="140"/>
        <w:ind w:left="360"/>
      </w:pPr>
      <w:r>
        <w:rPr>
          <w:b/>
          <w:bCs/>
        </w:rPr>
        <w:t xml:space="preserve">A metric cannot exceed the line it is defined from.</w:t>
      </w:r>
      <w:r>
        <w:t xml:space="preserve"> Where a definition starts from a line — </w:t>
      </w:r>
      <w:r>
        <w:rPr>
          <w:rFonts w:ascii="Consolas" w:cs="Consolas" w:eastAsia="Consolas" w:hAnsi="Consolas"/>
          <w:shd w:fill="F2F1ED" w:val="clear"/>
        </w:rPr>
        <w:t xml:space="preserve">Banking NII = Revenue less Net Insurance Revenue</w:t>
      </w:r>
      <w:r>
        <w:t xml:space="preserve"> — the ingest report compares the two on the loaded file, per business, and says so if the metric comes out larger: </w:t>
      </w:r>
      <w:r>
        <w:rPr>
          <w:i/>
          <w:iCs/>
        </w:rPr>
        <w:t xml:space="preserve">"Banking NII (IWPB) reads 750 against Revenue at 650 — a metric defined from a line cannot exceed it. It subtracts Net Insurance Revenue: check the sign the file carries that line with — subtracting a negative adds it."</w:t>
      </w:r>
      <w:r>
        <w:t xml:space="preserve"> That last point is the usual cause: a line the extract already carries as a negative, subtracted again by the definition, is added instead.</w:t>
      </w:r>
    </w:p>
    <w:p>
      <w:pPr>
        <w:spacing w:after="140"/>
        <w:ind w:left="360"/>
      </w:pPr>
      <w:r>
        <w:rPr>
          <w:b/>
          <w:bCs/>
        </w:rPr>
        <w:t xml:space="preserve">A count is not money either.</w:t>
      </w:r>
      <w:r>
        <w:t xml:space="preserve"> </w:t>
      </w:r>
      <w:r>
        <w:rPr>
          <w:rFonts w:ascii="Consolas" w:cs="Consolas" w:eastAsia="Consolas" w:hAnsi="Consolas"/>
          <w:shd w:fill="F2F1ED" w:val="clear"/>
        </w:rPr>
        <w:t xml:space="preserve">count_patterns</w:t>
      </w:r>
      <w:r>
        <w:t xml:space="preserve"> (default: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count(s)</w:t>
      </w:r>
      <w:r>
        <w:t xml:space="preserve">, </w:t>
      </w:r>
      <w:r>
        <w:rPr>
          <w:rFonts w:ascii="Consolas" w:cs="Consolas" w:eastAsia="Consolas" w:hAnsi="Consolas"/>
          <w:shd w:fill="F2F1ED" w:val="clear"/>
        </w:rPr>
        <w:t xml:space="preserve">customers</w:t>
      </w:r>
      <w:r>
        <w:t xml:space="preserve">, </w:t>
      </w:r>
      <w:r>
        <w:rPr>
          <w:rFonts w:ascii="Consolas" w:cs="Consolas" w:eastAsia="Consolas" w:hAnsi="Consolas"/>
          <w:shd w:fill="F2F1ED" w:val="clear"/>
        </w:rPr>
        <w:t xml:space="preserve">nos</w:t>
      </w:r>
      <w:r>
        <w:t xml:space="preserve">, </w:t>
      </w:r>
      <w:r>
        <w:rPr>
          <w:rFonts w:ascii="Consolas" w:cs="Consolas" w:eastAsia="Consolas" w:hAnsi="Consolas"/>
          <w:shd w:fill="F2F1ED" w:val="clear"/>
        </w:rPr>
        <w:t xml:space="preserve">number</w:t>
      </w:r>
      <w:r>
        <w:t xml:space="preserve">, </w:t>
      </w:r>
      <w:r>
        <w:rPr>
          <w:rFonts w:ascii="Consolas" w:cs="Consolas" w:eastAsia="Consolas" w:hAnsi="Consolas"/>
          <w:shd w:fill="F2F1ED" w:val="clear"/>
        </w:rPr>
        <w:t xml:space="preserve">heads</w:t>
      </w:r>
      <w:r>
        <w:t xml:space="preserve">) names the lines that are a number of things rather than an amount of money. Such a line is printed as a plain number — no currency, no restatement into millions or billions because its rows sit under a Key Metrics or memo heading — and it never joins a money total. This is what the </w:t>
      </w:r>
      <w:r>
        <w:rPr>
          <w:rFonts w:ascii="Consolas" w:cs="Consolas" w:eastAsia="Consolas" w:hAnsi="Consolas"/>
          <w:shd w:fill="F2F1ED" w:val="clear"/>
        </w:rPr>
        <w:t xml:space="preserve">Unit</w:t>
      </w:r>
      <w:r>
        <w:t xml:space="preserve"> column says explicitly where a file carries one; the patterns are how a file that carries no units is still read correctly.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headcount</w:t>
      </w:r>
      <w:r>
        <w:t xml:space="preserve"> and </w:t>
      </w:r>
      <w:r>
        <w:rPr>
          <w:rFonts w:ascii="Consolas" w:cs="Consolas" w:eastAsia="Consolas" w:hAnsi="Consolas"/>
          <w:shd w:fill="F2F1ED" w:val="clear"/>
        </w:rPr>
        <w:t xml:space="preserve">count</w:t>
      </w:r>
      <w:r>
        <w:t xml:space="preserve"> used to sit in </w:t>
      </w:r>
      <w:r>
        <w:rPr>
          <w:rFonts w:ascii="Consolas" w:cs="Consolas" w:eastAsia="Consolas" w:hAnsi="Consolas"/>
          <w:shd w:fill="F2F1ED" w:val="clear"/>
        </w:rPr>
        <w:t xml:space="preserve">ratio_patterns</w:t>
      </w:r>
      <w:r>
        <w:t xml:space="preserve">, which made a headcount a ratio; they now have their own setting.)</w:t>
      </w:r>
    </w:p>
    <w:p>
      <w:pPr>
        <w:spacing w:after="140"/>
        <w:ind w:left="360"/>
      </w:pPr>
      <w:r>
        <w:rPr>
          <w:b/>
          <w:bCs/>
        </w:rPr>
        <w:t xml:space="preserve">A ratio is never printed on a money basis.</w:t>
      </w:r>
      <w:r>
        <w:t xml:space="preserve"> Three things can say a line is a ratio, and any one is enough: the file states its unit as </w:t>
      </w:r>
      <w:r>
        <w:rPr>
          <w:rFonts w:ascii="Consolas" w:cs="Consolas" w:eastAsia="Consolas" w:hAnsi="Consolas"/>
          <w:shd w:fill="F2F1ED" w:val="clear"/>
        </w:rPr>
        <w:t xml:space="preserve">%</w:t>
      </w:r>
      <w:r>
        <w:t xml:space="preserve">, the pack declares its </w:t>
      </w:r>
      <w:r>
        <w:rPr>
          <w:rFonts w:ascii="Consolas" w:cs="Consolas" w:eastAsia="Consolas" w:hAnsi="Consolas"/>
          <w:shd w:fill="F2F1ED" w:val="clear"/>
        </w:rPr>
        <w:t xml:space="preserve">Basis</w:t>
      </w:r>
      <w:r>
        <w:t xml:space="preserve"> as </w:t>
      </w:r>
      <w:r>
        <w:rPr>
          <w:rFonts w:ascii="Consolas" w:cs="Consolas" w:eastAsia="Consolas" w:hAnsi="Consolas"/>
          <w:shd w:fill="F2F1ED" w:val="clear"/>
        </w:rPr>
        <w:t xml:space="preserve">Ratio</w:t>
      </w:r>
      <w:r>
        <w:t xml:space="preserve">, or the name itself says so (</w:t>
      </w:r>
      <w:r>
        <w:rPr>
          <w:rFonts w:ascii="Consolas" w:cs="Consolas" w:eastAsia="Consolas" w:hAnsi="Consolas"/>
          <w:shd w:fill="F2F1ED" w:val="clear"/>
        </w:rPr>
        <w:t xml:space="preserve">ratio_patterns</w:t>
      </w:r>
      <w:r>
        <w:t xml:space="preserve"> — CER, ROTE, bps, %). Such a line is shown as the ratio it is — no currency, no restatement into billions because its rows happen to sit beside the balance sheet, and read year to date rather than as a closing balance, since a ratio is not a stock.</w:t>
      </w:r>
    </w:p>
    <w:p>
      <w:pPr>
        <w:spacing w:after="140"/>
        <w:ind w:left="360"/>
      </w:pPr>
      <w:r>
        <w:t xml:space="preserve">Its movements are in ratio points (</w:t>
      </w:r>
      <w:r>
        <w:rPr>
          <w:rFonts w:ascii="Consolas" w:cs="Consolas" w:eastAsia="Consolas" w:hAnsi="Consolas"/>
          <w:shd w:fill="F2F1ED" w:val="clear"/>
        </w:rPr>
        <w:t xml:space="preserve">▼0.01</w:t>
      </w:r>
      <w:r>
        <w:t xml:space="preserve">) with the percentage change beside them. The same precedence applies here as everywhere: what the pack declares, then what the file states, and only then the name patterns — so a line the file calls </w:t>
      </w:r>
      <w:r>
        <w:rPr>
          <w:rFonts w:ascii="Consolas" w:cs="Consolas" w:eastAsia="Consolas" w:hAnsi="Consolas"/>
          <w:shd w:fill="F2F1ED" w:val="clear"/>
        </w:rPr>
        <w:t xml:space="preserve">Absolute</w:t>
      </w:r>
      <w:r>
        <w:t xml:space="preserve"> is a count even if the patterns would have caught its name.</w:t>
      </w:r>
    </w:p>
    <w:p>
      <w:pPr>
        <w:spacing w:after="140"/>
        <w:ind w:left="360"/>
      </w:pPr>
      <w:r>
        <w:rPr>
          <w:b/>
          <w:bCs/>
        </w:rPr>
        <w:t xml:space="preserve">A ratio is never carried up.</w:t>
      </w:r>
      <w:r>
        <w:t xml:space="preserve"> By default it is shown exactly as the file reports it, at the level the file reports it, and is never added, averaged or rolled into anything — Group CER is not the mean of the countries' CERs, so the page does not offer one.</w:t>
      </w:r>
    </w:p>
    <w:p>
      <w:pPr>
        <w:spacing w:after="140"/>
        <w:ind w:left="360"/>
      </w:pPr>
      <w:r>
        <w:rPr>
          <w:b/>
          <w:bCs/>
        </w:rPr>
        <w:t xml:space="preserve">`ratio_recompute` (off by default)</w:t>
      </w:r>
      <w:r>
        <w:t xml:space="preserve"> turns on the alternative: rebuilding the ratio at whatever level is asked for, from its components. The </w:t>
      </w:r>
      <w:r>
        <w:rPr>
          <w:b/>
          <w:bCs/>
        </w:rPr>
        <w:t xml:space="preserve">Definitions</w:t>
      </w:r>
      <w:r>
        <w:t xml:space="preserve"> tab states it in the lineage form already used for calculated metrics, with one addition — a component whose </w:t>
      </w:r>
      <w:r>
        <w:rPr>
          <w:rFonts w:ascii="Consolas" w:cs="Consolas" w:eastAsia="Consolas" w:hAnsi="Consolas"/>
          <w:shd w:fill="F2F1ED" w:val="clear"/>
        </w:rPr>
        <w:t xml:space="preserve">Include</w:t>
      </w:r>
      <w:r>
        <w:t xml:space="preserve"> cell reads </w:t>
      </w:r>
      <w:r>
        <w:rPr>
          <w:b/>
          <w:bCs/>
        </w:rPr>
        <w:t xml:space="preserve">`/`</w:t>
      </w:r>
      <w:r>
        <w:t xml:space="preserve"> (or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den</w:t>
      </w:r>
      <w:r>
        <w:t xml:space="preserve">, </w:t>
      </w:r>
      <w:r>
        <w:rPr>
          <w:rFonts w:ascii="Consolas" w:cs="Consolas" w:eastAsia="Consolas" w:hAnsi="Consolas"/>
          <w:shd w:fill="F2F1ED" w:val="clear"/>
        </w:rPr>
        <w:t xml:space="preserve">over</w:t>
      </w:r>
      <w:r>
        <w:t xml:space="preserve">) is the </w:t>
      </w:r>
      <w:r>
        <w:rPr>
          <w:b/>
          <w:bCs/>
        </w:rPr>
        <w:t xml:space="preserve">denominator</w:t>
      </w:r>
      <w:r>
        <w:t xml:space="preserve">, and the </w:t>
      </w:r>
      <w:r>
        <w:rPr>
          <w:rFonts w:ascii="Consolas" w:cs="Consolas" w:eastAsia="Consolas" w:hAnsi="Consolas"/>
          <w:shd w:fill="F2F1ED" w:val="clear"/>
        </w:rPr>
        <w:t xml:space="preserve">+</w:t>
      </w:r>
      <w:r>
        <w:t xml:space="preserve"> / </w:t>
      </w:r>
      <w:r>
        <w:rPr>
          <w:rFonts w:ascii="Consolas" w:cs="Consolas" w:eastAsia="Consolas" w:hAnsi="Consolas"/>
          <w:shd w:fill="F2F1ED" w:val="clear"/>
        </w:rPr>
        <w:t xml:space="preserve">−</w:t>
      </w:r>
      <w:r>
        <w:t xml:space="preserve"> components are the numerator.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7E9EA" w:val="clear"/>
            <w:tcMar>
              <w:top w:type="dxa" w:w="60"/>
              <w:left w:type="dxa" w:w="100"/>
              <w:bottom w:type="dxa" w:w="60"/>
              <w:right w:type="dxa" w:w="100"/>
            </w:tcMar>
          </w:tcPr>
          <w:p>
            <w:r>
              <w:rPr>
                <w:b/>
                <w:bCs/>
                <w:color w:val="DB0011"/>
              </w:rPr>
              <w:t xml:space="preserve">Calculation</w:t>
            </w:r>
          </w:p>
        </w:tc>
        <w:tc>
          <w:tcPr>
            <w:shd w:fill="F7E9EA" w:val="clear"/>
            <w:tcMar>
              <w:top w:type="dxa" w:w="60"/>
              <w:left w:type="dxa" w:w="100"/>
              <w:bottom w:type="dxa" w:w="60"/>
              <w:right w:type="dxa" w:w="100"/>
            </w:tcMar>
          </w:tcPr>
          <w:p>
            <w:r>
              <w:rPr>
                <w:b/>
                <w:bCs/>
                <w:color w:val="DB0011"/>
              </w:rPr>
              <w:t xml:space="preserve">Business</w:t>
            </w:r>
          </w:p>
        </w:tc>
        <w:tc>
          <w:tcPr>
            <w:shd w:fill="F7E9EA" w:val="clear"/>
            <w:tcMar>
              <w:top w:type="dxa" w:w="60"/>
              <w:left w:type="dxa" w:w="100"/>
              <w:bottom w:type="dxa" w:w="60"/>
              <w:right w:type="dxa" w:w="100"/>
            </w:tcMar>
          </w:tcPr>
          <w:p>
            <w:r>
              <w:rPr>
                <w:b/>
                <w:bCs/>
                <w:color w:val="DB0011"/>
              </w:rPr>
              <w:t xml:space="preserve">Line</w:t>
            </w:r>
          </w:p>
        </w:tc>
        <w:tc>
          <w:tcPr>
            <w:shd w:fill="F7E9EA" w:val="clear"/>
            <w:tcMar>
              <w:top w:type="dxa" w:w="60"/>
              <w:left w:type="dxa" w:w="100"/>
              <w:bottom w:type="dxa" w:w="60"/>
              <w:right w:type="dxa" w:w="100"/>
            </w:tcMar>
          </w:tcPr>
          <w:p>
            <w:r>
              <w:rPr>
                <w:b/>
                <w:bCs/>
                <w:color w:val="DB0011"/>
              </w:rPr>
              <w:t xml:space="preserve">Include</w:t>
            </w:r>
          </w:p>
        </w:tc>
        <w:tc>
          <w:tcPr>
            <w:shd w:fill="F7E9EA" w:val="clear"/>
            <w:tcMar>
              <w:top w:type="dxa" w:w="60"/>
              <w:left w:type="dxa" w:w="100"/>
              <w:bottom w:type="dxa" w:w="60"/>
              <w:right w:type="dxa" w:w="100"/>
            </w:tcMar>
          </w:tcPr>
          <w:p>
            <w:r>
              <w:rPr>
                <w:b/>
                <w:bCs/>
                <w:color w:val="DB0011"/>
              </w:rPr>
              <w:t xml:space="preserve">MICA level</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Direct Cost</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Total Indirect Costs</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r>
        <w:tc>
          <w:tcPr>
            <w:tcMar>
              <w:top w:type="dxa" w:w="60"/>
              <w:left w:type="dxa" w:w="100"/>
              <w:bottom w:type="dxa" w:w="60"/>
              <w:right w:type="dxa" w:w="100"/>
            </w:tcMar>
          </w:tcPr>
          <w:p>
            <w:pPr>
              <w:spacing w:after="0"/>
            </w:pPr>
            <w:r>
              <w:t xml:space="preserve">CER</w:t>
            </w:r>
          </w:p>
        </w:tc>
        <w:tc>
          <w:tcPr>
            <w:tcMar>
              <w:top w:type="dxa" w:w="60"/>
              <w:left w:type="dxa" w:w="100"/>
              <w:bottom w:type="dxa" w:w="60"/>
              <w:right w:type="dxa" w:w="100"/>
            </w:tcMar>
          </w:tcPr>
          <w:p>
            <w:pPr>
              <w:spacing w:after="0"/>
            </w:pPr>
            <w:r>
              <w:t xml:space="preserve"> </w:t>
            </w:r>
          </w:p>
        </w:tc>
        <w:tc>
          <w:tcPr>
            <w:tcMar>
              <w:top w:type="dxa" w:w="60"/>
              <w:left w:type="dxa" w:w="100"/>
              <w:bottom w:type="dxa" w:w="60"/>
              <w:right w:type="dxa" w:w="100"/>
            </w:tcMar>
          </w:tcPr>
          <w:p>
            <w:pPr>
              <w:spacing w:after="0"/>
            </w:pPr>
            <w:r>
              <w:t xml:space="preserve">Revenue</w:t>
            </w:r>
          </w:p>
        </w:tc>
        <w:tc>
          <w:tcPr>
            <w:tcMar>
              <w:top w:type="dxa" w:w="60"/>
              <w:left w:type="dxa" w:w="100"/>
              <w:bottom w:type="dxa" w:w="60"/>
              <w:right w:type="dxa" w:w="100"/>
            </w:tcMar>
          </w:tcPr>
          <w:p>
            <w:pPr>
              <w:spacing w:after="0"/>
            </w:pPr>
            <w:r>
              <w:t xml:space="preserve">/</w:t>
            </w:r>
          </w:p>
        </w:tc>
        <w:tc>
          <w:tcPr>
            <w:tcMar>
              <w:top w:type="dxa" w:w="60"/>
              <w:left w:type="dxa" w:w="100"/>
              <w:bottom w:type="dxa" w:w="60"/>
              <w:right w:type="dxa" w:w="100"/>
            </w:tcMar>
          </w:tcPr>
          <w:p>
            <w:pPr>
              <w:spacing w:after="0"/>
            </w:pPr>
            <w:r>
              <w:t xml:space="preserve">L2</w:t>
            </w:r>
          </w:p>
        </w:tc>
      </w:tr>
    </w:tbl>
    <w:p>
      <w:pPr>
        <w:spacing w:after="160"/>
      </w:pPr>
    </w:p>
    <w:p>
      <w:pPr>
        <w:spacing w:after="140"/>
        <w:ind w:left="360"/>
      </w:pPr>
      <w:r>
        <w:t xml:space="preserve">With it on, wherever that line appears, at whatever scope, it is worked out again from the lines in that scope — the KPI tile, the drill-down, each Business performance cell, each Financial Summary row — and </w:t>
      </w:r>
      <w:r>
        <w:rPr>
          <w:b/>
          <w:bCs/>
        </w:rPr>
        <w:t xml:space="preserve">every basis with it</w:t>
      </w:r>
      <w:r>
        <w:t xml:space="preserve">: the prior year ratio is PY cost over PY revenue, the target ratio is target over target, and the monthly path is a ratio month by month rather than a running sum. Three details the pack does not have to state: a file carrying costs as negatives still prints a positive ratio (opposite-signed sides are taken on their magnitudes); direction follows the numerator, so a rising CER rates unfavourable while a rising ROTE does not; and a line the extract calls </w:t>
      </w:r>
      <w:r>
        <w:rPr>
          <w:rFonts w:ascii="Consolas" w:cs="Consolas" w:eastAsia="Consolas" w:hAnsi="Consolas"/>
          <w:shd w:fill="F2F1ED" w:val="clear"/>
        </w:rPr>
        <w:t xml:space="preserve">CER%</w:t>
      </w:r>
      <w:r>
        <w:t xml:space="preserve"> resolves to a definition written as </w:t>
      </w:r>
      <w:r>
        <w:rPr>
          <w:rFonts w:ascii="Consolas" w:cs="Consolas" w:eastAsia="Consolas" w:hAnsi="Consolas"/>
          <w:shd w:fill="F2F1ED" w:val="clear"/>
        </w:rPr>
        <w:t xml:space="preserve">CER</w:t>
      </w:r>
      <w:r>
        <w:t xml:space="preserve"> — punctuation and a trailing per-cent sign are not a different metric, and the </w:t>
      </w:r>
      <w:r>
        <w:rPr>
          <w:rFonts w:ascii="Consolas" w:cs="Consolas" w:eastAsia="Consolas" w:hAnsi="Consolas"/>
          <w:shd w:fill="F2F1ED" w:val="clear"/>
        </w:rPr>
        <w:t xml:space="preserve">Match</w:t>
      </w:r>
      <w:r>
        <w:t xml:space="preserve"> column names the rest.</w:t>
      </w:r>
    </w:p>
    <w:p>
      <w:pPr>
        <w:spacing w:after="140"/>
        <w:ind w:left="360"/>
      </w:pPr>
      <w:r>
        <w:t xml:space="preserve">Where the file </w:t>
      </w:r>
      <w:r>
        <w:rPr>
          <w:i/>
          <w:iCs/>
        </w:rPr>
        <w:t xml:space="preserve">also</w:t>
      </w:r>
      <w:r>
        <w:t xml:space="preserve"> reports the line, the reconciliation says so, so the two can be compared rather than one quietly winning — on the sample extract the reported CER% reads 0.52 against 0.5096 rebuilt from its own cost and revenue lines. </w:t>
      </w:r>
      <w:r>
        <w:rPr>
          <w:rFonts w:ascii="Consolas" w:cs="Consolas" w:eastAsia="Consolas" w:hAnsi="Consolas"/>
          <w:shd w:fill="F2F1ED" w:val="clear"/>
        </w:rPr>
        <w:t xml:space="preserve">ratio_display</w:t>
      </w:r>
      <w:r>
        <w:t xml:space="preserve"> (</w:t>
      </w:r>
      <w:r>
        <w:rPr>
          <w:rFonts w:ascii="Consolas" w:cs="Consolas" w:eastAsia="Consolas" w:hAnsi="Consolas"/>
          <w:shd w:fill="F2F1ED" w:val="clear"/>
        </w:rPr>
        <w:t xml:space="preserve">as reported</w:t>
      </w:r>
      <w:r>
        <w:t xml:space="preserve"> by default, or </w:t>
      </w:r>
      <w:r>
        <w:rPr>
          <w:rFonts w:ascii="Consolas" w:cs="Consolas" w:eastAsia="Consolas" w:hAnsi="Consolas"/>
          <w:shd w:fill="F2F1ED" w:val="clear"/>
        </w:rPr>
        <w:t xml:space="preserve">percent</w:t>
      </w:r>
      <w:r>
        <w:t xml:space="preserve">) decides whether </w:t>
      </w:r>
      <w:r>
        <w:rPr>
          <w:rFonts w:ascii="Consolas" w:cs="Consolas" w:eastAsia="Consolas" w:hAnsi="Consolas"/>
          <w:shd w:fill="F2F1ED" w:val="clear"/>
        </w:rPr>
        <w:t xml:space="preserve">0.51</w:t>
      </w:r>
      <w:r>
        <w:t xml:space="preserve"> prints as </w:t>
      </w:r>
      <w:r>
        <w:rPr>
          <w:rFonts w:ascii="Consolas" w:cs="Consolas" w:eastAsia="Consolas" w:hAnsi="Consolas"/>
          <w:shd w:fill="F2F1ED" w:val="clear"/>
        </w:rPr>
        <w:t xml:space="preserve">0.51</w:t>
      </w:r>
      <w:r>
        <w:t xml:space="preserve"> or </w:t>
      </w:r>
      <w:r>
        <w:rPr>
          <w:rFonts w:ascii="Consolas" w:cs="Consolas" w:eastAsia="Consolas" w:hAnsi="Consolas"/>
          <w:shd w:fill="F2F1ED" w:val="clear"/>
        </w:rPr>
        <w:t xml:space="preserve">51.0%</w:t>
      </w:r>
      <w:r>
        <w:t xml:space="preserve">, whichever mode is in force. With </w:t>
      </w:r>
      <w:r>
        <w:rPr>
          <w:rFonts w:ascii="Consolas" w:cs="Consolas" w:eastAsia="Consolas" w:hAnsi="Consolas"/>
          <w:shd w:fill="F2F1ED" w:val="clear"/>
        </w:rPr>
        <w:t xml:space="preserve">ratio_recompute</w:t>
      </w:r>
      <w:r>
        <w:t xml:space="preserve"> off — the shipped setting — none of this runs: the ratio is the file's figure, and it is still never summed.</w:t>
      </w:r>
    </w:p>
    <w:p>
      <w:pPr>
        <w:spacing w:after="140"/>
        <w:ind w:left="360"/>
      </w:pPr>
      <w:r>
        <w:rPr>
          <w:b/>
          <w:bCs/>
        </w:rPr>
        <w:t xml:space="preserve">A metric reported at Group is read at Group.</w:t>
      </w:r>
      <w:r>
        <w:t xml:space="preserve"> Where the extract carries a line at </w:t>
      </w:r>
      <w:r>
        <w:rPr>
          <w:rFonts w:ascii="Consolas" w:cs="Consolas" w:eastAsia="Consolas" w:hAnsi="Consolas"/>
          <w:shd w:fill="F2F1ED" w:val="clear"/>
        </w:rPr>
        <w:t xml:space="preserve">Global</w:t>
      </w:r>
      <w:r>
        <w:t xml:space="preserve"> or </w:t>
      </w:r>
      <w:r>
        <w:rPr>
          <w:rFonts w:ascii="Consolas" w:cs="Consolas" w:eastAsia="Consolas" w:hAnsi="Consolas"/>
          <w:shd w:fill="F2F1ED" w:val="clear"/>
        </w:rPr>
        <w:t xml:space="preserve">Group</w:t>
      </w:r>
      <w:r>
        <w:t xml:space="preserve"> </w:t>
      </w:r>
      <w:r>
        <w:rPr>
          <w:b/>
          <w:bCs/>
        </w:rPr>
        <w:t xml:space="preserve">as well as</w:t>
      </w:r>
      <w:r>
        <w:t xml:space="preserve"> by country — the shape a reporting pack uses when a metric is owned centrally — adding both counts it twice. Which row to read follows from what is being asked: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The view</w:t>
            </w:r>
          </w:p>
        </w:tc>
        <w:tc>
          <w:tcPr>
            <w:shd w:fill="F7E9EA" w:val="clear"/>
            <w:tcMar>
              <w:top w:type="dxa" w:w="60"/>
              <w:left w:type="dxa" w:w="100"/>
              <w:bottom w:type="dxa" w:w="60"/>
              <w:right w:type="dxa" w:w="100"/>
            </w:tcMar>
          </w:tcPr>
          <w:p>
            <w:r>
              <w:rPr>
                <w:b/>
                <w:bCs/>
                <w:color w:val="DB0011"/>
              </w:rPr>
              <w:t xml:space="preserve">Reads</w:t>
            </w:r>
          </w:p>
        </w:tc>
      </w:tr>
      <w:tr>
        <w:tc>
          <w:tcPr>
            <w:tcMar>
              <w:top w:type="dxa" w:w="60"/>
              <w:left w:type="dxa" w:w="100"/>
              <w:bottom w:type="dxa" w:w="60"/>
              <w:right w:type="dxa" w:w="100"/>
            </w:tcMar>
          </w:tcPr>
          <w:p>
            <w:pPr>
              <w:spacing w:after="0"/>
            </w:pPr>
            <w:r>
              <w:t xml:space="preserve">the group view (nothing scoped)</w:t>
            </w:r>
          </w:p>
        </w:tc>
        <w:tc>
          <w:tcPr>
            <w:tcMar>
              <w:top w:type="dxa" w:w="60"/>
              <w:left w:type="dxa" w:w="100"/>
              <w:bottom w:type="dxa" w:w="60"/>
              <w:right w:type="dxa" w:w="100"/>
            </w:tcMar>
          </w:tcPr>
          <w:p>
            <w:pPr>
              <w:spacing w:after="0"/>
            </w:pPr>
            <w:r>
              <w:t xml:space="preserve">the </w:t>
            </w:r>
            <w:r>
              <w:rPr>
                <w:b/>
                <w:bCs/>
              </w:rPr>
              <w:t xml:space="preserve">reported Global / Group row</w:t>
            </w:r>
            <w:r>
              <w:t xml:space="preserve">; the country rows are set aside</w:t>
            </w:r>
          </w:p>
        </w:tc>
      </w:tr>
      <w:tr>
        <w:tc>
          <w:tcPr>
            <w:tcMar>
              <w:top w:type="dxa" w:w="60"/>
              <w:left w:type="dxa" w:w="100"/>
              <w:bottom w:type="dxa" w:w="60"/>
              <w:right w:type="dxa" w:w="100"/>
            </w:tcMar>
          </w:tcPr>
          <w:p>
            <w:pPr>
              <w:spacing w:after="0"/>
            </w:pPr>
            <w:r>
              <w:t xml:space="preserve">a breakdown by geography (a chart or table by country)</w:t>
            </w:r>
          </w:p>
        </w:tc>
        <w:tc>
          <w:tcPr>
            <w:tcMar>
              <w:top w:type="dxa" w:w="60"/>
              <w:left w:type="dxa" w:w="100"/>
              <w:bottom w:type="dxa" w:w="60"/>
              <w:right w:type="dxa" w:w="100"/>
            </w:tcMar>
          </w:tcPr>
          <w:p>
            <w:pPr>
              <w:spacing w:after="0"/>
            </w:pPr>
            <w:r>
              <w:t xml:space="preserve">the </w:t>
            </w:r>
            <w:r>
              <w:rPr>
                <w:b/>
                <w:bCs/>
              </w:rPr>
              <w:t xml:space="preserve">country rows</w:t>
            </w:r>
            <w:r>
              <w:t xml:space="preserve">; the group row is set aside, so it never stands beside them as a phantom country</w:t>
            </w:r>
          </w:p>
        </w:tc>
      </w:tr>
      <w:tr>
        <w:tc>
          <w:tcPr>
            <w:tcMar>
              <w:top w:type="dxa" w:w="60"/>
              <w:left w:type="dxa" w:w="100"/>
              <w:bottom w:type="dxa" w:w="60"/>
              <w:right w:type="dxa" w:w="100"/>
            </w:tcMar>
          </w:tcPr>
          <w:p>
            <w:pPr>
              <w:spacing w:after="0"/>
            </w:pPr>
            <w:r>
              <w:t xml:space="preserve">scoped to a country or region</w:t>
            </w:r>
          </w:p>
        </w:tc>
        <w:tc>
          <w:tcPr>
            <w:tcMar>
              <w:top w:type="dxa" w:w="60"/>
              <w:left w:type="dxa" w:w="100"/>
              <w:bottom w:type="dxa" w:w="60"/>
              <w:right w:type="dxa" w:w="100"/>
            </w:tcMar>
          </w:tcPr>
          <w:p>
            <w:pPr>
              <w:spacing w:after="0"/>
            </w:pPr>
            <w:r>
              <w:t xml:space="preserve">that scope's own rows</w:t>
            </w:r>
          </w:p>
        </w:tc>
      </w:tr>
    </w:tbl>
    <w:p>
      <w:pPr>
        <w:spacing w:after="160"/>
      </w:pPr>
    </w:p>
    <w:p>
      <w:pPr>
        <w:spacing w:after="140"/>
        <w:ind w:left="360"/>
      </w:pPr>
      <w:r>
        <w:rPr>
          <w:b/>
          <w:bCs/>
        </w:rPr>
        <w:t xml:space="preserve">A reported row always wins; otherwise the `Roll up` column decides.</w:t>
      </w:r>
      <w:r>
        <w:t xml:space="preserve"> A line the sheet declares </w:t>
      </w:r>
      <w:r>
        <w:rPr>
          <w:rFonts w:ascii="Consolas" w:cs="Consolas" w:eastAsia="Consolas" w:hAnsi="Consolas"/>
          <w:shd w:fill="F2F1ED" w:val="clear"/>
        </w:rPr>
        <w:t xml:space="preserve">Sum</w:t>
      </w:r>
      <w:r>
        <w:t xml:space="preserve"> is built up from the countries at Group — that is what rolling up means. A line declared </w:t>
      </w:r>
      <w:r>
        <w:rPr>
          <w:rFonts w:ascii="Consolas" w:cs="Consolas" w:eastAsia="Consolas" w:hAnsi="Consolas"/>
          <w:shd w:fill="F2F1ED" w:val="clear"/>
        </w:rPr>
        <w:t xml:space="preserve">As reported</w:t>
      </w:r>
      <w:r>
        <w:t xml:space="preserve"> or </w:t>
      </w:r>
      <w:r>
        <w:rPr>
          <w:rFonts w:ascii="Consolas" w:cs="Consolas" w:eastAsia="Consolas" w:hAnsi="Consolas"/>
          <w:shd w:fill="F2F1ED" w:val="clear"/>
        </w:rPr>
        <w:t xml:space="preserve">Never</w:t>
      </w:r>
      <w:r>
        <w:t xml:space="preserve"> is not: it has a figure at a level only where the file reports one there, and where it does not, the tile shows a dash and says </w:t>
      </w:r>
      <w:r>
        <w:rPr>
          <w:i/>
          <w:iCs/>
        </w:rPr>
        <w:t xml:space="preserve">"reported below this level only — never carried up"</w:t>
      </w:r>
      <w:r>
        <w:t xml:space="preserve"> rather than inventing one from the parts. This is how a metric calculated somewhere else behaves — </w:t>
      </w:r>
      <w:r>
        <w:rPr>
          <w:b/>
          <w:bCs/>
        </w:rPr>
        <w:t xml:space="preserve">CER and ROTE</w:t>
      </w:r>
      <w:r>
        <w:t xml:space="preserve"> come from their own source and arrive as their own rows, so where such a row exists it is the figure and where it does not there is none.</w:t>
      </w:r>
    </w:p>
    <w:p>
      <w:pPr>
        <w:spacing w:after="140"/>
        <w:ind w:left="360"/>
      </w:pPr>
      <w:r>
        <w:t xml:space="preserve">Its rows still belong to their parent: a fee line taken as reported is still inside Revenue when Revenue rolls up, so casting is unaffected. And coverage is </w:t>
      </w:r>
      <w:r>
        <w:rPr>
          <w:b/>
          <w:bCs/>
        </w:rPr>
        <w:t xml:space="preserve">per line, not per file</w:t>
      </w:r>
      <w:r>
        <w:t xml:space="preserve"> — a Group tab carrying only CER and a fee metric speaks for the Group on those two lines and leaves everything else to roll up from the countries exactly as before. </w:t>
      </w:r>
      <w:r>
        <w:rPr>
          <w:rFonts w:ascii="Consolas" w:cs="Consolas" w:eastAsia="Consolas" w:hAnsi="Consolas"/>
          <w:shd w:fill="F2F1ED" w:val="clear"/>
        </w:rPr>
        <w:t xml:space="preserve">grain_declared: N</w:t>
      </w:r>
      <w:r>
        <w:t xml:space="preserve"> switches the declaration side off.</w:t>
      </w:r>
    </w:p>
    <w:p>
      <w:pPr>
        <w:spacing w:after="140"/>
        <w:ind w:left="360"/>
      </w:pPr>
      <w:r>
        <w:t xml:space="preserve">The two are never added together and nothing is ever apportioned downwards.</w:t>
      </w:r>
    </w:p>
    <w:p>
      <w:pPr>
        <w:spacing w:after="140"/>
        <w:ind w:left="360"/>
      </w:pPr>
      <w:r>
        <w:rPr>
          <w:b/>
          <w:bCs/>
        </w:rPr>
        <w:t xml:space="preserve">The unit follows the grain</w:t>
      </w:r>
      <w:r>
        <w:t xml:space="preserve">, on the same </w:t>
      </w:r>
      <w:r>
        <w:rPr>
          <w:rFonts w:ascii="Consolas" w:cs="Consolas" w:eastAsia="Consolas" w:hAnsi="Consolas"/>
          <w:shd w:fill="F2F1ED" w:val="clear"/>
        </w:rPr>
        <w:t xml:space="preserve">mn</w:t>
      </w:r>
      <w:r>
        <w:t xml:space="preserve"> / </w:t>
      </w:r>
      <w:r>
        <w:rPr>
          <w:rFonts w:ascii="Consolas" w:cs="Consolas" w:eastAsia="Consolas" w:hAnsi="Consolas"/>
          <w:shd w:fill="F2F1ED" w:val="clear"/>
        </w:rPr>
        <w:t xml:space="preserve">bn</w:t>
      </w:r>
      <w:r>
        <w:t xml:space="preserve"> / </w:t>
      </w:r>
      <w:r>
        <w:rPr>
          <w:rFonts w:ascii="Consolas" w:cs="Consolas" w:eastAsia="Consolas" w:hAnsi="Consolas"/>
          <w:shd w:fill="F2F1ED" w:val="clear"/>
        </w:rPr>
        <w:t xml:space="preserve">Absolute</w:t>
      </w:r>
      <w:r>
        <w:t xml:space="preserve"> logic as everywhere else. A pack may report a line in </w:t>
      </w:r>
      <w:r>
        <w:rPr>
          <w:rFonts w:ascii="Consolas" w:cs="Consolas" w:eastAsia="Consolas" w:hAnsi="Consolas"/>
          <w:shd w:fill="F2F1ED" w:val="clear"/>
        </w:rPr>
        <w:t xml:space="preserve">$Bn</w:t>
      </w:r>
      <w:r>
        <w:t xml:space="preserve"> at Group and </w:t>
      </w:r>
      <w:r>
        <w:rPr>
          <w:rFonts w:ascii="Consolas" w:cs="Consolas" w:eastAsia="Consolas" w:hAnsi="Consolas"/>
          <w:shd w:fill="F2F1ED" w:val="clear"/>
        </w:rPr>
        <w:t xml:space="preserve">$mn</w:t>
      </w:r>
      <w:r>
        <w:t xml:space="preserve"> by country — that is two statements, each true of its own rows, not a disagreement — so each view is stated in the unit of the rows it reads and neither is labelled with the other's. The group view of such a line reads </w:t>
      </w:r>
      <w:r>
        <w:rPr>
          <w:rFonts w:ascii="Consolas" w:cs="Consolas" w:eastAsia="Consolas" w:hAnsi="Consolas"/>
          <w:shd w:fill="F2F1ED" w:val="clear"/>
        </w:rPr>
        <w:t xml:space="preserve">US$bn 3.6</w:t>
      </w:r>
      <w:r>
        <w:t xml:space="preserve"> where Singapore reads </w:t>
      </w:r>
      <w:r>
        <w:rPr>
          <w:rFonts w:ascii="Consolas" w:cs="Consolas" w:eastAsia="Consolas" w:hAnsi="Consolas"/>
          <w:shd w:fill="F2F1ED" w:val="clear"/>
        </w:rPr>
        <w:t xml:space="preserve">US$m 1,401</w:t>
      </w:r>
      <w:r>
        <w:t xml:space="preserve">.</w:t>
      </w:r>
    </w:p>
    <w:p>
      <w:pPr>
        <w:spacing w:after="140"/>
        <w:ind w:left="360"/>
      </w:pPr>
      <w:r>
        <w:t xml:space="preserve">Two units under one name at the </w:t>
      </w:r>
      <w:r>
        <w:rPr>
          <w:b/>
          <w:bCs/>
        </w:rPr>
        <w:t xml:space="preserve">same</w:t>
      </w:r>
      <w:r>
        <w:t xml:space="preserve"> grain is a genuine disagreement, and there neither is taken. The ingest report names the lines this affects and says which row each view takes; </w:t>
      </w:r>
      <w:r>
        <w:rPr>
          <w:rFonts w:ascii="Consolas" w:cs="Consolas" w:eastAsia="Consolas" w:hAnsi="Consolas"/>
          <w:shd w:fill="F2F1ED" w:val="clear"/>
        </w:rPr>
        <w:t xml:space="preserve">grain_reported: N</w:t>
      </w:r>
      <w:r>
        <w:t xml:space="preserve"> switches it off, and then both grains sit in scope together exactly as they did before. This is the acting-on of what the roll-up reconciliation's grain section reports, and it is separate from </w:t>
      </w:r>
      <w:r>
        <w:rPr>
          <w:rFonts w:ascii="Consolas" w:cs="Consolas" w:eastAsia="Consolas" w:hAnsi="Consolas"/>
          <w:shd w:fill="F2F1ED" w:val="clear"/>
        </w:rPr>
        <w:t xml:space="preserve">group_consolidation</w:t>
      </w:r>
      <w:r>
        <w:t xml:space="preserve">, which handles a Group </w:t>
      </w:r>
      <w:r>
        <w:rPr>
          <w:b/>
          <w:bCs/>
        </w:rPr>
        <w:t xml:space="preserve">tab</w:t>
      </w:r>
      <w:r>
        <w:t xml:space="preserve"> rather than a group row inside a tab.</w:t>
      </w:r>
    </w:p>
    <w:p>
      <w:pPr>
        <w:spacing w:after="140"/>
        <w:ind w:left="360"/>
      </w:pPr>
      <w:r>
        <w:rPr>
          <w:b/>
          <w:bCs/>
        </w:rPr>
        <w:t xml:space="preserve">Nothing is totalled across kinds.</w:t>
      </w:r>
      <w:r>
        <w:t xml:space="preserve"> Money, a count and a ratio share a column in the extract and mean three different things, so a scope carrying more than one kind draws no total — on the tiles, in the drill-down, in the Financial Summary and in every export — and the page names the kinds it found. A parent line over mixed kinds shows no figure at all, </w:t>
      </w:r>
      <w:r>
        <w:rPr>
          <w:b/>
          <w:bCs/>
        </w:rPr>
        <w:t xml:space="preserve">including the percentages worked out from it</w:t>
      </w:r>
      <w:r>
        <w:t xml:space="preserve">, which would be the same false sum wearing a percent sign.</w:t>
      </w:r>
    </w:p>
    <w:p>
      <w:pPr>
        <w:spacing w:after="140"/>
        <w:ind w:left="360"/>
      </w:pPr>
      <w:r>
        <w:t xml:space="preserve">Two more that look additive and are not: counts of different things (staff and customers), and a ratio over more than one row — an average of ratios is not the ratio of the whole. Scales are different: money in millions and money in billions are one kind, held in the file's own unit and divided only when printed, so they still add.</w:t>
      </w:r>
    </w:p>
    <w:p>
      <w:pPr>
        <w:spacing w:after="140"/>
        <w:ind w:left="360"/>
      </w:pPr>
      <w:r>
        <w:t xml:space="preserve">Two things the sheet cannot vote away. A ratio is never additive, whatever it is declared as. And </w:t>
      </w:r>
      <w:r>
        <w:rPr>
          <w:b/>
          <w:bCs/>
        </w:rPr>
        <w:t xml:space="preserve">a sum is taken on the file's own actuals YTD column for the month in hand</w:t>
      </w:r>
      <w:r>
        <w:t xml:space="preserve"> — Jun YTD, May YTD — never by adding months together; where a month has no YTD column in the file the report says the figure was built from months, so the reader knows. Balances are read at one closing month and never accumulated across months, and a parent is footed against children of its own statement only: a balance is never added into a P&amp;L, whatever any sheet says.</w:t>
      </w:r>
    </w:p>
    <w:p>
      <w:pPr>
        <w:spacing w:after="140"/>
        <w:ind w:left="360"/>
      </w:pPr>
      <w:r>
        <w:rPr>
          <w:b/>
          <w:bCs/>
        </w:rPr>
        <w:t xml:space="preserve">This phase reports, it does not yet drive the figures.</w:t>
      </w:r>
      <w:r>
        <w:t xml:space="preserve"> Loading a file adds a </w:t>
      </w:r>
      <w:r>
        <w:rPr>
          <w:b/>
          <w:bCs/>
        </w:rPr>
        <w:t xml:space="preserve">Roll-up</w:t>
      </w:r>
      <w:r>
        <w:t xml:space="preserve"> row to the ingest report with a </w:t>
      </w:r>
      <w:r>
        <w:rPr>
          <w:b/>
          <w:bCs/>
        </w:rPr>
        <w:t xml:space="preserve">⤓ Roll-up reconciliation (Excel)</w:t>
      </w:r>
      <w:r>
        <w:t xml:space="preserve"> download, so the declarations can be proved against a real extract before anything on a page consults them. The workbook carries, in order: the YTD column against the months behind it (where they differ, the column is authoritative and the gap is sized); lines the file carries at more than one grain, with both totals, flagging any that have no </w:t>
      </w:r>
      <w:r>
        <w:rPr>
          <w:rFonts w:ascii="Consolas" w:cs="Consolas" w:eastAsia="Consolas" w:hAnsi="Consolas"/>
          <w:shd w:fill="F2F1ED" w:val="clear"/>
        </w:rPr>
        <w:t xml:space="preserve">Grain</w:t>
      </w:r>
      <w:r>
        <w:t xml:space="preserve"> declared — adding the finer rows there would double count the coarser one; mapping completeness, parent against children, month by month; parents whose children span both statements; declarations that match nothing in this file (a typo, not a policy); notes on calculated metrics, including a component the file does not carry, which contributes zero rather than a gap; the unit each line is declared in with what it divides by, so a declaration that restates a figure is distinguishable from one that only names it; and the grain declarations themselves.</w:t>
      </w:r>
    </w:p>
    <w:p>
      <w:pPr>
        <w:spacing w:after="140"/>
        <w:ind w:left="360"/>
      </w:pPr>
      <w:r>
        <w:rPr>
          <w:rFonts w:ascii="Consolas" w:cs="Consolas" w:eastAsia="Consolas" w:hAnsi="Consolas"/>
          <w:shd w:fill="F2F1ED" w:val="clear"/>
        </w:rPr>
        <w:t xml:space="preserve">rollup_tolerance</w:t>
      </w:r>
      <w:r>
        <w:t xml:space="preserve"> (default </w:t>
      </w:r>
      <w:r>
        <w:rPr>
          <w:rFonts w:ascii="Consolas" w:cs="Consolas" w:eastAsia="Consolas" w:hAnsi="Consolas"/>
          <w:shd w:fill="F2F1ED" w:val="clear"/>
        </w:rPr>
        <w:t xml:space="preserve">0.5</w:t>
      </w:r>
      <w:r>
        <w:t xml:space="preserve">, in the file's own units) sets how close a footing must be to count as tied. With no </w:t>
      </w:r>
      <w:r>
        <w:rPr>
          <w:rFonts w:ascii="Consolas" w:cs="Consolas" w:eastAsia="Consolas" w:hAnsi="Consolas"/>
          <w:shd w:fill="F2F1ED" w:val="clear"/>
        </w:rPr>
        <w:t xml:space="preserve">Rollup</w:t>
      </w:r>
      <w:r>
        <w:t xml:space="preserve"> sheet the report says so and every line aggregates exactly as it always has.</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spacing w:after="140"/>
      </w:pPr>
      <w:r>
        <w:rPr>
          <w:rFonts w:ascii="Consolas" w:cs="Consolas" w:eastAsia="Consolas" w:hAnsi="Consolas"/>
          <w:shd w:fill="F2F1ED" w:val="clear"/>
        </w:rPr>
        <w:t xml:space="preserve">sample/IWPB_GrainUnits_Driller.xlsx</w:t>
      </w:r>
      <w:r>
        <w:t xml:space="preserve"> is the grain-mix extract with a </w:t>
      </w:r>
      <w:r>
        <w:rPr>
          <w:rFonts w:ascii="Consolas" w:cs="Consolas" w:eastAsia="Consolas" w:hAnsi="Consolas"/>
          <w:shd w:fill="F2F1ED" w:val="clear"/>
        </w:rPr>
        <w:t xml:space="preserve">Unit</w:t>
      </w:r>
      <w:r>
        <w:t xml:space="preserve"> column that reports the Global rows in </w:t>
      </w:r>
      <w:r>
        <w:rPr>
          <w:rFonts w:ascii="Consolas" w:cs="Consolas" w:eastAsia="Consolas" w:hAnsi="Consolas"/>
          <w:shd w:fill="F2F1ED" w:val="clear"/>
        </w:rPr>
        <w:t xml:space="preserve">$Bn</w:t>
      </w:r>
      <w:r>
        <w:t xml:space="preserve"> and the country rows in </w:t>
      </w:r>
      <w:r>
        <w:rPr>
          <w:rFonts w:ascii="Consolas" w:cs="Consolas" w:eastAsia="Consolas" w:hAnsi="Consolas"/>
          <w:shd w:fill="F2F1ED" w:val="clear"/>
        </w:rPr>
        <w:t xml:space="preserve">$mn</w:t>
      </w:r>
      <w:r>
        <w:t xml:space="preserve"> — load it to see the same line read </w:t>
      </w:r>
      <w:r>
        <w:rPr>
          <w:rFonts w:ascii="Consolas" w:cs="Consolas" w:eastAsia="Consolas" w:hAnsi="Consolas"/>
          <w:shd w:fill="F2F1ED" w:val="clear"/>
        </w:rPr>
        <w:t xml:space="preserve">US$bn 3.6</w:t>
      </w:r>
      <w:r>
        <w:t xml:space="preserve"> at Group and </w:t>
      </w:r>
      <w:r>
        <w:rPr>
          <w:rFonts w:ascii="Consolas" w:cs="Consolas" w:eastAsia="Consolas" w:hAnsi="Consolas"/>
          <w:shd w:fill="F2F1ED" w:val="clear"/>
        </w:rPr>
        <w:t xml:space="preserve">US$m 1,401</w:t>
      </w:r>
      <w:r>
        <w:t xml:space="preserve"> for Singapore.</w:t>
      </w:r>
    </w:p>
    <w:p>
      <w:pPr>
        <w:spacing w:after="140"/>
      </w:pPr>
      <w:r>
        <w:rPr>
          <w:rFonts w:ascii="Consolas" w:cs="Consolas" w:eastAsia="Consolas" w:hAnsi="Consolas"/>
          <w:shd w:fill="F2F1ED" w:val="clear"/>
        </w:rPr>
        <w:t xml:space="preserve">sample/IWPB_CER_ThreeCountries.xlsx</w:t>
      </w:r>
      <w:r>
        <w:t xml:space="preserve"> is the same extract split across Singapore, Malaysia and Vietnam, each reporting its own CER%. Load it to see a ratio refuse to roll up: the three read 0.4526, 0.5470 and 0.5583, and the Group tile shows no figure at all rather than the 1.5579 they would sum to.</w:t>
      </w:r>
    </w:p>
    <w:p>
      <w:pPr>
        <w:spacing w:after="140"/>
      </w:pPr>
      <w:r>
        <w:rPr>
          <w:rFonts w:ascii="Consolas" w:cs="Consolas" w:eastAsia="Consolas" w:hAnsi="Consolas"/>
          <w:shd w:fill="F2F1ED" w:val="clear"/>
        </w:rPr>
        <w:t xml:space="preserve">sample/IWPB_UnitColumn_Driller.xlsx</w:t>
      </w:r>
      <w:r>
        <w:t xml:space="preserve"> is a reporting extract that states each line's unit in a </w:t>
      </w:r>
      <w:r>
        <w:rPr>
          <w:rFonts w:ascii="Consolas" w:cs="Consolas" w:eastAsia="Consolas" w:hAnsi="Consolas"/>
          <w:shd w:fill="F2F1ED" w:val="clear"/>
        </w:rPr>
        <w:t xml:space="preserve">Unit</w:t>
      </w:r>
      <w:r>
        <w:t xml:space="preserve"> column —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$Bn</w:t>
      </w:r>
      <w:r>
        <w:t xml:space="preserve">, </w:t>
      </w:r>
      <w:r>
        <w:rPr>
          <w:rFonts w:ascii="Consolas" w:cs="Consolas" w:eastAsia="Consolas" w:hAnsi="Consolas"/>
          <w:shd w:fill="F2F1ED" w:val="clear"/>
        </w:rPr>
        <w:t xml:space="preserve">mn</w:t>
      </w:r>
      <w:r>
        <w:t xml:space="preserve">, </w:t>
      </w:r>
      <w:r>
        <w:rPr>
          <w:rFonts w:ascii="Consolas" w:cs="Consolas" w:eastAsia="Consolas" w:hAnsi="Consolas"/>
          <w:shd w:fill="F2F1ED" w:val="clear"/>
        </w:rPr>
        <w:t xml:space="preserve">Absolute</w:t>
      </w:r>
      <w:r>
        <w:t xml:space="preserve">, </w:t>
      </w:r>
      <w:r>
        <w:rPr>
          <w:rFonts w:ascii="Consolas" w:cs="Consolas" w:eastAsia="Consolas" w:hAnsi="Consolas"/>
          <w:shd w:fill="F2F1ED" w:val="clear"/>
        </w:rPr>
        <w:t xml:space="preserve">%</w:t>
      </w:r>
      <w:r>
        <w:t xml:space="preserve"> — with a </w:t>
      </w:r>
      <w:r>
        <w:rPr>
          <w:rFonts w:ascii="Consolas" w:cs="Consolas" w:eastAsia="Consolas" w:hAnsi="Consolas"/>
          <w:shd w:fill="F2F1ED" w:val="clear"/>
        </w:rPr>
        <w:t xml:space="preserve">Key Metrics</w:t>
      </w:r>
      <w:r>
        <w:t xml:space="preserve"> block that mixes all of them, and one deliberate typo (</w:t>
      </w:r>
      <w:r>
        <w:rPr>
          <w:rFonts w:ascii="Consolas" w:cs="Consolas" w:eastAsia="Consolas" w:hAnsi="Consolas"/>
          <w:shd w:fill="F2F1ED" w:val="clear"/>
        </w:rPr>
        <w:t xml:space="preserve">$mb</w:t>
      </w:r>
      <w:r>
        <w:t xml:space="preserve">). Load it to see each line printed in its own unit, the typo named in the ingest report, and the mixed parent refusing to draw a total.</w:t>
      </w:r>
    </w:p>
    <w:p>
      <w:pPr>
        <w:spacing w:after="140"/>
      </w:pPr>
      <w:r>
        <w:rPr>
          <w:rFonts w:ascii="Consolas" w:cs="Consolas" w:eastAsia="Consolas" w:hAnsi="Consolas"/>
          <w:shd w:fill="F2F1ED" w:val="clear"/>
        </w:rPr>
        <w:t xml:space="preserve">sample/IWPB_GrainMix_Driller.xlsx</w:t>
      </w:r>
      <w:r>
        <w:t xml:space="preserve"> is the extract to load when checking the </w:t>
      </w:r>
      <w:r>
        <w:rPr>
          <w:b/>
          <w:bCs/>
        </w:rPr>
        <w:t xml:space="preserve">Rollup</w:t>
      </w:r>
      <w:r>
        <w:t xml:space="preserve"> declarations: it carries a </w:t>
      </w:r>
      <w:r>
        <w:rPr>
          <w:rFonts w:ascii="Consolas" w:cs="Consolas" w:eastAsia="Consolas" w:hAnsi="Consolas"/>
          <w:shd w:fill="F2F1ED" w:val="clear"/>
        </w:rPr>
        <w:t xml:space="preserve">Global</w:t>
      </w:r>
      <w:r>
        <w:t xml:space="preserve"> tab reporting the same MICA lines as its three country tabs, so the roll-up reconciliation flags every line that sits at two grains — and shows both totals, so the size of the double count that adding the finer rows would cause is on the page.</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2026-08-17T21:10:50.179Z</dcterms:created>
  <dcterms:modified xsi:type="dcterms:W3CDTF">2026-08-17T21:10:50.179Z</dcterms:modified>
</cp:coreProperties>
</file>

<file path=docProps/custom.xml><?xml version="1.0" encoding="utf-8"?>
<Properties xmlns="http://schemas.openxmlformats.org/officeDocument/2006/custom-properties" xmlns:vt="http://schemas.openxmlformats.org/officeDocument/2006/docPropsVTypes"/>
</file>