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driller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driller file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driller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driller can carry </w:t>
      </w:r>
      <w:r>
        <w:rPr>
          <w:b/>
          <w:bCs/>
        </w:rPr>
        <w:t xml:space="preserve">one country per tab</w:t>
      </w:r>
      <w:r>
        <w:t xml:space="preserve">: every tab that parses as a driller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driller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rPr>
          <w:b/>
          <w:bCs/>
        </w:rPr>
        <w:t xml:space="preserve">Business groups are whatever the CountryHierarchy declares</w:t>
      </w:r>
      <w:r>
        <w:t xml:space="preserve"> — its Level 0 values. IWPB and CIB are the classic global businesses, and entity groups sit beside them as peers: the Group pack declares </w:t>
      </w:r>
      <w:r>
        <w:rPr>
          <w:b/>
          <w:bCs/>
        </w:rPr>
        <w:t xml:space="preserve">HK</w:t>
      </w:r>
      <w:r>
        <w:t xml:space="preserve">, </w:t>
      </w:r>
      <w:r>
        <w:rPr>
          <w:b/>
          <w:bCs/>
        </w:rPr>
        <w:t xml:space="preserve">UK</w:t>
      </w:r>
      <w:r>
        <w:t xml:space="preserve"> and </w:t>
      </w:r>
      <w:r>
        <w:rPr>
          <w:b/>
          <w:bCs/>
        </w:rPr>
        <w:t xml:space="preserve">Corp Centre</w:t>
      </w:r>
      <w:r>
        <w:t xml:space="preserve">, each consolidating exactly the same way — the Group is the sum of all five (Corp Centre negative and all), each group scopes every page, and per-group Definitions read each group its own way with a </w:t>
      </w:r>
      <w:r>
        <w:rPr>
          <w:rFonts w:ascii="Consolas" w:cs="Consolas" w:eastAsia="Consolas" w:hAnsi="Consolas"/>
          <w:shd w:fill="F2F1ED" w:val="clear"/>
        </w:rPr>
        <w:t xml:space="preserve">GROUP</w:t>
      </w:r>
      <w:r>
        <w:t xml:space="preserve"> row as the fallback. A bare tab named after an entity group (a tab called </w:t>
      </w:r>
      <w:r>
        <w:rPr>
          <w:rFonts w:ascii="Consolas" w:cs="Consolas" w:eastAsia="Consolas" w:hAnsi="Consolas"/>
          <w:shd w:fill="F2F1ED" w:val="clear"/>
        </w:rPr>
        <w:t xml:space="preserve">UK</w:t>
      </w:r>
      <w:r>
        <w:t xml:space="preserve">) resolves to that group even where the same name exists as a country inside another business — the country tab inside a business carries the business in its name (</w:t>
      </w:r>
      <w:r>
        <w:rPr>
          <w:rFonts w:ascii="Consolas" w:cs="Consolas" w:eastAsia="Consolas" w:hAnsi="Consolas"/>
          <w:shd w:fill="F2F1ED" w:val="clear"/>
        </w:rPr>
        <w:t xml:space="preserve">IWPB UK</w:t>
      </w:r>
      <w:r>
        <w:t xml:space="preserve">).</w:t>
      </w:r>
    </w:p>
    <w:p>
      <w:pPr>
        <w:spacing w:after="140"/>
      </w:pPr>
      <w:r>
        <w:rPr>
          <w:b/>
          <w:bCs/>
        </w:rPr>
        <w:t xml:space="preserve">Business performance</w:t>
      </w:r>
      <w:r>
        <w:t xml:space="preserve"> is its own page off the left-hand nav, beside the Financial Summary — the consolidation shown as evidence: one column per KPI tile on the grid (Revenue, ECL, the cost lines…, the same names and the same netting), one row per business / region / country with a Global subtotal per business and the Group at the foot. Every column casts exactly as displayed — the rounding point lands on the largest row of each block, and the Group line reads exactly what its tile reads. A lone country that would just rename its region is skipped.</w:t>
      </w:r>
    </w:p>
    <w:p>
      <w:pPr>
        <w:spacing w:after="140"/>
      </w:pPr>
      <w:r>
        <w:rPr>
          <w:b/>
          <w:bCs/>
        </w:rPr>
        <w:t xml:space="preserve">Every cell reads through the same scope machinery the tiles read</w:t>
      </w:r>
      <w:r>
        <w:t xml:space="preserve"> — a row's figure is exactly what the scope bar would show for that business / region / country, never a private row-selection of the page's own, so the page and the tiles cannot disagree. The Group line is what the unscoped tiles show: the file's own Group consolidation tab where it carries one, and any gap against the roll-up stands as an explicit </w:t>
      </w:r>
      <w:r>
        <w:rPr>
          <w:rFonts w:ascii="Consolas" w:cs="Consolas" w:eastAsia="Consolas" w:hAnsi="Consolas"/>
          <w:shd w:fill="F2F1ED" w:val="clear"/>
        </w:rPr>
        <w:t xml:space="preserve">Consolidation &amp; eliminations</w:t>
      </w:r>
      <w:r>
        <w:t xml:space="preserve"> line so the column still casts in plain sight.</w:t>
      </w:r>
    </w:p>
    <w:p>
      <w:pPr>
        <w:spacing w:after="140"/>
      </w:pPr>
      <w:r>
        <w:rPr>
          <w:b/>
          <w:bCs/>
        </w:rPr>
        <w:t xml:space="preserve">The rollup counts only rows the hierarchy maps</w:t>
      </w:r>
      <w:r>
        <w:t xml:space="preserve"> — the same rows the scope bar can reach. Rows without a business mapping (an </w:t>
      </w:r>
      <w:r>
        <w:rPr>
          <w:rFonts w:ascii="Consolas" w:cs="Consolas" w:eastAsia="Consolas" w:hAnsi="Consolas"/>
          <w:shd w:fill="F2F1ED" w:val="clear"/>
        </w:rPr>
        <w:t xml:space="preserve">Unallocated</w:t>
      </w:r>
      <w:r>
        <w:t xml:space="preserve"> line) and rows whose region the hierarchy never mapped — an empty region cell or the literal </w:t>
      </w:r>
      <w:r>
        <w:rPr>
          <w:rFonts w:ascii="Consolas" w:cs="Consolas" w:eastAsia="Consolas" w:hAnsi="Consolas"/>
          <w:shd w:fill="F2F1ED" w:val="clear"/>
        </w:rPr>
        <w:t xml:space="preserve">Unmapped</w:t>
      </w:r>
      <w:r>
        <w:t xml:space="preserve"> the merge stamps on a tab the CountryHierarchy cannot place (an </w:t>
      </w:r>
      <w:r>
        <w:rPr>
          <w:rFonts w:ascii="Consolas" w:cs="Consolas" w:eastAsia="Consolas" w:hAnsi="Consolas"/>
          <w:shd w:fill="F2F1ED" w:val="clear"/>
        </w:rPr>
        <w:t xml:space="preserve">(unmapped)</w:t>
      </w:r>
      <w:r>
        <w:t xml:space="preserve"> tier beside the named regions) stay visible as grey memo lines that never join the sums, so a mapping gap shows itself instead of silently inflating a Global line; setting </w:t>
      </w:r>
      <w:r>
        <w:rPr>
          <w:rFonts w:ascii="Consolas" w:cs="Consolas" w:eastAsia="Consolas" w:hAnsi="Consolas"/>
          <w:shd w:fill="F2F1ED" w:val="clear"/>
        </w:rPr>
        <w:t xml:space="preserve">bizperf_unmapped=add</w:t>
      </w:r>
      <w:r>
        <w:t xml:space="preserve"> restores adding them. Note the scope bar and this page read differently by design: the tiles obey the full geographic scope, while this page always shows the whole tree. A line a group defines no reading for (a per-business Definition it never wrote) shows a dash rather than borrowing a figure; a line that sits wholly inside another (Banking NII inside Revenue) is headed </w:t>
      </w:r>
      <w:r>
        <w:rPr>
          <w:rFonts w:ascii="Consolas" w:cs="Consolas" w:eastAsia="Consolas" w:hAnsi="Consolas"/>
          <w:shd w:fill="F2F1ED" w:val="clear"/>
        </w:rPr>
        <w:t xml:space="preserve">within Revenue</w:t>
      </w:r>
      <w:r>
        <w:t xml:space="preserve"> so nobody adds the two; balance-sheet tiles keep their own column in the balance unit as closing positions — never added into a P&amp;L column.</w:t>
      </w:r>
    </w:p>
    <w:p>
      <w:pPr>
        <w:spacing w:after="140"/>
      </w:pPr>
      <w:r>
        <w:rPr>
          <w:b/>
          <w:bCs/>
        </w:rPr>
        <w:t xml:space="preserve">Export to Excel</w:t>
      </w:r>
      <w:r>
        <w:t xml:space="preserve"> writes the same table as a workbook. The page reads the whole tree whatever geography is scoped elsewhere, and the nav link only appears on a file that carries more than one business group.</w:t>
      </w:r>
    </w:p>
    <w:p>
      <w:pPr>
        <w:spacing w:after="140"/>
      </w:pPr>
      <w:r>
        <w:t xml:space="preserve">Scoping lives in the </w:t>
      </w:r>
      <w:r>
        <w:rPr>
          <w:b/>
          <w:bCs/>
        </w:rPr>
        <w:t xml:space="preserve">top scope bar</w:t>
      </w:r>
      <w:r>
        <w:t xml:space="preserve">: the business line, region and country dropdowns beside Units (each narrowed to the level above it), with the active scope shown as removable chips on the Summary. Picking a scope there drives every page, chart, export and simulation, and clearing a chip restores the wider view.</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100"/>
      </w:pPr>
      <w:r>
        <w:rPr>
          <w:b/>
          <w:bCs/>
        </w:rPr>
        <w:t xml:space="preserve">KPI summary</w:t>
      </w:r>
      <w:r>
        <w:t xml:space="preserve"> — driller-style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w:t>
      </w:r>
    </w:p>
    <w:p>
      <w:pPr>
        <w:spacing w:after="100"/>
        <w:ind w:left="360"/>
      </w:pPr>
      <w:r>
        <w:t xml:space="preserve">The </w:t>
      </w:r>
      <w:r>
        <w:rPr>
          <w:b/>
          <w:bCs/>
        </w:rPr>
        <w:t xml:space="preserve">⤓ PPT</w:t>
      </w:r>
      <w:r>
        <w:t xml:space="preserve"> button beside Export to Excel produces the same tile grid as a single widescreen slide, built natively in PowerPoint. The deck mirrors the screen exactly: the tiles the summary is showing right now, in their rendered order — a tile behind "Show all" or parked stays off the deck, and a panel the screen hides never becomes a slide — followed by the page's own commentary: the hero line, the trajectory and Mix notes where those panels are visible, and the Management Commentary on its own slides.</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simulation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driller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 Nothing is recalculated by hiding — a parked tile is only out of view, and the reporting pack, the Financial Summary and the KPI scorecard still carry the line in full.</w:t>
      </w:r>
    </w:p>
    <w:p>
      <w:pPr>
        <w:spacing w:after="100"/>
        <w:ind w:left="360"/>
      </w:pPr>
      <w:r>
        <w:t xml:space="preserve">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one row per tile, </w:t>
      </w:r>
      <w:r>
        <w:rPr>
          <w:rFonts w:ascii="Consolas" w:cs="Consolas" w:eastAsia="Consolas" w:hAnsi="Consolas"/>
          <w:shd w:fill="F2F1ED" w:val="clear"/>
        </w:rPr>
        <w:t xml:space="preserve">Y</w:t>
      </w:r>
      <w:r>
        <w:t xml:space="preserve"> to show, </w:t>
      </w:r>
      <w:r>
        <w:rPr>
          <w:rFonts w:ascii="Consolas" w:cs="Consolas" w:eastAsia="Consolas" w:hAnsi="Consolas"/>
          <w:shd w:fill="F2F1ED" w:val="clear"/>
        </w:rPr>
        <w:t xml:space="preserve">N</w:t>
      </w:r>
      <w:r>
        <w:t xml:space="preserve"> to hide (a tab of only-</w:t>
      </w:r>
      <w:r>
        <w:rPr>
          <w:rFonts w:ascii="Consolas" w:cs="Consolas" w:eastAsia="Consolas" w:hAnsi="Consolas"/>
          <w:shd w:fill="F2F1ED" w:val="clear"/>
        </w:rPr>
        <w:t xml:space="preserve">Y</w:t>
      </w:r>
      <w:r>
        <w:t xml:space="preserve"> rows shows just those), and </w:t>
      </w:r>
      <w:r>
        <w:rPr>
          <w:rFonts w:ascii="Consolas" w:cs="Consolas" w:eastAsia="Consolas" w:hAnsi="Consolas"/>
          <w:shd w:fill="F2F1ED" w:val="clear"/>
        </w:rPr>
        <w:t xml:space="preserve">+</w:t>
      </w:r>
      <w:r>
        <w:t xml:space="preserve"> to </w:t>
      </w:r>
      <w:r>
        <w:rPr>
          <w:b/>
          <w:bCs/>
        </w:rPr>
        <w:t xml:space="preserve">add</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w:t>
      </w:r>
    </w:p>
    <w:p>
      <w:pPr>
        <w:spacing w:after="100"/>
        <w:ind w:left="360"/>
      </w:pPr>
      <w:r>
        <w:t xml:space="preserve">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0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 The plain-language form is the </w:t>
      </w:r>
      <w:r>
        <w:rPr>
          <w:b/>
          <w:bCs/>
        </w:rPr>
        <w:t xml:space="preserve">Definitions</w:t>
      </w:r>
      <w:r>
        <w:t xml:space="preserve"> tab — the calculation's lineage, one component per row, in the file's own line names:</w:t>
      </w:r>
    </w:p>
    <w:p>
      <w:pPr>
        <w:shd w:fill="F2F1ED" w:val="clear"/>
        <w:spacing w:after="0"/>
      </w:pPr>
      <w:r>
        <w:rPr>
          <w:rFonts w:ascii="Consolas" w:cs="Consolas" w:eastAsia="Consolas" w:hAnsi="Consolas"/>
          <w:sz w:val="18"/>
          <w:szCs w:val="18"/>
        </w:rPr>
        <w:t xml:space="preserve">Calculation  | Business | Line                   | Include | MICA level | Tile</w:t>
      </w:r>
    </w:p>
    <w:p>
      <w:pPr>
        <w:shd w:fill="F2F1ED" w:val="clear"/>
        <w:spacing w:after="0"/>
      </w:pPr>
      <w:r>
        <w:rPr>
          <w:rFonts w:ascii="Consolas" w:cs="Consolas" w:eastAsia="Consolas" w:hAnsi="Consolas"/>
          <w:sz w:val="18"/>
          <w:szCs w:val="18"/>
        </w:rPr>
        <w:t xml:space="preserve">Banking NII  | IWPB     | Revenue                |   +     |    L2      |</w:t>
      </w:r>
    </w:p>
    <w:p>
      <w:pPr>
        <w:shd w:fill="F2F1ED" w:val="clear"/>
        <w:spacing w:after="0"/>
      </w:pPr>
      <w:r>
        <w:rPr>
          <w:rFonts w:ascii="Consolas" w:cs="Consolas" w:eastAsia="Consolas" w:hAnsi="Consolas"/>
          <w:sz w:val="18"/>
          <w:szCs w:val="18"/>
        </w:rPr>
        <w:t xml:space="preserve">Banking NII  | IWPB     | Net Insurance Revenue  |   −     |    L3      |</w:t>
      </w:r>
    </w:p>
    <w:p>
      <w:pPr>
        <w:shd w:fill="F2F1ED" w:val="clear"/>
        <w:spacing w:after="0"/>
      </w:pPr>
      <w:r>
        <w:rPr>
          <w:rFonts w:ascii="Consolas" w:cs="Consolas" w:eastAsia="Consolas" w:hAnsi="Consolas"/>
          <w:sz w:val="18"/>
          <w:szCs w:val="18"/>
        </w:rPr>
        <w:t xml:space="preserve">Banking NII  | CIB      | Banking NII            |   +     |   accH3    |</w:t>
      </w:r>
    </w:p>
    <w:p>
      <w:pPr>
        <w:spacing w:after="120"/>
      </w:pPr>
    </w:p>
    <w:p>
      <w:pPr>
        <w:spacing w:after="140"/>
        <w:ind w:left="360"/>
      </w:pPr>
      <w:r>
        <w:rPr>
          <w:rFonts w:ascii="Consolas" w:cs="Consolas" w:eastAsia="Consolas" w:hAnsi="Consolas"/>
          <w:shd w:fill="F2F1ED" w:val="clear"/>
        </w:rPr>
        <w:t xml:space="preserve">+</w:t>
      </w:r>
      <w:r>
        <w:t xml:space="preserve"> includes the named line, </w:t>
      </w:r>
      <w:r>
        <w:rPr>
          <w:rFonts w:ascii="Consolas" w:cs="Consolas" w:eastAsia="Consolas" w:hAnsi="Consolas"/>
          <w:shd w:fill="F2F1ED" w:val="clear"/>
        </w:rPr>
        <w:t xml:space="preserve">−</w:t>
      </w:r>
      <w:r>
        <w:t xml:space="preserve"> carves it out, blank Business covers every business that wrote none. </w:t>
      </w:r>
      <w:r>
        <w:rPr>
          <w:b/>
          <w:bCs/>
        </w:rPr>
        <w:t xml:space="preserve">MICA level</w:t>
      </w:r>
      <w:r>
        <w:t xml:space="preserve"> pins the name to the level it lives at — </w:t>
      </w:r>
      <w:r>
        <w:rPr>
          <w:rFonts w:ascii="Consolas" w:cs="Consolas" w:eastAsia="Consolas" w:hAnsi="Consolas"/>
          <w:shd w:fill="F2F1ED" w:val="clear"/>
        </w:rPr>
        <w:t xml:space="preserve">L1</w:t>
      </w:r>
      <w:r>
        <w:t xml:space="preserve">..</w:t>
      </w:r>
      <w:r>
        <w:rPr>
          <w:rFonts w:ascii="Consolas" w:cs="Consolas" w:eastAsia="Consolas" w:hAnsi="Consolas"/>
          <w:shd w:fill="F2F1ED" w:val="clear"/>
        </w:rPr>
        <w:t xml:space="preserve">L4</w:t>
      </w:r>
      <w:r>
        <w:t xml:space="preserve"> for MICA, or a hierarchy key like </w:t>
      </w:r>
      <w:r>
        <w:rPr>
          <w:rFonts w:ascii="Consolas" w:cs="Consolas" w:eastAsia="Consolas" w:hAnsi="Consolas"/>
          <w:shd w:fill="F2F1ED" w:val="clear"/>
        </w:rPr>
        <w:t xml:space="preserve">accH3</w:t>
      </w:r>
      <w:r>
        <w:t xml:space="preserve"> — so a name that exists at two levels is never guessed (blank searches every level).</w:t>
      </w:r>
    </w:p>
    <w:p>
      <w:pPr>
        <w:spacing w:after="140"/>
        <w:ind w:left="360"/>
      </w:pPr>
      <w:r>
        <w:t xml:space="preserve">A defined calculation </w:t>
      </w:r>
      <w:r>
        <w:rPr>
          <w:b/>
          <w:bCs/>
        </w:rPr>
        <w:t xml:space="preserve">follows through by itself</w:t>
      </w:r>
      <w:r>
        <w:t xml:space="preserve">: it joins the tile grid, the slide deck, the KPI nav and the tile-driven commentary with no further wiring — put </w:t>
      </w:r>
      <w:r>
        <w:rPr>
          <w:rFonts w:ascii="Consolas" w:cs="Consolas" w:eastAsia="Consolas" w:hAnsi="Consolas"/>
          <w:shd w:fill="F2F1ED" w:val="clear"/>
        </w:rPr>
        <w:t xml:space="preserve">N</w:t>
      </w:r>
      <w:r>
        <w:t xml:space="preserve"> in the </w:t>
      </w:r>
      <w:r>
        <w:rPr>
          <w:b/>
          <w:bCs/>
        </w:rPr>
        <w:t xml:space="preserve">Tile</w:t>
      </w:r>
      <w:r>
        <w:t xml:space="preserve"> column to keep it a definition only. What the tab reads is exactly what the tile computes — the tile's tooltip reads the lineage back word for word, level included — and a Definitions entry speaks over a Metrics row written for the same calculation and business, so there is one place to look and it wins.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driller carrying Deposits or Loans beside a result gets no total tile, no total row and no total in its commentary, because adding a balance to a result is not a figure; a P&amp;L-only driller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driller rather than by size, so a balance-sheet line is not hoisted above the P&amp;L. Lines </w:t>
      </w:r>
      <w:r>
        <w:rPr>
          <w:i/>
          <w:iCs/>
        </w:rPr>
        <w:t xml:space="preserve">within</w:t>
      </w:r>
      <w:r>
        <w:t xml:space="preserve"> a statement — the Level 2 lines under a rollup — always read in the driller's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driller-row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driller's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the Word export carries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driller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driller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driller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driller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driller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driller's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driller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driller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simulations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simulation actually moves, with Excel export. A simulation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Simulations save by name (localStorage) for reload; the work-in-progress simulation survives refreshes.</w:t>
      </w:r>
    </w:p>
    <w:p>
      <w:pPr>
        <w:spacing w:after="140"/>
        <w:ind w:left="360"/>
      </w:pPr>
      <w:r>
        <w:rPr>
          <w:b/>
          <w:bCs/>
        </w:rPr>
        <w:t xml:space="preserve">Pre-loaded simulations from the config pack</w:t>
      </w:r>
      <w:r>
        <w:t xml:space="preserve"> — an optional </w:t>
      </w:r>
      <w:r>
        <w:rPr>
          <w:rFonts w:ascii="Consolas" w:cs="Consolas" w:eastAsia="Consolas" w:hAnsi="Consolas"/>
          <w:shd w:fill="F2F1ED" w:val="clear"/>
        </w:rPr>
        <w:t xml:space="preserve">Simulations</w:t>
      </w:r>
      <w:r>
        <w:t xml:space="preserve"> sheet in the configuration workbook ships ready-made simulations to every user who opens the dashboard, instead of each living in one person's browser. Columns: </w:t>
      </w:r>
      <w:r>
        <w:rPr>
          <w:rFonts w:ascii="Consolas" w:cs="Consolas" w:eastAsia="Consolas" w:hAnsi="Consolas"/>
          <w:shd w:fill="F2F1ED" w:val="clear"/>
        </w:rPr>
        <w:t xml:space="preserve">Simulation | Dim | Value | Dim2 | Value2 | Statement | Type | Change | From | To</w:t>
      </w:r>
      <w:r>
        <w:t xml:space="preserve">. Rows sharing a Simulation name become one multi-rule simulation. (A sheet still named </w:t>
      </w:r>
      <w:r>
        <w:rPr>
          <w:rFonts w:ascii="Consolas" w:cs="Consolas" w:eastAsia="Consolas" w:hAnsi="Consolas"/>
          <w:shd w:fill="F2F1ED" w:val="clear"/>
        </w:rPr>
        <w:t xml:space="preserve">Scenarios</w:t>
      </w:r>
      <w:r>
        <w:t xml:space="preserve">, the tab's earlier name, is read exactly the same way, so packs already in circulation keep working.) </w:t>
      </w:r>
      <w:r>
        <w:rPr>
          <w:rFonts w:ascii="Consolas" w:cs="Consolas" w:eastAsia="Consolas" w:hAnsi="Consolas"/>
          <w:shd w:fill="F2F1ED" w:val="clear"/>
        </w:rPr>
        <w:t xml:space="preserve">Dim</w:t>
      </w:r>
      <w:r>
        <w:t xml:space="preserve">/</w:t>
      </w:r>
      <w:r>
        <w:rPr>
          <w:rFonts w:ascii="Consolas" w:cs="Consolas" w:eastAsia="Consolas" w:hAnsi="Consolas"/>
          <w:shd w:fill="F2F1ED" w:val="clear"/>
        </w:rPr>
        <w:t xml:space="preserve">Value</w:t>
      </w:r>
      <w:r>
        <w:t xml:space="preserve"> is the main scope (e.g. </w:t>
      </w:r>
      <w:r>
        <w:rPr>
          <w:rFonts w:ascii="Consolas" w:cs="Consolas" w:eastAsia="Consolas" w:hAnsi="Consolas"/>
          <w:shd w:fill="F2F1ED" w:val="clear"/>
        </w:rPr>
        <w:t xml:space="preserve">MICA Level 3</w:t>
      </w:r>
      <w:r>
        <w:t xml:space="preserve"> = </w:t>
      </w:r>
      <w:r>
        <w:rPr>
          <w:rFonts w:ascii="Consolas" w:cs="Consolas" w:eastAsia="Consolas" w:hAnsi="Consolas"/>
          <w:shd w:fill="F2F1ED" w:val="clear"/>
        </w:rPr>
        <w:t xml:space="preserve">NII - Net Interest Income</w:t>
      </w:r>
      <w:r>
        <w:t xml:space="preserve">); </w:t>
      </w:r>
      <w:r>
        <w:rPr>
          <w:rFonts w:ascii="Consolas" w:cs="Consolas" w:eastAsia="Consolas" w:hAnsi="Consolas"/>
          <w:shd w:fill="F2F1ED" w:val="clear"/>
        </w:rPr>
        <w:t xml:space="preserve">Dim2</w:t>
      </w:r>
      <w:r>
        <w:t xml:space="preserve">/</w:t>
      </w:r>
      <w:r>
        <w:rPr>
          <w:rFonts w:ascii="Consolas" w:cs="Consolas" w:eastAsia="Consolas" w:hAnsi="Consolas"/>
          <w:shd w:fill="F2F1ED" w:val="clear"/>
        </w:rPr>
        <w:t xml:space="preserve">Value2</w:t>
      </w:r>
      <w:r>
        <w:t xml:space="preserve"> is an optional second condition — a line </w:t>
      </w:r>
      <w:r>
        <w:rPr>
          <w:i/>
          <w:iCs/>
        </w:rPr>
        <w:t xml:space="preserve">within</w:t>
      </w:r>
      <w:r>
        <w:t xml:space="preserve"> a geography — shown on the rule as "· within Region = MENAT" (dims accepted: Country, Region, Business, MICA Level 1–4, Product Level 1–3).</w:t>
      </w:r>
    </w:p>
    <w:p>
      <w:pPr>
        <w:spacing w:after="140"/>
        <w:ind w:left="360"/>
      </w:pPr>
      <w:r>
        <w:rPr>
          <w:rFonts w:ascii="Consolas" w:cs="Consolas" w:eastAsia="Consolas" w:hAnsi="Consolas"/>
          <w:shd w:fill="F2F1ED" w:val="clear"/>
        </w:rPr>
        <w:t xml:space="preserve">Statement</w:t>
      </w:r>
      <w:r>
        <w:t xml:space="preserve"> is </w:t>
      </w:r>
      <w:r>
        <w:rPr>
          <w:rFonts w:ascii="Consolas" w:cs="Consolas" w:eastAsia="Consolas" w:hAnsi="Consolas"/>
          <w:shd w:fill="F2F1ED" w:val="clear"/>
        </w:rPr>
        <w:t xml:space="preserve">pl</w:t>
      </w:r>
      <w:r>
        <w:t xml:space="preserve">, </w:t>
      </w:r>
      <w:r>
        <w:rPr>
          <w:rFonts w:ascii="Consolas" w:cs="Consolas" w:eastAsia="Consolas" w:hAnsi="Consolas"/>
          <w:shd w:fill="F2F1ED" w:val="clear"/>
        </w:rPr>
        <w:t xml:space="preserve">bs</w:t>
      </w:r>
      <w:r>
        <w:t xml:space="preserve"> or </w:t>
      </w:r>
      <w:r>
        <w:rPr>
          <w:rFonts w:ascii="Consolas" w:cs="Consolas" w:eastAsia="Consolas" w:hAnsi="Consolas"/>
          <w:shd w:fill="F2F1ED" w:val="clear"/>
        </w:rPr>
        <w:t xml:space="preserve">all</w:t>
      </w:r>
      <w:r>
        <w:t xml:space="preserve">; </w:t>
      </w:r>
      <w:r>
        <w:rPr>
          <w:rFonts w:ascii="Consolas" w:cs="Consolas" w:eastAsia="Consolas" w:hAnsi="Consolas"/>
          <w:shd w:fill="F2F1ED" w:val="clear"/>
        </w:rPr>
        <w:t xml:space="preserve">Type</w:t>
      </w:r>
      <w:r>
        <w:t xml:space="preserve"> is </w:t>
      </w:r>
      <w:r>
        <w:rPr>
          <w:rFonts w:ascii="Consolas" w:cs="Consolas" w:eastAsia="Consolas" w:hAnsi="Consolas"/>
          <w:shd w:fill="F2F1ED" w:val="clear"/>
        </w:rPr>
        <w:t xml:space="preserve">pct</w:t>
      </w:r>
      <w:r>
        <w:t xml:space="preserve"> (% change), </w:t>
      </w:r>
      <w:r>
        <w:rPr>
          <w:rFonts w:ascii="Consolas" w:cs="Consolas" w:eastAsia="Consolas" w:hAnsi="Consolas"/>
          <w:shd w:fill="F2F1ED" w:val="clear"/>
        </w:rPr>
        <w:t xml:space="preserve">pctfy</w:t>
      </w:r>
      <w:r>
        <w:t xml:space="preserve"> (% of full year), </w:t>
      </w:r>
      <w:r>
        <w:rPr>
          <w:rFonts w:ascii="Consolas" w:cs="Consolas" w:eastAsia="Consolas" w:hAnsi="Consolas"/>
          <w:shd w:fill="F2F1ED" w:val="clear"/>
        </w:rPr>
        <w:t xml:space="preserve">amt</w:t>
      </w:r>
      <w:r>
        <w:t xml:space="preserve"> (add amount) or </w:t>
      </w:r>
      <w:r>
        <w:rPr>
          <w:rFonts w:ascii="Consolas" w:cs="Consolas" w:eastAsia="Consolas" w:hAnsi="Consolas"/>
          <w:shd w:fill="F2F1ED" w:val="clear"/>
        </w:rPr>
        <w:t xml:space="preserve">setm</w:t>
      </w:r>
      <w:r>
        <w:t xml:space="preserve"> (set monthly total); </w:t>
      </w:r>
      <w:r>
        <w:rPr>
          <w:rFonts w:ascii="Consolas" w:cs="Consolas" w:eastAsia="Consolas" w:hAnsi="Consolas"/>
          <w:shd w:fill="F2F1ED" w:val="clear"/>
        </w:rPr>
        <w:t xml:space="preserve">Change</w:t>
      </w:r>
      <w:r>
        <w:t xml:space="preserve"> is the number; </w:t>
      </w:r>
      <w:r>
        <w:rPr>
          <w:rFonts w:ascii="Consolas" w:cs="Consolas" w:eastAsia="Consolas" w:hAnsi="Consolas"/>
          <w:shd w:fill="F2F1ED" w:val="clear"/>
        </w:rPr>
        <w:t xml:space="preserve">From</w:t>
      </w:r>
      <w:r>
        <w:t xml:space="preserve">/</w:t>
      </w:r>
      <w:r>
        <w:rPr>
          <w:rFonts w:ascii="Consolas" w:cs="Consolas" w:eastAsia="Consolas" w:hAnsi="Consolas"/>
          <w:shd w:fill="F2F1ED" w:val="clear"/>
        </w:rPr>
        <w:t xml:space="preserve">To</w:t>
      </w:r>
      <w:r>
        <w:t xml:space="preserve"> are month names (</w:t>
      </w:r>
      <w:r>
        <w:rPr>
          <w:rFonts w:ascii="Consolas" w:cs="Consolas" w:eastAsia="Consolas" w:hAnsi="Consolas"/>
          <w:shd w:fill="F2F1ED" w:val="clear"/>
        </w:rPr>
        <w:t xml:space="preserve">AUG</w:t>
      </w:r>
      <w:r>
        <w:t xml:space="preserve">…</w:t>
      </w:r>
      <w:r>
        <w:rPr>
          <w:rFonts w:ascii="Consolas" w:cs="Consolas" w:eastAsia="Consolas" w:hAnsi="Consolas"/>
          <w:shd w:fill="F2F1ED" w:val="clear"/>
        </w:rPr>
        <w:t xml:space="preserve">DEC</w:t>
      </w:r>
      <w:r>
        <w:t xml:space="preserve">). Seeding happens when the config loads and never overwrites a simulation the user already saved under the same name; a seeded rule whose scope matches nothing in the loaded driller shows the usual "no rows match" note rather than silently doing nothing.</w:t>
      </w:r>
    </w:p>
    <w:p>
      <w:pPr>
        <w:spacing w:after="140"/>
        <w:ind w:left="360"/>
      </w:pPr>
      <w:r>
        <w:t xml:space="preserve">The Group pack ships sixteen simulations built this way: six Middle East crisis cases (Gulf rate cuts, EGP devaluation, deposit flight, Gulf inflows upside, trade disruption, and an oil-spike counter-case), five macroeconomic cases (global rate cuts, China hard landing, US/Europe recession, a markets-rally upside, and stagflation), and five cost cases (pay review, variable pay true-up, savings programme, indirect cost inflation, and an offshoring footprint shift that lowers UK direct costs while raising Asia's).</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is deliberately spare: the dashboards navigation, the Configuration section, the period controls (YTD-through month and variance period) and the Commentary templates picker — scoping happens in the top scope bar, and the Excel exports carry the default column set.</w:t>
      </w:r>
    </w:p>
    <w:p>
      <w:pPr>
        <w:spacing w:after="140"/>
      </w:pPr>
      <w:r>
        <w:t xml:space="preserve">The old Data drill down page is retired — the </w:t>
      </w:r>
      <w:r>
        <w:rPr>
          <w:b/>
          <w:bCs/>
        </w:rPr>
        <w:t xml:space="preserve">Query builder</w:t>
      </w:r>
      <w:r>
        <w:t xml:space="preserve"> covers it: drag the columns you want, filter and sort, run, and </w:t>
      </w:r>
      <w:r>
        <w:rPr>
          <w:b/>
          <w:bCs/>
        </w:rPr>
        <w:t xml:space="preserve">⤓ Export to Excel</w:t>
      </w:r>
      <w:r>
        <w:t xml:space="preserve"> on the Results panel downloads the result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driller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simulation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driller's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driller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driller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driller's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driller).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driller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driller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driller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2026-08-16T12:48:09.796Z</dcterms:created>
  <dcterms:modified xsi:type="dcterms:W3CDTF">2026-08-16T12:48:09.798Z</dcterms:modified>
</cp:coreProperties>
</file>

<file path=docProps/custom.xml><?xml version="1.0" encoding="utf-8"?>
<Properties xmlns="http://schemas.openxmlformats.org/officeDocument/2006/custom-properties" xmlns:vt="http://schemas.openxmlformats.org/officeDocument/2006/docPropsVTypes"/>
</file>