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Product Level   | Tile</w:t>
      </w:r>
    </w:p>
    <w:p>
      <w:pPr>
        <w:shd w:fill="F2F1ED" w:val="clear"/>
        <w:spacing w:after="0"/>
      </w:pPr>
      <w:r>
        <w:rPr>
          <w:rFonts w:ascii="Consolas" w:cs="Consolas" w:eastAsia="Consolas" w:hAnsi="Consolas"/>
          <w:sz w:val="18"/>
          <w:szCs w:val="18"/>
        </w:rPr>
        <w:t xml:space="preserve">Banking NII  | IWPB     | Revenue                |   +     |    L2      |                 |</w:t>
      </w:r>
    </w:p>
    <w:p>
      <w:pPr>
        <w:shd w:fill="F2F1ED" w:val="clear"/>
        <w:spacing w:after="0"/>
      </w:pPr>
      <w:r>
        <w:rPr>
          <w:rFonts w:ascii="Consolas" w:cs="Consolas" w:eastAsia="Consolas" w:hAnsi="Consolas"/>
          <w:sz w:val="18"/>
          <w:szCs w:val="18"/>
        </w:rPr>
        <w:t xml:space="preserve">Banking NII  | IWPB     | Net Insurance Revenue  |   −     |    L3      | Product_Level_7 |</w:t>
      </w:r>
    </w:p>
    <w:p>
      <w:pPr>
        <w:shd w:fill="F2F1ED" w:val="clear"/>
        <w:spacing w:after="0"/>
      </w:pPr>
      <w:r>
        <w:rPr>
          <w:rFonts w:ascii="Consolas" w:cs="Consolas" w:eastAsia="Consolas" w:hAnsi="Consolas"/>
          <w:sz w:val="18"/>
          <w:szCs w:val="18"/>
        </w:rPr>
        <w:t xml:space="preserve">Banking NII  | CIB      | Banking NII            |   +     |   accH3    |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rPr>
          <w:b/>
          <w:bCs/>
        </w:rPr>
        <w:t xml:space="preserve">Product Level</w:t>
      </w:r>
      <w:r>
        <w:t xml:space="preserve"> qualifies a component further: a bare column name lets the line be found in that column too, </w:t>
      </w:r>
      <w:r>
        <w:rPr>
          <w:rFonts w:ascii="Consolas" w:cs="Consolas" w:eastAsia="Consolas" w:hAnsi="Consolas"/>
          <w:shd w:fill="F2F1ED" w:val="clear"/>
        </w:rPr>
        <w:t xml:space="preserve">Product_Level_7 = Wealth</w:t>
      </w:r>
      <w:r>
        <w:t xml:space="preserve"> restricts it to rows holding that value. A </w:t>
      </w:r>
      <w:r>
        <w:rPr>
          <w:rFonts w:ascii="Consolas" w:cs="Consolas" w:eastAsia="Consolas" w:hAnsi="Consolas"/>
          <w:shd w:fill="F2F1ED" w:val="clear"/>
        </w:rPr>
        <w:t xml:space="preserve">−</w:t>
      </w:r>
      <w:r>
        <w:t xml:space="preserve"> line </w:t>
      </w:r>
      <w:r>
        <w:rPr>
          <w:b/>
          <w:bCs/>
        </w:rPr>
        <w:t xml:space="preserve">inside</w:t>
      </w:r>
      <w:r>
        <w:t xml:space="preserve"> the base is removed from the selection; one </w:t>
      </w:r>
      <w:r>
        <w:rPr>
          <w:b/>
          <w:bCs/>
        </w:rPr>
        <w:t xml:space="preserve">outside</w:t>
      </w:r>
      <w:r>
        <w:t xml:space="preserve"> it — insurance carved out of </w:t>
      </w:r>
      <w:r>
        <w:rPr>
          <w:rFonts w:ascii="Consolas" w:cs="Consolas" w:eastAsia="Consolas" w:hAnsi="Consolas"/>
          <w:shd w:fill="F2F1ED" w:val="clear"/>
        </w:rPr>
        <w:t xml:space="preserve">NII - Net Interest Income</w:t>
      </w:r>
      <w:r>
        <w:t xml:space="preserve"> rather than out of </w:t>
      </w:r>
      <w:r>
        <w:rPr>
          <w:rFonts w:ascii="Consolas" w:cs="Consolas" w:eastAsia="Consolas" w:hAnsi="Consolas"/>
          <w:shd w:fill="F2F1ED" w:val="clear"/>
        </w:rPr>
        <w:t xml:space="preserve">Revenue</w:t>
      </w:r>
      <w:r>
        <w:t xml:space="preserve"> — has its value subtracted instead, since there is nothing there to remove. Both read as </w:t>
      </w:r>
      <w:r>
        <w:rPr>
          <w:i/>
          <w:iCs/>
        </w:rPr>
        <w:t xml:space="preserve">the base, less that line</w:t>
      </w:r>
      <w:r>
        <w:t xml:space="preserve">, and the ingest report says which applied.</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How a component names its line.</w:t>
      </w:r>
      <w:r>
        <w:t xml:space="preserve"> The </w:t>
      </w:r>
      <w:r>
        <w:rPr>
          <w:rFonts w:ascii="Consolas" w:cs="Consolas" w:eastAsia="Consolas" w:hAnsi="Consolas"/>
          <w:shd w:fill="F2F1ED" w:val="clear"/>
        </w:rPr>
        <w:t xml:space="preserve">MICA level</w:t>
      </w:r>
      <w:r>
        <w:t xml:space="preserve"> column names the column the line lives in, written however the extract heads it — </w:t>
      </w:r>
      <w:r>
        <w:rPr>
          <w:rFonts w:ascii="Consolas" w:cs="Consolas" w:eastAsia="Consolas" w:hAnsi="Consolas"/>
          <w:shd w:fill="F2F1ED" w:val="clear"/>
        </w:rPr>
        <w:t xml:space="preserve">L3</w:t>
      </w:r>
      <w:r>
        <w:t xml:space="preserve">, </w:t>
      </w:r>
      <w:r>
        <w:rPr>
          <w:rFonts w:ascii="Consolas" w:cs="Consolas" w:eastAsia="Consolas" w:hAnsi="Consolas"/>
          <w:shd w:fill="F2F1ED" w:val="clear"/>
        </w:rPr>
        <w:t xml:space="preserve">MICA_Level_3</w:t>
      </w:r>
      <w:r>
        <w:t xml:space="preserve">, </w:t>
      </w:r>
      <w:r>
        <w:rPr>
          <w:rFonts w:ascii="Consolas" w:cs="Consolas" w:eastAsia="Consolas" w:hAnsi="Consolas"/>
          <w:shd w:fill="F2F1ED" w:val="clear"/>
        </w:rPr>
        <w:t xml:space="preserve">Product_Level_7</w:t>
      </w:r>
      <w:r>
        <w:t xml:space="preserve">, </w:t>
      </w:r>
      <w:r>
        <w:rPr>
          <w:rFonts w:ascii="Consolas" w:cs="Consolas" w:eastAsia="Consolas" w:hAnsi="Consolas"/>
          <w:shd w:fill="F2F1ED" w:val="clear"/>
        </w:rPr>
        <w:t xml:space="preserve">CG_Level_2</w:t>
      </w:r>
      <w:r>
        <w:t xml:space="preserve">, </w:t>
      </w:r>
      <w:r>
        <w:rPr>
          <w:rFonts w:ascii="Consolas" w:cs="Consolas" w:eastAsia="Consolas" w:hAnsi="Consolas"/>
          <w:shd w:fill="F2F1ED" w:val="clear"/>
        </w:rPr>
        <w:t xml:space="preserve">Function_Level_1</w:t>
      </w:r>
      <w:r>
        <w:t xml:space="preserve">, </w:t>
      </w:r>
      <w:r>
        <w:rPr>
          <w:rFonts w:ascii="Consolas" w:cs="Consolas" w:eastAsia="Consolas" w:hAnsi="Consolas"/>
          <w:shd w:fill="F2F1ED" w:val="clear"/>
        </w:rPr>
        <w:t xml:space="preserve">accH3</w:t>
      </w:r>
      <w:r>
        <w:t xml:space="preserve"> all resolve. An optional </w:t>
      </w:r>
      <w:r>
        <w:rPr>
          <w:b/>
          <w:bCs/>
        </w:rPr>
        <w:t xml:space="preserve">`Product Level`</w:t>
      </w:r>
      <w:r>
        <w:t xml:space="preserve"> column qualifies the component further, in either of two forms: a bare column name (</w:t>
      </w:r>
      <w:r>
        <w:rPr>
          <w:rFonts w:ascii="Consolas" w:cs="Consolas" w:eastAsia="Consolas" w:hAnsi="Consolas"/>
          <w:shd w:fill="F2F1ED" w:val="clear"/>
        </w:rPr>
        <w:t xml:space="preserve">Product_Level_7</w:t>
      </w:r>
      <w:r>
        <w:t xml:space="preserve">) lets the same line be found in that column as well, for a pack whose line sits in the product hierarchy rather than the MICA one; and </w:t>
      </w:r>
      <w:r>
        <w:rPr>
          <w:rFonts w:ascii="Consolas" w:cs="Consolas" w:eastAsia="Consolas" w:hAnsi="Consolas"/>
          <w:shd w:fill="F2F1ED" w:val="clear"/>
        </w:rPr>
        <w:t xml:space="preserve">Product_Level_7 = Wealth</w:t>
      </w:r>
      <w:r>
        <w:t xml:space="preserve"> restricts the component to rows holding that value. The sheet is read by its headings, so a column may be added or moved without shifting the ones behind it.</w:t>
      </w:r>
    </w:p>
    <w:p>
      <w:pPr>
        <w:spacing w:after="140"/>
        <w:ind w:left="360"/>
      </w:pPr>
      <w:r>
        <w:rPr>
          <w:b/>
          <w:bCs/>
        </w:rPr>
        <w:t xml:space="preserve">Where more than one value carries the same thing</w:t>
      </w:r>
      <w:r>
        <w:t xml:space="preserve"> — insurance rarely sits under a single </w:t>
      </w:r>
      <w:r>
        <w:rPr>
          <w:rFonts w:ascii="Consolas" w:cs="Consolas" w:eastAsia="Consolas" w:hAnsi="Consolas"/>
          <w:shd w:fill="F2F1ED" w:val="clear"/>
        </w:rPr>
        <w:t xml:space="preserve">Product_Level_7</w:t>
      </w:r>
      <w:r>
        <w:t xml:space="preserve"> — there are three ways to say it, and they give the same figure: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When to use it</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Product_Level_4 = Insurance</w:t>
            </w:r>
          </w:p>
        </w:tc>
        <w:tc>
          <w:tcPr>
            <w:tcMar>
              <w:top w:type="dxa" w:w="60"/>
              <w:left w:type="dxa" w:w="100"/>
              <w:bottom w:type="dxa" w:w="60"/>
              <w:right w:type="dxa" w:w="100"/>
            </w:tcMar>
          </w:tcPr>
          <w:p>
            <w:pPr>
              <w:spacing w:after="0"/>
            </w:pPr>
            <w:r>
              <w:t xml:space="preserve">a parent level already gathers them: </w:t>
            </w:r>
            <w:r>
              <w:rPr>
                <w:b/>
                <w:bCs/>
              </w:rPr>
              <w:t xml:space="preserve">one row, and it keeps working when a new Level 7 value appears</w:t>
            </w:r>
          </w:p>
        </w:tc>
      </w:tr>
      <w:tr>
        <w:tc>
          <w:tcPr>
            <w:tcMar>
              <w:top w:type="dxa" w:w="60"/>
              <w:left w:type="dxa" w:w="100"/>
              <w:bottom w:type="dxa" w:w="60"/>
              <w:right w:type="dxa" w:w="100"/>
            </w:tcMar>
          </w:tcPr>
          <w:p>
            <w:pPr>
              <w:spacing w:after="0"/>
            </w:pPr>
            <w:r>
              <w:t xml:space="preserve">one </w:t>
            </w:r>
            <w:r>
              <w:rPr>
                <w:rFonts w:ascii="Consolas" w:cs="Consolas" w:eastAsia="Consolas" w:hAnsi="Consolas"/>
                <w:shd w:fill="F2F1ED" w:val="clear"/>
              </w:rPr>
              <w:t xml:space="preserve">−</w:t>
            </w:r>
            <w:r>
              <w:t xml:space="preserve"> row per value</w:t>
            </w:r>
          </w:p>
        </w:tc>
        <w:tc>
          <w:tcPr>
            <w:tcMar>
              <w:top w:type="dxa" w:w="60"/>
              <w:left w:type="dxa" w:w="100"/>
              <w:bottom w:type="dxa" w:w="60"/>
              <w:right w:type="dxa" w:w="100"/>
            </w:tcMar>
          </w:tcPr>
          <w:p>
            <w:pPr>
              <w:spacing w:after="0"/>
            </w:pPr>
            <w:r>
              <w:t xml:space="preserve">the values share no parent, or only some of them are meant</w:t>
            </w:r>
          </w:p>
        </w:tc>
      </w:tr>
      <w:tr>
        <w:tc>
          <w:tcPr>
            <w:tcMar>
              <w:top w:type="dxa" w:w="60"/>
              <w:left w:type="dxa" w:w="100"/>
              <w:bottom w:type="dxa" w:w="60"/>
              <w:right w:type="dxa" w:w="100"/>
            </w:tcMar>
          </w:tcPr>
          <w:p>
            <w:pPr>
              <w:spacing w:after="0"/>
            </w:pPr>
            <w:r>
              <w:t xml:space="preserve">`Product_Level_7 = Insurance Manufacturing \</w:t>
            </w:r>
          </w:p>
        </w:tc>
        <w:tc>
          <w:tcPr>
            <w:tcMar>
              <w:top w:type="dxa" w:w="60"/>
              <w:left w:type="dxa" w:w="100"/>
              <w:bottom w:type="dxa" w:w="60"/>
              <w:right w:type="dxa" w:w="100"/>
            </w:tcMar>
          </w:tcPr>
          <w:p>
            <w:pPr>
              <w:spacing w:after="0"/>
            </w:pPr>
            <w:r>
              <w:t xml:space="preserve">Insurance Distribution`</w:t>
            </w:r>
          </w:p>
        </w:tc>
        <w:tc>
          <w:tcPr>
            <w:tcMar>
              <w:top w:type="dxa" w:w="60"/>
              <w:left w:type="dxa" w:w="100"/>
              <w:bottom w:type="dxa" w:w="60"/>
              <w:right w:type="dxa" w:w="100"/>
            </w:tcMar>
          </w:tcPr>
          <w:p>
            <w:pPr>
              <w:spacing w:after="0"/>
            </w:pPr>
            <w:r>
              <w:t xml:space="preserve">the values share no parent but belong together; `\</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 or </w:t>
            </w:r>
            <w:r>
              <w:t xml:space="preserve">,` both separate</w:t>
            </w:r>
          </w:p>
        </w:tc>
      </w:tr>
    </w:tbl>
    <w:p>
      <w:pPr>
        <w:spacing w:after="160"/>
      </w:pPr>
    </w:p>
    <w:p>
      <w:pPr>
        <w:spacing w:after="140"/>
        <w:ind w:left="360"/>
      </w:pPr>
      <w:r>
        <w:t xml:space="preserve">The first is the one to reach for: a list has to be revisited every time the product hierarchy gains a value, and a parent level does not. A list is read as a whole value first, so a value that genuinely contains a comma (</w:t>
      </w:r>
      <w:r>
        <w:rPr>
          <w:rFonts w:ascii="Consolas" w:cs="Consolas" w:eastAsia="Consolas" w:hAnsi="Consolas"/>
          <w:shd w:fill="F2F1ED" w:val="clear"/>
        </w:rPr>
        <w:t xml:space="preserve">Hong Kong, China</w:t>
      </w:r>
      <w:r>
        <w:t xml:space="preserve">) still matches itself.</w:t>
      </w:r>
    </w:p>
    <w:p>
      <w:pPr>
        <w:spacing w:after="140"/>
        <w:ind w:left="360"/>
      </w:pPr>
      <w:r>
        <w:rPr>
          <w:b/>
          <w:bCs/>
        </w:rPr>
        <w:t xml:space="preserve">A value spelt wrong in a list is the quiet case</w:t>
      </w:r>
      <w:r>
        <w:t xml:space="preserve">, and so it is reported. The other values still match, so rows remain and the tile shows a perfectly plausible figure — it is simply out by whatever the misspelt one was worth. The ingest report names it: </w:t>
      </w:r>
      <w:r>
        <w:rPr>
          <w:i/>
          <w:iCs/>
        </w:rPr>
        <w:t xml:space="preserve">"Banking NII (IWPB): 1 of the 3 values in Product_Level_7 matches no row here — "Insurance Manufactring" — those rows are not taken out, so Banking NII is out by whatever they are worth."</w:t>
      </w:r>
    </w:p>
    <w:p>
      <w:pPr>
        <w:spacing w:after="140"/>
        <w:ind w:left="360"/>
      </w:pPr>
      <w:r>
        <w:rPr>
          <w:b/>
          <w:bCs/>
        </w:rPr>
        <w:t xml:space="preserve">Banking NII, as the global dataset actually files it.</w:t>
      </w:r>
      <w:r>
        <w:t xml:space="preserve"> The insurance piece of NII is not a MICA line of its own — it is the </w:t>
      </w:r>
      <w:r>
        <w:rPr>
          <w:i/>
          <w:iCs/>
        </w:rPr>
        <w:t xml:space="preserve">same</w:t>
      </w:r>
      <w:r>
        <w:t xml:space="preserve"> </w:t>
      </w:r>
      <w:r>
        <w:rPr>
          <w:rFonts w:ascii="Consolas" w:cs="Consolas" w:eastAsia="Consolas" w:hAnsi="Consolas"/>
          <w:shd w:fill="F2F1ED" w:val="clear"/>
        </w:rPr>
        <w:t xml:space="preserve">NII - Net Interest Income</w:t>
      </w:r>
      <w:r>
        <w:t xml:space="preserve"> line, filed under </w:t>
      </w:r>
      <w:r>
        <w:rPr>
          <w:rFonts w:ascii="Consolas" w:cs="Consolas" w:eastAsia="Consolas" w:hAnsi="Consolas"/>
          <w:shd w:fill="F2F1ED" w:val="clear"/>
        </w:rPr>
        <w:t xml:space="preserve">Product_Level_7 = Insurance Manufacturing</w:t>
      </w:r>
      <w:r>
        <w:t xml:space="preserve">. So Banking NII is that line less those rows, and the Definitions tab says exactly that:</w:t>
      </w:r>
    </w:p>
    <w:p>
      <w:pPr>
        <w:shd w:fill="F2F1ED" w:val="clear"/>
        <w:spacing w:after="0"/>
      </w:pPr>
      <w:r>
        <w:rPr>
          <w:rFonts w:ascii="Consolas" w:cs="Consolas" w:eastAsia="Consolas" w:hAnsi="Consolas"/>
          <w:sz w:val="18"/>
          <w:szCs w:val="18"/>
        </w:rPr>
        <w:t xml:space="preserve">Calculation | Business | Line                      | Include | MICA level   | Product Level</w:t>
      </w:r>
    </w:p>
    <w:p>
      <w:pPr>
        <w:shd w:fill="F2F1ED" w:val="clear"/>
        <w:spacing w:after="0"/>
      </w:pPr>
      <w:r>
        <w:rPr>
          <w:rFonts w:ascii="Consolas" w:cs="Consolas" w:eastAsia="Consolas" w:hAnsi="Consolas"/>
          <w:sz w:val="18"/>
          <w:szCs w:val="18"/>
        </w:rPr>
        <w:t xml:space="preserve">Banking NII | IWPB     | NII - Net Interest Income |    +    | MICA_Level_3 |</w:t>
      </w:r>
    </w:p>
    <w:p>
      <w:pPr>
        <w:shd w:fill="F2F1ED" w:val="clear"/>
        <w:spacing w:after="0"/>
      </w:pPr>
      <w:r>
        <w:rPr>
          <w:rFonts w:ascii="Consolas" w:cs="Consolas" w:eastAsia="Consolas" w:hAnsi="Consolas"/>
          <w:sz w:val="18"/>
          <w:szCs w:val="18"/>
        </w:rPr>
        <w:t xml:space="preserve">Banking NII | IWPB     | NII - Net Interest Income |    −    | MICA_Level_3 | Product_Level_7 = Insurance Manufacturing</w:t>
      </w:r>
    </w:p>
    <w:p>
      <w:pPr>
        <w:spacing w:after="120"/>
      </w:pPr>
    </w:p>
    <w:p>
      <w:pPr>
        <w:spacing w:after="140"/>
        <w:ind w:left="360"/>
      </w:pPr>
      <w:r>
        <w:t xml:space="preserve">Because those rows sit </w:t>
      </w:r>
      <w:r>
        <w:rPr>
          <w:b/>
          <w:bCs/>
        </w:rPr>
        <w:t xml:space="preserve">inside</w:t>
      </w:r>
      <w:r>
        <w:t xml:space="preserve"> the base, they are removed from the selection rather than deducted — no </w:t>
      </w:r>
      <w:r>
        <w:rPr>
          <w:rFonts w:ascii="Consolas" w:cs="Consolas" w:eastAsia="Consolas" w:hAnsi="Consolas"/>
          <w:shd w:fill="F2F1ED" w:val="clear"/>
        </w:rPr>
        <w:t xml:space="preserve">less</w:t>
      </w:r>
      <w:r>
        <w:t xml:space="preserve"> row is created, which is the cleaner of the two readings. On the shipped </w:t>
      </w:r>
      <w:r>
        <w:rPr>
          <w:rFonts w:ascii="Consolas" w:cs="Consolas" w:eastAsia="Consolas" w:hAnsi="Consolas"/>
          <w:shd w:fill="F2F1ED" w:val="clear"/>
        </w:rPr>
        <w:t xml:space="preserve">IWPB_SG_InsMfg_Shape</w:t>
      </w:r>
      <w:r>
        <w:t xml:space="preserve"> fixture this gives 1,760 less (536) = </w:t>
      </w:r>
      <w:r>
        <w:rPr>
          <w:b/>
          <w:bCs/>
        </w:rPr>
        <w:t xml:space="preserve">2,296</w:t>
      </w:r>
      <w:r>
        <w:t xml:space="preserve">, and Singapore on its own reads 1,100 less (396) = </w:t>
      </w:r>
      <w:r>
        <w:rPr>
          <w:b/>
          <w:bCs/>
        </w:rPr>
        <w:t xml:space="preserve">1,496</w:t>
      </w:r>
      <w:r>
        <w:t xml:space="preserve">, with each country's carve-out landing in that country. </w:t>
      </w:r>
      <w:r>
        <w:rPr>
          <w:rFonts w:ascii="Consolas" w:cs="Consolas" w:eastAsia="Consolas" w:hAnsi="Consolas"/>
          <w:shd w:fill="F2F1ED" w:val="clear"/>
        </w:rPr>
        <w:t xml:space="preserve">IWPB_Global_config_pack.xlsx</w:t>
      </w:r>
      <w:r>
        <w:t xml:space="preserve"> ships with these rows already in place; </w:t>
      </w:r>
      <w:r>
        <w:rPr>
          <w:rFonts w:ascii="Consolas" w:cs="Consolas" w:eastAsia="Consolas" w:hAnsi="Consolas"/>
          <w:shd w:fill="F2F1ED" w:val="clear"/>
        </w:rPr>
        <w:t xml:space="preserve">Group_dashboard_config_pack.xlsx</w:t>
      </w:r>
      <w:r>
        <w:t xml:space="preserve"> keeps the simpler Revenue-based form the other sample files reconcile against.</w:t>
      </w:r>
    </w:p>
    <w:p>
      <w:pPr>
        <w:spacing w:after="140"/>
        <w:ind w:left="360"/>
      </w:pPr>
      <w:r>
        <w:rPr>
          <w:b/>
          <w:bCs/>
        </w:rPr>
        <w:t xml:space="preserve">What a tile prints above its figure.</w:t>
      </w:r>
      <w:r>
        <w:t xml:space="preserve"> The page header already names the period and the scope, so a tile repeating </w:t>
      </w:r>
      <w:r>
        <w:rPr>
          <w:i/>
          <w:iCs/>
        </w:rPr>
        <w:t xml:space="preserve">JUN YTD</w:t>
      </w:r>
      <w:r>
        <w:t xml:space="preserve"> on every card is noise. What it must always say is its </w:t>
      </w:r>
      <w:r>
        <w:rPr>
          <w:b/>
          <w:bCs/>
        </w:rPr>
        <w:t xml:space="preserve">unit</w:t>
      </w:r>
      <w:r>
        <w:t xml:space="preserve">, because that is the one thing the header cannot say for it — the cards are not all in the same unit, and a balance in billions sitting beside a result in millions has to be told apart at a glance. </w:t>
      </w:r>
      <w:r>
        <w:rPr>
          <w:rFonts w:ascii="Consolas" w:cs="Consolas" w:eastAsia="Consolas" w:hAnsi="Consolas"/>
          <w:shd w:fill="F2F1ED" w:val="clear"/>
        </w:rPr>
        <w:t xml:space="preserve">tile_unit_label</w:t>
      </w:r>
      <w:r>
        <w:t xml:space="preserve"> chooses: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Setting</w:t>
            </w:r>
          </w:p>
        </w:tc>
        <w:tc>
          <w:tcPr>
            <w:shd w:fill="F7E9EA" w:val="clear"/>
            <w:tcMar>
              <w:top w:type="dxa" w:w="60"/>
              <w:left w:type="dxa" w:w="100"/>
              <w:bottom w:type="dxa" w:w="60"/>
              <w:right w:type="dxa" w:w="100"/>
            </w:tcMar>
          </w:tcPr>
          <w:p>
            <w:r>
              <w:rPr>
                <w:b/>
                <w:bCs/>
                <w:color w:val="DB0011"/>
              </w:rPr>
              <w:t xml:space="preserve">A tile reads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unit</w:t>
            </w:r>
            <w:r>
              <w:t xml:space="preserve"> </w:t>
            </w:r>
            <w:r>
              <w:rPr>
                <w:i/>
                <w:iCs/>
              </w:rPr>
              <w:t xml:space="preserve">(default)</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US$m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period</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JUN YTD · US$m</w:t>
            </w:r>
            <w:r>
              <w:t xml:space="preserve"> — the older form</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off</w:t>
            </w:r>
          </w:p>
        </w:tc>
        <w:tc>
          <w:tcPr>
            <w:tcMar>
              <w:top w:type="dxa" w:w="60"/>
              <w:left w:type="dxa" w:w="100"/>
              <w:bottom w:type="dxa" w:w="60"/>
              <w:right w:type="dxa" w:w="100"/>
            </w:tcMar>
          </w:tcPr>
          <w:p>
            <w:pPr>
              <w:spacing w:after="0"/>
            </w:pPr>
            <w:r>
              <w:t xml:space="preserve">no label at all</w:t>
            </w:r>
          </w:p>
        </w:tc>
      </w:tr>
    </w:tbl>
    <w:p>
      <w:pPr>
        <w:spacing w:after="160"/>
      </w:pPr>
    </w:p>
    <w:p>
      <w:pPr>
        <w:spacing w:after="140"/>
        <w:ind w:left="360"/>
      </w:pPr>
      <w:r>
        <w:rPr>
          <w:b/>
          <w:bCs/>
        </w:rPr>
        <w:t xml:space="preserve">Where `US$m`, `US$bn` and `%` come from</w:t>
      </w:r>
      <w:r>
        <w:t xml:space="preserve">, in the order the page asks:</w:t>
      </w:r>
    </w:p>
    <w:p>
      <w:pPr>
        <w:spacing w:after="140"/>
        <w:ind w:left="360"/>
      </w:pPr>
      <w:r>
        <w:t xml:space="preserve">1. the </w:t>
      </w:r>
      <w:r>
        <w:rPr>
          <w:b/>
          <w:bCs/>
        </w:rPr>
        <w:t xml:space="preserve">`Unit` column on the Tiles tab</w:t>
      </w:r>
      <w:r>
        <w:t xml:space="preserve">, beside the tile it belongs to — the most direct thing a pack can say, and it speaks over everything below; 2. the </w:t>
      </w:r>
      <w:r>
        <w:rPr>
          <w:b/>
          <w:bCs/>
        </w:rPr>
        <w:t xml:space="preserve">`Unit` column on the Rollup tab</w:t>
      </w:r>
      <w:r>
        <w:t xml:space="preserve">, which declares a line's unit wherever that line appears; 3. the </w:t>
      </w:r>
      <w:r>
        <w:rPr>
          <w:b/>
          <w:bCs/>
        </w:rPr>
        <w:t xml:space="preserve">extract's own `Unit` column</w:t>
      </w:r>
      <w:r>
        <w:t xml:space="preserve">, where the file states it per row; 4. failing all three, the convention: </w:t>
      </w:r>
      <w:r>
        <w:rPr>
          <w:rFonts w:ascii="Consolas" w:cs="Consolas" w:eastAsia="Consolas" w:hAnsi="Consolas"/>
          <w:shd w:fill="F2F1ED" w:val="clear"/>
        </w:rPr>
        <w:t xml:space="preserve">unit_label</w:t>
      </w:r>
      <w:r>
        <w:t xml:space="preserve"> (default </w:t>
      </w:r>
      <w:r>
        <w:rPr>
          <w:rFonts w:ascii="Consolas" w:cs="Consolas" w:eastAsia="Consolas" w:hAnsi="Consolas"/>
          <w:shd w:fill="F2F1ED" w:val="clear"/>
        </w:rPr>
        <w:t xml:space="preserve">US$m</w:t>
      </w:r>
      <w:r>
        <w:t xml:space="preserve">) for a result, </w:t>
      </w:r>
      <w:r>
        <w:rPr>
          <w:rFonts w:ascii="Consolas" w:cs="Consolas" w:eastAsia="Consolas" w:hAnsi="Consolas"/>
          <w:shd w:fill="F2F1ED" w:val="clear"/>
        </w:rPr>
        <w:t xml:space="preserve">bs_unit</w:t>
      </w:r>
      <w:r>
        <w:t xml:space="preserve"> (default </w:t>
      </w:r>
      <w:r>
        <w:rPr>
          <w:rFonts w:ascii="Consolas" w:cs="Consolas" w:eastAsia="Consolas" w:hAnsi="Consolas"/>
          <w:shd w:fill="F2F1ED" w:val="clear"/>
        </w:rPr>
        <w:t xml:space="preserve">bn</w:t>
      </w:r>
      <w:r>
        <w:t xml:space="preserve">) for a balance, </w:t>
      </w:r>
      <w:r>
        <w:rPr>
          <w:rFonts w:ascii="Consolas" w:cs="Consolas" w:eastAsia="Consolas" w:hAnsi="Consolas"/>
          <w:shd w:fill="F2F1ED" w:val="clear"/>
        </w:rPr>
        <w:t xml:space="preserve">%</w:t>
      </w:r>
      <w:r>
        <w:t xml:space="preserve"> for a line matching </w:t>
      </w:r>
      <w:r>
        <w:rPr>
          <w:rFonts w:ascii="Consolas" w:cs="Consolas" w:eastAsia="Consolas" w:hAnsi="Consolas"/>
          <w:shd w:fill="F2F1ED" w:val="clear"/>
        </w:rPr>
        <w:t xml:space="preserve">ratio_patterns</w:t>
      </w:r>
      <w:r>
        <w:t xml:space="preserve">, and a plain number for one matching </w:t>
      </w:r>
      <w:r>
        <w:rPr>
          <w:rFonts w:ascii="Consolas" w:cs="Consolas" w:eastAsia="Consolas" w:hAnsi="Consolas"/>
          <w:shd w:fill="F2F1ED" w:val="clear"/>
        </w:rPr>
        <w:t xml:space="preserve">count_patterns</w:t>
      </w:r>
      <w:r>
        <w:t xml:space="preserve">.</w:t>
      </w:r>
    </w:p>
    <w:p>
      <w:pPr>
        <w:spacing w:after="140"/>
        <w:ind w:left="360"/>
      </w:pPr>
      <w:r>
        <w:t xml:space="preserve">Writing </w:t>
      </w:r>
      <w:r>
        <w:rPr>
          <w:rFonts w:ascii="Consolas" w:cs="Consolas" w:eastAsia="Consolas" w:hAnsi="Consolas"/>
          <w:shd w:fill="F2F1ED" w:val="clear"/>
        </w:rPr>
        <w:t xml:space="preserve">US$bn</w:t>
      </w:r>
      <w:r>
        <w:t xml:space="preserve"> beside </w:t>
      </w:r>
      <w:r>
        <w:rPr>
          <w:rFonts w:ascii="Consolas" w:cs="Consolas" w:eastAsia="Consolas" w:hAnsi="Consolas"/>
          <w:shd w:fill="F2F1ED" w:val="clear"/>
        </w:rPr>
        <w:t xml:space="preserve">Revenue</w:t>
      </w:r>
      <w:r>
        <w:t xml:space="preserve"> on the Tiles tab restates that tile and labels it: 2,967 US$m is printed as </w:t>
      </w:r>
      <w:r>
        <w:rPr>
          <w:b/>
          <w:bCs/>
        </w:rPr>
        <w:t xml:space="preserve">3.0 US$bn</w:t>
      </w:r>
      <w:r>
        <w:t xml:space="preserve">. Nothing else moves.</w:t>
      </w:r>
    </w:p>
    <w:p>
      <w:pPr>
        <w:spacing w:after="140"/>
        <w:ind w:left="360"/>
      </w:pPr>
      <w:r>
        <w:rPr>
          <w:b/>
          <w:bCs/>
        </w:rPr>
        <w:t xml:space="preserve">A headcount is a count, not a ratio.</w:t>
      </w:r>
      <w:r>
        <w:t xml:space="preserve"> The shipped packs listed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under </w:t>
      </w:r>
      <w:r>
        <w:rPr>
          <w:rFonts w:ascii="Consolas" w:cs="Consolas" w:eastAsia="Consolas" w:hAnsi="Consolas"/>
          <w:shd w:fill="F2F1ED" w:val="clear"/>
        </w:rPr>
        <w:t xml:space="preserve">ratio_patterns</w:t>
      </w:r>
      <w:r>
        <w:t xml:space="preserve">, so an FTE tile was labelled </w:t>
      </w:r>
      <w:r>
        <w:rPr>
          <w:rFonts w:ascii="Consolas" w:cs="Consolas" w:eastAsia="Consolas" w:hAnsi="Consolas"/>
          <w:shd w:fill="F2F1ED" w:val="clear"/>
        </w:rPr>
        <w:t xml:space="preserve">%</w:t>
      </w:r>
      <w:r>
        <w:t xml:space="preserve"> while printing 1,286. Those names live in </w:t>
      </w:r>
      <w:r>
        <w:rPr>
          <w:rFonts w:ascii="Consolas" w:cs="Consolas" w:eastAsia="Consolas" w:hAnsi="Consolas"/>
          <w:shd w:fill="F2F1ED" w:val="clear"/>
        </w:rPr>
        <w:t xml:space="preserve">count_patterns</w:t>
      </w:r>
      <w:r>
        <w:t xml:space="preserve"> now, where they belong; </w:t>
      </w:r>
      <w:r>
        <w:rPr>
          <w:rFonts w:ascii="Consolas" w:cs="Consolas" w:eastAsia="Consolas" w:hAnsi="Consolas"/>
          <w:shd w:fill="F2F1ED" w:val="clear"/>
        </w:rPr>
        <w:t xml:space="preserve">ratio_patterns</w:t>
      </w:r>
      <w:r>
        <w:t xml:space="preserve"> keeps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and </w:t>
      </w:r>
      <w:r>
        <w:rPr>
          <w:rFonts w:ascii="Consolas" w:cs="Consolas" w:eastAsia="Consolas" w:hAnsi="Consolas"/>
          <w:shd w:fill="F2F1ED" w:val="clear"/>
        </w:rPr>
        <w:t xml:space="preserve">ratio</w:t>
      </w:r>
      <w:r>
        <w:t xml:space="preserve">.</w:t>
      </w:r>
    </w:p>
    <w:p>
      <w:pPr>
        <w:spacing w:after="140"/>
        <w:ind w:left="360"/>
      </w:pPr>
      <w:r>
        <w:rPr>
          <w:b/>
          <w:bCs/>
        </w:rPr>
        <w:t xml:space="preserve">A large extract is read once, a tab at a time.</w:t>
      </w:r>
      <w:r>
        <w:t xml:space="preserve"> The page used to read the whole workbook twice over: once at the door, to tell a configuration pack from a data extract, and again to ingest it. On a global extract — a dozen country tabs, a million cells — that is the entire parse cost paid twice, in two unbroken blocks, and the browser answers with </w:t>
      </w:r>
      <w:r>
        <w:rPr>
          <w:i/>
          <w:iCs/>
        </w:rPr>
        <w:t xml:space="preserve">"This page isn't responding"</w:t>
      </w:r>
      <w:r>
        <w:t xml:space="preserve">. Three things changed:</w:t>
      </w:r>
    </w:p>
    <w:p>
      <w:pPr>
        <w:spacing w:after="140"/>
        <w:ind w:left="360"/>
      </w:pPr>
      <w:r>
        <w:t xml:space="preserve">- the door reads the sheet </w:t>
      </w:r>
      <w:r>
        <w:rPr>
          <w:b/>
          <w:bCs/>
        </w:rPr>
        <w:t xml:space="preserve">names</w:t>
      </w:r>
      <w:r>
        <w:t xml:space="preserve"> and the first data tab, not the whole book, which is the only part the question turns on; - the ingest reads </w:t>
      </w:r>
      <w:r>
        <w:rPr>
          <w:b/>
          <w:bCs/>
        </w:rPr>
        <w:t xml:space="preserve">one tab at a time</w:t>
      </w:r>
      <w:r>
        <w:t xml:space="preserve">, with a breath between each, and says where it is — </w:t>
      </w:r>
      <w:r>
        <w:rPr>
          <w:i/>
          <w:iCs/>
        </w:rPr>
        <w:t xml:space="preserve">"Reading … tab 4 of 11 — IWPB Australia"</w:t>
      </w:r>
      <w:r>
        <w:t xml:space="preserve">. The work after the tabs — merging them, looking for duplicates, writing the report — is broken up the same way; - SheetJS is told not to build formatted text, a style record and a number format for every cell. The page reads raw values and never used them.</w:t>
      </w:r>
    </w:p>
    <w:p>
      <w:pPr>
        <w:spacing w:after="140"/>
        <w:ind w:left="360"/>
      </w:pPr>
      <w:r>
        <w:t xml:space="preserve">On 21,780 rows across 11 country tabs the longest stretch the browser is held falls from </w:t>
      </w:r>
      <w:r>
        <w:rPr>
          <w:b/>
          <w:bCs/>
        </w:rPr>
        <w:t xml:space="preserve">51 seconds to 7.9</w:t>
      </w:r>
      <w:r>
        <w:t xml:space="preserve"> — under the threshold at which Chrome calls the page dead. The total is still around 53 seconds on a file that size: the parse itself is slow and still runs on the main thread, so the dialog stops but the wait does not. Moving the parse to a worker is the remaining step.</w:t>
      </w:r>
    </w:p>
    <w:p>
      <w:pPr>
        <w:spacing w:after="140"/>
        <w:ind w:left="360"/>
      </w:pPr>
      <w:r>
        <w:rPr>
          <w:b/>
          <w:bCs/>
        </w:rPr>
        <w:t xml:space="preserve">Switching country or business is instant again.</w:t>
      </w:r>
      <w:r>
        <w:t xml:space="preserve"> After ingest, three things a render leans on hardest were rebuilt from scratch on every call — and on a global file, one click could cost seconds:</w:t>
      </w:r>
    </w:p>
    <w:p>
      <w:pPr>
        <w:spacing w:after="140"/>
        <w:ind w:left="360"/>
      </w:pPr>
      <w:r>
        <w:t xml:space="preserve">- </w:t>
      </w:r>
      <w:r>
        <w:rPr>
          <w:b/>
          <w:bCs/>
        </w:rPr>
        <w:t xml:space="preserve">`filteredRows()`</w:t>
      </w:r>
      <w:r>
        <w:t xml:space="preserve"> — the rows the current scope holds — is asked for fifty-odd times over one render. It re-filtered the whole file every single time, even for the same scope asked a moment before. It is now cached against everything that decides its answer — the loaded file, the active filters, breakdown mode, </w:t>
      </w:r>
      <w:r>
        <w:rPr>
          <w:rFonts w:ascii="Consolas" w:cs="Consolas" w:eastAsia="Consolas" w:hAnsi="Consolas"/>
          <w:shd w:fill="F2F1ED" w:val="clear"/>
        </w:rPr>
        <w:t xml:space="preserve">grain_reported</w:t>
      </w:r>
      <w:r>
        <w:t xml:space="preserve"> — so the same question within one scope is answered once. - </w:t>
      </w:r>
      <w:r>
        <w:rPr>
          <w:b/>
          <w:bCs/>
        </w:rPr>
        <w:t xml:space="preserve">`cfgMetricList()`</w:t>
      </w:r>
      <w:r>
        <w:t xml:space="preserve"> — every named calculation, read off the Definitions and Metrics tabs — rebuilt fresh new objects on every call, which meant nothing that cached </w:t>
      </w:r>
      <w:r>
        <w:rPr>
          <w:i/>
          <w:iCs/>
        </w:rPr>
        <w:t xml:space="preserve">against</w:t>
      </w:r>
      <w:r>
        <w:t xml:space="preserve"> those objects could ever recognise the same question twice.</w:t>
      </w:r>
    </w:p>
    <w:p>
      <w:pPr>
        <w:spacing w:after="140"/>
        <w:ind w:left="360"/>
      </w:pPr>
      <w:r>
        <w:t xml:space="preserve">It is now rebuilt only when the configuration actually changes. - </w:t>
      </w:r>
      <w:r>
        <w:rPr>
          <w:b/>
          <w:bCs/>
        </w:rPr>
        <w:t xml:space="preserve">`metricRows()`</w:t>
      </w:r>
      <w:r>
        <w:t xml:space="preserve"> — which rows answer a given calculation — is asked for the same calculation many times over one render: once for its tile, again for the tooltip, again in Business performance. With the two caches above making its inputs stable, it now caches its own answer per (calculation, scope) pair instead of rescanning the file each time.</w:t>
      </w:r>
    </w:p>
    <w:p>
      <w:pPr>
        <w:spacing w:after="140"/>
        <w:ind w:left="360"/>
      </w:pPr>
      <w:r>
        <w:t xml:space="preserve">On a 21,780-row file with one calculated metric (Banking NII) declared, switching from the full file to one country used to cost </w:t>
      </w:r>
      <w:r>
        <w:rPr>
          <w:b/>
          <w:bCs/>
        </w:rPr>
        <w:t xml:space="preserve">3.7–4.9 seconds</w:t>
      </w:r>
      <w:r>
        <w:t xml:space="preserve"> — the visible cause of </w:t>
      </w:r>
      <w:r>
        <w:rPr>
          <w:i/>
          <w:iCs/>
        </w:rPr>
        <w:t xml:space="preserve">"opening and reading tab sheet has become extremely slow"</w:t>
      </w:r>
      <w:r>
        <w:t xml:space="preserve">. It now costs </w:t>
      </w:r>
      <w:r>
        <w:rPr>
          <w:b/>
          <w:bCs/>
        </w:rPr>
        <w:t xml:space="preserve">240–290 ms</w:t>
      </w:r>
      <w:r>
        <w:t xml:space="preserve"> for a single country and </w:t>
      </w:r>
      <w:r>
        <w:rPr>
          <w:b/>
          <w:bCs/>
        </w:rPr>
        <w:t xml:space="preserve">around 1.2 seconds</w:t>
      </w:r>
      <w:r>
        <w:t xml:space="preserve"> to go back to the whole file. Nothing about what a figure reads has changed — every check that exercises Banking NII, roll-up, units, grain, or a second file loaded after the first, passes unchanged; a new one (</w:t>
      </w:r>
      <w:r>
        <w:rPr>
          <w:rFonts w:ascii="Consolas" w:cs="Consolas" w:eastAsia="Consolas" w:hAnsi="Consolas"/>
          <w:shd w:fill="F2F1ED" w:val="clear"/>
        </w:rPr>
        <w:t xml:space="preserve">check_frcache</w:t>
      </w:r>
      <w:r>
        <w:t xml:space="preserve">) exists solely to prove that loading a second, different file is never answered from the first file's cached rows.</w:t>
      </w:r>
    </w:p>
    <w:p>
      <w:pPr>
        <w:spacing w:after="140"/>
        <w:ind w:left="360"/>
      </w:pPr>
      <w:r>
        <w:rPr>
          <w:b/>
          <w:bCs/>
        </w:rPr>
        <w:t xml:space="preserve">A tab keeps its business even when its country is not in the hierarchy.</w:t>
      </w:r>
      <w:r>
        <w:t xml:space="preserve"> A tab named </w:t>
      </w:r>
      <w:r>
        <w:rPr>
          <w:rFonts w:ascii="Consolas" w:cs="Consolas" w:eastAsia="Consolas" w:hAnsi="Consolas"/>
          <w:shd w:fill="F2F1ED" w:val="clear"/>
        </w:rPr>
        <w:t xml:space="preserve">IWPB HK ex HASE</w:t>
      </w:r>
      <w:r>
        <w:t xml:space="preserve">, against a </w:t>
      </w:r>
      <w:r>
        <w:rPr>
          <w:rFonts w:ascii="Consolas" w:cs="Consolas" w:eastAsia="Consolas" w:hAnsi="Consolas"/>
          <w:shd w:fill="F2F1ED" w:val="clear"/>
        </w:rPr>
        <w:t xml:space="preserve">CountryHierarchy</w:t>
      </w:r>
      <w:r>
        <w:t xml:space="preserve"> that lists </w:t>
      </w:r>
      <w:r>
        <w:rPr>
          <w:rFonts w:ascii="Consolas" w:cs="Consolas" w:eastAsia="Consolas" w:hAnsi="Consolas"/>
          <w:shd w:fill="F2F1ED" w:val="clear"/>
        </w:rPr>
        <w:t xml:space="preserve">Singapore</w:t>
      </w:r>
      <w:r>
        <w:t xml:space="preserve"> and </w:t>
      </w:r>
      <w:r>
        <w:rPr>
          <w:rFonts w:ascii="Consolas" w:cs="Consolas" w:eastAsia="Consolas" w:hAnsi="Consolas"/>
          <w:shd w:fill="F2F1ED" w:val="clear"/>
        </w:rPr>
        <w:t xml:space="preserve">HASE</w:t>
      </w:r>
      <w:r>
        <w:t xml:space="preserve"> but no </w:t>
      </w:r>
      <w:r>
        <w:rPr>
          <w:rFonts w:ascii="Consolas" w:cs="Consolas" w:eastAsia="Consolas" w:hAnsi="Consolas"/>
          <w:shd w:fill="F2F1ED" w:val="clear"/>
        </w:rPr>
        <w:t xml:space="preserve">HK ex HASE</w:t>
      </w:r>
      <w:r>
        <w:t xml:space="preserve">, used to lose the business altogether: the whole tab name became the country and the </w:t>
      </w:r>
      <w:r>
        <w:rPr>
          <w:rFonts w:ascii="Consolas" w:cs="Consolas" w:eastAsia="Consolas" w:hAnsi="Consolas"/>
          <w:shd w:fill="F2F1ED" w:val="clear"/>
        </w:rPr>
        <w:t xml:space="preserve">Business</w:t>
      </w:r>
      <w:r>
        <w:t xml:space="preserve"> column was left blank. Every Definitions row written for </w:t>
      </w:r>
      <w:r>
        <w:rPr>
          <w:rFonts w:ascii="Consolas" w:cs="Consolas" w:eastAsia="Consolas" w:hAnsi="Consolas"/>
          <w:shd w:fill="F2F1ED" w:val="clear"/>
        </w:rPr>
        <w:t xml:space="preserve">IWPB</w:t>
      </w:r>
      <w:r>
        <w:t xml:space="preserve"> then skipped that tab </w:t>
      </w:r>
      <w:r>
        <w:rPr>
          <w:b/>
          <w:bCs/>
        </w:rPr>
        <w:t xml:space="preserve">in silence</w:t>
      </w:r>
      <w:r>
        <w:t xml:space="preserve">, and the metric simply read low — on a two-tab file, 1,496 where the answer was 2,296.</w:t>
      </w:r>
    </w:p>
    <w:p>
      <w:pPr>
        <w:spacing w:after="140"/>
        <w:ind w:left="360"/>
      </w:pPr>
      <w:r>
        <w:t xml:space="preserve">The business is now taken from the first word of the tab name where the hierarchy cannot place it, so the tab reads as </w:t>
      </w:r>
      <w:r>
        <w:rPr>
          <w:rFonts w:ascii="Consolas" w:cs="Consolas" w:eastAsia="Consolas" w:hAnsi="Consolas"/>
          <w:shd w:fill="F2F1ED" w:val="clear"/>
        </w:rPr>
        <w:t xml:space="preserve">IWPB</w:t>
      </w:r>
      <w:r>
        <w:t xml:space="preserve"> / </w:t>
      </w:r>
      <w:r>
        <w:rPr>
          <w:rFonts w:ascii="Consolas" w:cs="Consolas" w:eastAsia="Consolas" w:hAnsi="Consolas"/>
          <w:shd w:fill="F2F1ED" w:val="clear"/>
        </w:rPr>
        <w:t xml:space="preserve">HK ex HASE</w:t>
      </w:r>
      <w:r>
        <w:t xml:space="preserve">: attributed, and still listed under </w:t>
      </w:r>
      <w:r>
        <w:rPr>
          <w:b/>
          <w:bCs/>
        </w:rPr>
        <w:t xml:space="preserve">Unmapped</w:t>
      </w:r>
      <w:r>
        <w:t xml:space="preserve"> in the ingest report until a row is added to </w:t>
      </w:r>
      <w:r>
        <w:rPr>
          <w:rFonts w:ascii="Consolas" w:cs="Consolas" w:eastAsia="Consolas" w:hAnsi="Consolas"/>
          <w:shd w:fill="F2F1ED" w:val="clear"/>
        </w:rPr>
        <w:t xml:space="preserve">CountryHierarchy</w:t>
      </w:r>
      <w:r>
        <w:t xml:space="preserve"> to give it a region. Where a definition names a business the file genuinely does not carry, the tile says so rather than blaming a line — </w:t>
      </w:r>
      <w:r>
        <w:rPr>
          <w:i/>
          <w:iCs/>
        </w:rPr>
        <w:t xml:space="preserve">"it is written for "GBM", and no row here is that business — this file carries "IWPB""</w:t>
      </w:r>
      <w:r>
        <w:t xml:space="preserve">.</w:t>
      </w:r>
    </w:p>
    <w:p>
      <w:pPr>
        <w:spacing w:after="140"/>
        <w:ind w:left="360"/>
      </w:pPr>
      <w:r>
        <w:rPr>
          <w:b/>
          <w:bCs/>
        </w:rPr>
        <w:t xml:space="preserve">A calculation the file cannot produce keeps its place.</w:t>
      </w:r>
      <w:r>
        <w:t xml:space="preserve"> Naming a line the extract does not carry is an ordinary mistake — </w:t>
      </w:r>
      <w:r>
        <w:rPr>
          <w:rFonts w:ascii="Consolas" w:cs="Consolas" w:eastAsia="Consolas" w:hAnsi="Consolas"/>
          <w:shd w:fill="F2F1ED" w:val="clear"/>
        </w:rPr>
        <w:t xml:space="preserve">NII - Net Interest Income</w:t>
      </w:r>
      <w:r>
        <w:t xml:space="preserve"> against a file that heads it </w:t>
      </w:r>
      <w:r>
        <w:rPr>
          <w:rFonts w:ascii="Consolas" w:cs="Consolas" w:eastAsia="Consolas" w:hAnsi="Consolas"/>
          <w:shd w:fill="F2F1ED" w:val="clear"/>
        </w:rPr>
        <w:t xml:space="preserve">NII - Interest Income</w:t>
      </w:r>
      <w:r>
        <w:t xml:space="preserve"> is one word out — and the page must not answer it by removing the tile: a gap the reader cannot see is a gap they cannot question. No figure is invented, but the tile holds its place on the grid and says why, naming what the file does carry:</w:t>
      </w:r>
    </w:p>
    <w:p>
      <w:pPr>
        <w:pBdr>
          <w:left w:val="single" w:color="DB0011" w:sz="12" w:space="12"/>
        </w:pBdr>
        <w:spacing w:after="160" w:before="60"/>
        <w:ind w:left="360"/>
      </w:pPr>
      <w:r>
        <w:rPr>
          <w:b/>
          <w:bCs/>
          <w:i/>
          <w:iCs/>
        </w:rPr>
        <w:t xml:space="preserve">Banking NII</w:t>
      </w:r>
      <w:r>
        <w:rPr>
          <w:i/>
          <w:iCs/>
        </w:rPr>
        <w:t xml:space="preserve"> — no figure on this file </w:t>
      </w:r>
      <w:r>
        <w:rPr>
          <w:i/>
          <w:iCs/>
        </w:rPr>
        <w:t xml:space="preserve">"NII - Net Interest Income" is not a line at MICA_Level_3 here — the file carries "NII - Interest Income"</w:t>
      </w:r>
    </w:p>
    <w:p>
      <w:pPr>
        <w:spacing w:after="140"/>
        <w:ind w:left="360"/>
      </w:pPr>
      <w:r>
        <w:t xml:space="preserve">Names are compared as sets of words, so word order and punctuation do not defeat the suggestion, and a name with nothing in common offers nothing rather than a misleading guess. Where the line </w:t>
      </w:r>
      <w:r>
        <w:rPr>
          <w:b/>
          <w:bCs/>
        </w:rPr>
        <w:t xml:space="preserve">is</w:t>
      </w:r>
      <w:r>
        <w:t xml:space="preserve"> there and a </w:t>
      </w:r>
      <w:r>
        <w:rPr>
          <w:rFonts w:ascii="Consolas" w:cs="Consolas" w:eastAsia="Consolas" w:hAnsi="Consolas"/>
          <w:shd w:fill="F2F1ED" w:val="clear"/>
        </w:rPr>
        <w:t xml:space="preserve">Product Level</w:t>
      </w:r>
      <w:r>
        <w:t xml:space="preserve"> qualifier is the one thing keeping it out, the card says that instead — </w:t>
      </w:r>
      <w:r>
        <w:rPr>
          <w:i/>
          <w:iCs/>
        </w:rPr>
        <w:t xml:space="preserve">"NII - Interest Income" is here, but no row of it meets "Product_Level_7 = Wealth"</w:t>
      </w:r>
      <w:r>
        <w:t xml:space="preserve"> — because "line not found" would send the reader after the wrong thing.</w:t>
      </w:r>
    </w:p>
    <w:p>
      <w:pPr>
        <w:spacing w:after="140"/>
        <w:ind w:left="360"/>
      </w:pPr>
      <w:r>
        <w:t xml:space="preserve">The ingest report carries the same distinction: a component that merely fails to match leaves the total too big or too small and says so, while a definition </w:t>
      </w:r>
      <w:r>
        <w:rPr>
          <w:b/>
          <w:bCs/>
        </w:rPr>
        <w:t xml:space="preserve">none</w:t>
      </w:r>
      <w:r>
        <w:t xml:space="preserve"> of whose lines are in the file reads </w:t>
      </w:r>
      <w:r>
        <w:rPr>
          <w:i/>
          <w:iCs/>
        </w:rPr>
        <w:t xml:space="preserve">"nothing this definition names is in the file, so Banking NII has no figure here and no tile"</w:t>
      </w:r>
      <w:r>
        <w:t xml:space="preserve">.</w:t>
      </w:r>
    </w:p>
    <w:p>
      <w:pPr>
        <w:spacing w:after="140"/>
        <w:ind w:left="360"/>
      </w:pPr>
      <w:r>
        <w:rPr>
          <w:b/>
          <w:bCs/>
        </w:rPr>
        <w:t xml:space="preserve">What `−` does.</w:t>
      </w:r>
      <w:r>
        <w:t xml:space="preserve"> It reads as one sentence — </w:t>
      </w:r>
      <w:r>
        <w:rPr>
          <w:i/>
          <w:iCs/>
        </w:rPr>
        <w:t xml:space="preserve">the base, less that line</w:t>
      </w:r>
      <w:r>
        <w:t xml:space="preserve"> — and takes whichever of two forms the data calls for: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Where the line taken out sits</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b/>
                <w:bCs/>
              </w:rPr>
              <w:t xml:space="preserve">inside the base</w:t>
            </w:r>
            <w:r>
              <w:t xml:space="preserve"> — </w:t>
            </w:r>
            <w:r>
              <w:rPr>
                <w:rFonts w:ascii="Consolas" w:cs="Consolas" w:eastAsia="Consolas" w:hAnsi="Consolas"/>
                <w:shd w:fill="F2F1ED" w:val="clear"/>
              </w:rPr>
              <w:t xml:space="preserve">Net Insurance Revenue</w:t>
            </w:r>
            <w:r>
              <w:t xml:space="preserve"> carved out of </w:t>
            </w:r>
            <w:r>
              <w:rPr>
                <w:rFonts w:ascii="Consolas" w:cs="Consolas" w:eastAsia="Consolas" w:hAnsi="Consolas"/>
                <w:shd w:fill="F2F1ED" w:val="clear"/>
              </w:rPr>
              <w:t xml:space="preserve">Revenue</w:t>
            </w:r>
          </w:p>
        </w:tc>
        <w:tc>
          <w:tcPr>
            <w:tcMar>
              <w:top w:type="dxa" w:w="60"/>
              <w:left w:type="dxa" w:w="100"/>
              <w:bottom w:type="dxa" w:w="60"/>
              <w:right w:type="dxa" w:w="100"/>
            </w:tcMar>
          </w:tcPr>
          <w:p>
            <w:pPr>
              <w:spacing w:after="0"/>
            </w:pPr>
            <w:r>
              <w:t xml:space="preserve">its rows are </w:t>
            </w:r>
            <w:r>
              <w:rPr>
                <w:b/>
                <w:bCs/>
              </w:rPr>
              <w:t xml:space="preserve">removed from the selection</w:t>
            </w:r>
          </w:p>
        </w:tc>
      </w:tr>
      <w:tr>
        <w:tc>
          <w:tcPr>
            <w:tcMar>
              <w:top w:type="dxa" w:w="60"/>
              <w:left w:type="dxa" w:w="100"/>
              <w:bottom w:type="dxa" w:w="60"/>
              <w:right w:type="dxa" w:w="100"/>
            </w:tcMar>
          </w:tcPr>
          <w:p>
            <w:pPr>
              <w:spacing w:after="0"/>
            </w:pPr>
            <w:r>
              <w:rPr>
                <w:b/>
                <w:bCs/>
              </w:rPr>
              <w:t xml:space="preserve">outside the base</w:t>
            </w:r>
            <w:r>
              <w:t xml:space="preserve"> — the same line carved out of </w:t>
            </w:r>
            <w:r>
              <w:rPr>
                <w:rFonts w:ascii="Consolas" w:cs="Consolas" w:eastAsia="Consolas" w:hAnsi="Consolas"/>
                <w:shd w:fill="F2F1ED" w:val="clear"/>
              </w:rPr>
              <w:t xml:space="preserve">NII - Net Interest Income</w:t>
            </w:r>
          </w:p>
        </w:tc>
        <w:tc>
          <w:tcPr>
            <w:tcMar>
              <w:top w:type="dxa" w:w="60"/>
              <w:left w:type="dxa" w:w="100"/>
              <w:bottom w:type="dxa" w:w="60"/>
              <w:right w:type="dxa" w:w="100"/>
            </w:tcMar>
          </w:tcPr>
          <w:p>
            <w:pPr>
              <w:spacing w:after="0"/>
            </w:pPr>
            <w:r>
              <w:t xml:space="preserve">there is nothing to remove, so its </w:t>
            </w:r>
            <w:r>
              <w:rPr>
                <w:b/>
                <w:bCs/>
              </w:rPr>
              <w:t xml:space="preserve">value is subtracted</w:t>
            </w:r>
          </w:p>
        </w:tc>
      </w:tr>
    </w:tbl>
    <w:p>
      <w:pPr>
        <w:spacing w:after="160"/>
      </w:pPr>
    </w:p>
    <w:p>
      <w:pPr>
        <w:spacing w:after="140"/>
        <w:ind w:left="360"/>
      </w:pPr>
      <w:r>
        <w:t xml:space="preserve">Both give "the base less that line". The second is carried as rows of its own, named </w:t>
      </w:r>
      <w:r>
        <w:rPr>
          <w:rFonts w:ascii="Consolas" w:cs="Consolas" w:eastAsia="Consolas" w:hAnsi="Consolas"/>
          <w:shd w:fill="F2F1ED" w:val="clear"/>
        </w:rPr>
        <w:t xml:space="preserve">less &lt;line&gt;</w:t>
      </w:r>
      <w:r>
        <w:t xml:space="preserve">, so every figure downstream sums it exactly as it sums everything else and a drill-down shows it rather than hiding it. There is </w:t>
      </w:r>
      <w:r>
        <w:rPr>
          <w:b/>
          <w:bCs/>
        </w:rPr>
        <w:t xml:space="preserve">one such row per row it stands for</w:t>
      </w:r>
      <w:r>
        <w:t xml:space="preserve">, keeping that row's country, product and segment: a single lumped deduction would carry the first row's dimensions, so the total would still foot while every split by geography was wrong — the worst kind of error, because nothing looks amiss.</w:t>
      </w:r>
    </w:p>
    <w:p>
      <w:pPr>
        <w:spacing w:after="140"/>
        <w:ind w:left="360"/>
      </w:pPr>
      <w:r>
        <w:t xml:space="preserve">The ingest report says which form applied and what it was worth. Note that where the line removed is itself negative, "less" </w:t>
      </w:r>
      <w:r>
        <w:rPr>
          <w:b/>
          <w:bCs/>
        </w:rPr>
        <w:t xml:space="preserve">raises</w:t>
      </w:r>
      <w:r>
        <w:t xml:space="preserve"> the total — insurance at (396) taken out of NII of 1,100 gives 1,496 — which is arithmetic, not a fault.</w:t>
      </w:r>
    </w:p>
    <w:p>
      <w:pPr>
        <w:spacing w:after="140"/>
        <w:ind w:left="360"/>
      </w:pPr>
      <w:r>
        <w:rPr>
          <w:b/>
          <w:bCs/>
        </w:rPr>
        <w:t xml:space="preserve">A metric must equal what it says it is.</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tests that identity on the loaded file, per business: the metric's own rows against the line less the rows taken out. It is the identity that is checked, not the sizes, because where the line taken out is itself negative the metric </w:t>
      </w:r>
      <w:r>
        <w:rPr>
          <w:i/>
          <w:iCs/>
        </w:rPr>
        <w:t xml:space="preserve">should</w:t>
      </w:r>
      <w:r>
        <w:t xml:space="preserve"> come out above its base. Two things can be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What the report finds</w:t>
            </w:r>
          </w:p>
        </w:tc>
        <w:tc>
          <w:tcPr>
            <w:shd w:fill="F7E9EA" w:val="clear"/>
            <w:tcMar>
              <w:top w:type="dxa" w:w="60"/>
              <w:left w:type="dxa" w:w="100"/>
              <w:bottom w:type="dxa" w:w="60"/>
              <w:right w:type="dxa" w:w="100"/>
            </w:tcMar>
          </w:tcPr>
          <w:p>
            <w:r>
              <w:rPr>
                <w:b/>
                <w:bCs/>
                <w:color w:val="DB0011"/>
              </w:rPr>
              <w:t xml:space="preserve">What it says</w:t>
            </w:r>
          </w:p>
        </w:tc>
      </w:tr>
      <w:tr>
        <w:tc>
          <w:tcPr>
            <w:tcMar>
              <w:top w:type="dxa" w:w="60"/>
              <w:left w:type="dxa" w:w="100"/>
              <w:bottom w:type="dxa" w:w="60"/>
              <w:right w:type="dxa" w:w="100"/>
            </w:tcMar>
          </w:tcPr>
          <w:p>
            <w:pPr>
              <w:spacing w:after="0"/>
            </w:pPr>
            <w:r>
              <w:t xml:space="preserve">the identity fails</w:t>
            </w:r>
          </w:p>
        </w:tc>
        <w:tc>
          <w:tcPr>
            <w:tcMar>
              <w:top w:type="dxa" w:w="60"/>
              <w:left w:type="dxa" w:w="100"/>
              <w:bottom w:type="dxa" w:w="60"/>
              <w:right w:type="dxa" w:w="100"/>
            </w:tcMar>
          </w:tcPr>
          <w:p>
            <w:pPr>
              <w:spacing w:after="0"/>
            </w:pPr>
            <w:r>
              <w:rPr>
                <w:i/>
                <w:iCs/>
              </w:rPr>
              <w:t xml:space="preserve">"</w:t>
            </w:r>
            <w:r>
              <w:rPr>
                <w:i/>
                <w:iCs/>
              </w:rPr>
              <w:t xml:space="preserve">Banking NII (IWPB) reads 812 where Revenue less what it excludes is 750</w:t>
            </w:r>
            <w:r>
              <w:t xml:space="preserve">* — its selection reaches rows outside Revenue."*</w:t>
            </w:r>
          </w:p>
        </w:tc>
      </w:tr>
      <w:tr>
        <w:tc>
          <w:tcPr>
            <w:tcMar>
              <w:top w:type="dxa" w:w="60"/>
              <w:left w:type="dxa" w:w="100"/>
              <w:bottom w:type="dxa" w:w="60"/>
              <w:right w:type="dxa" w:w="100"/>
            </w:tcMar>
          </w:tcPr>
          <w:p>
            <w:pPr>
              <w:spacing w:after="0"/>
            </w:pPr>
            <w:r>
              <w:t xml:space="preserve">the identity holds, but the metric is above its base because the excluded line is negative</w:t>
            </w:r>
          </w:p>
        </w:tc>
        <w:tc>
          <w:tcPr>
            <w:tcMar>
              <w:top w:type="dxa" w:w="60"/>
              <w:left w:type="dxa" w:w="100"/>
              <w:bottom w:type="dxa" w:w="60"/>
              <w:right w:type="dxa" w:w="100"/>
            </w:tcMar>
          </w:tcPr>
          <w:p>
            <w:pPr>
              <w:spacing w:after="0"/>
            </w:pPr>
            <w:r>
              <w:rPr>
                <w:i/>
                <w:iCs/>
              </w:rPr>
              <w:t xml:space="preserve">"Banking NII (IWPB) reads 1,146, above Revenue at 750, because Net Insurance Revenue is itself negative at (396) — taking it out raises the total. The definition is doing what it says."</w:t>
            </w:r>
          </w:p>
        </w:tc>
      </w:tr>
    </w:tbl>
    <w:p>
      <w:pPr>
        <w:spacing w:after="160"/>
      </w:pPr>
    </w:p>
    <w:p>
      <w:pPr>
        <w:spacing w:after="140"/>
        <w:ind w:left="360"/>
      </w:pPr>
      <w:r>
        <w:t xml:space="preserve">The first is bold, because it is a fault to look into; the second is plain, because it is arithmetic and needs only to be understood.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2026-08-18T19:02:10.378Z</dcterms:created>
  <dcterms:modified xsi:type="dcterms:W3CDTF">2026-08-18T19:02:10.378Z</dcterms:modified>
</cp:coreProperties>
</file>

<file path=docProps/custom.xml><?xml version="1.0" encoding="utf-8"?>
<Properties xmlns="http://schemas.openxmlformats.org/officeDocument/2006/custom-properties" xmlns:vt="http://schemas.openxmlformats.org/officeDocument/2006/docPropsVTypes"/>
</file>