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t xml:space="preserve">Beneath the Management Commentary the Summary carries a </w:t>
      </w:r>
      <w:r>
        <w:rPr>
          <w:b/>
          <w:bCs/>
        </w:rPr>
        <w:t xml:space="preserve">Business performance</w:t>
      </w:r>
      <w:r>
        <w:t xml:space="preserve"> table — the consolidation shown as evidence, organised by tile: one column per KPI tile on the grid (Revenue, ECL, the cost lines…), the same names and the same netting, and one row per region under its business, a Global subtotal per business and the Group at the foot.</w:t>
      </w:r>
    </w:p>
    <w:p>
      <w:pPr>
        <w:spacing w:after="140"/>
      </w:pPr>
      <w:r>
        <w:t xml:space="preserve">In every column the regions visibly add to their Global line and the Global lines to the Group; a line a group defines no reading for (a per-business Definition it never wrote) shows a dash rather than a borrowed figure; rows no business mapping claims appear as an Unallocated line so the table always adds up. Balance-sheet tiles keep their own column in the balance unit as closing positions — never added into a P&amp;L column. The table reads the whole tree whatever geography is scoped elsewhere, and hides on a single-business file.</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2026-08-15T19:01:18.670Z</dcterms:created>
  <dcterms:modified xsi:type="dcterms:W3CDTF">2026-08-15T19:01:18.671Z</dcterms:modified>
</cp:coreProperties>
</file>

<file path=docProps/custom.xml><?xml version="1.0" encoding="utf-8"?>
<Properties xmlns="http://schemas.openxmlformats.org/officeDocument/2006/custom-properties" xmlns:vt="http://schemas.openxmlformats.org/officeDocument/2006/docPropsVTypes"/>
</file>