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 A </w:t>
      </w:r>
      <w:r>
        <w:rPr>
          <w:b/>
          <w:bCs/>
        </w:rPr>
        <w:t xml:space="preserve">Countries strip</w:t>
      </w:r>
      <w:r>
        <w:t xml:space="preserve"> appears in the left pane: a Region row — the sum of every country — then one row per country with its P&amp;L YTD and RAG; click a row to scope every page, chart, export and simulation to that country (the Country filter group mirrors the choice).</w:t>
      </w:r>
    </w:p>
    <w:p>
      <w:pPr>
        <w:spacing w:after="140"/>
      </w:pPr>
      <w:r>
        <w:t xml:space="preserve">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 Picking a country scopes the whole app (keeping the business-line scope), a clear row restores the wider scope, and scoping from anywhere else keeps the picker in sync.</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w:t>
      </w:r>
    </w:p>
    <w:p>
      <w:pPr>
        <w:spacing w:after="100"/>
        <w:ind w:left="360"/>
      </w:pPr>
      <w:r>
        <w:t xml:space="preserve">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Two figures that are demands rather than movements — the monthly run-rate a target needs, and the momentum of the last three months — say </w:t>
      </w:r>
      <w:r>
        <w:rPr>
          <w:b/>
          <w:bCs/>
        </w:rPr>
        <w:t xml:space="preserve">above</w:t>
      </w:r>
      <w:r>
        <w:t xml:space="preserve"> or </w:t>
      </w:r>
      <w:r>
        <w:rPr>
          <w:b/>
          <w:bCs/>
        </w:rPr>
        <w:t xml:space="preserve">below</w:t>
      </w:r>
      <w:r>
        <w:t xml:space="preserve"> the current pace in words and carry no favourability colour, because a bigger requirement is not a better or a worse result.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the unfavourable lines rank worst-first as decision cards, each with a severity flag, the variance as its headline impact figure (233A / +11.5%), and the inferences the data supports — position vs the basis, the full-year gap to target, and the run-rate the remaining months must average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run-rate,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required run-rate,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2026-08-14T03:40:18.502Z</dcterms:created>
  <dcterms:modified xsi:type="dcterms:W3CDTF">2026-08-14T03:40:18.502Z</dcterms:modified>
</cp:coreProperties>
</file>

<file path=docProps/custom.xml><?xml version="1.0" encoding="utf-8"?>
<Properties xmlns="http://schemas.openxmlformats.org/officeDocument/2006/custom-properties" xmlns:vt="http://schemas.openxmlformats.org/officeDocument/2006/docPropsVTypes"/>
</file>