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driller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 rows no business mapping claims appear as an Unallocated line, and rows whose region the hierarchy never mapped appear under their own </w:t>
      </w:r>
      <w:r>
        <w:rPr>
          <w:rFonts w:ascii="Consolas" w:cs="Consolas" w:eastAsia="Consolas" w:hAnsi="Consolas"/>
          <w:shd w:fill="F2F1ED" w:val="clear"/>
        </w:rPr>
        <w:t xml:space="preserve">(no region)</w:t>
      </w:r>
      <w:r>
        <w:t xml:space="preserve"> tier beside the named regions — never silently merged into a country line — so the table always adds up and any gap against the scoped tiles is visible.</w:t>
      </w:r>
    </w:p>
    <w:p>
      <w:pPr>
        <w:spacing w:after="140"/>
      </w:pPr>
      <w:r>
        <w:t xml:space="preserve">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driller's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2026-08-15T20:45:07.946Z</dcterms:created>
  <dcterms:modified xsi:type="dcterms:W3CDTF">2026-08-15T20:45:07.947Z</dcterms:modified>
</cp:coreProperties>
</file>

<file path=docProps/custom.xml><?xml version="1.0" encoding="utf-8"?>
<Properties xmlns="http://schemas.openxmlformats.org/officeDocument/2006/custom-properties" xmlns:vt="http://schemas.openxmlformats.org/officeDocument/2006/docPropsVTypes"/>
</file>