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TM1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TM1 extract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spacing w:after="140"/>
      </w:pPr>
      <w:r>
        <w:rPr>
          <w:b/>
          <w:bCs/>
        </w:rPr>
        <w:t xml:space="preserve">Two files, and nothing else.</w:t>
      </w:r>
      <w:r>
        <w:t xml:space="preserve"> The app reads the </w:t>
      </w:r>
      <w:r>
        <w:rPr>
          <w:b/>
          <w:bCs/>
        </w:rPr>
        <w:t xml:space="preserve">TM1 data extract</w:t>
      </w:r>
      <w:r>
        <w:t xml:space="preserve"> and the </w:t>
      </w:r>
      <w:r>
        <w:rPr>
          <w:b/>
          <w:bCs/>
        </w:rPr>
        <w:t xml:space="preserve">configuration pack</w:t>
      </w:r>
      <w:r>
        <w:t xml:space="preserve"> — no other file is ingested. Each is recognised by what is inside it rather than by where it was dropped: the pack dropped on the ingest page is named and refused, with a pointer to </w:t>
      </w:r>
      <w:r>
        <w:rPr>
          <w:i/>
          <w:iCs/>
        </w:rPr>
        <w:t xml:space="preserve">Configuration → Upload config</w:t>
      </w:r>
      <w:r>
        <w:t xml:space="preserve">, instead of being parsed as data; an extract picked at Upload config is refused instead of replacing every rule with nothing, and the configuration in force is left untouched. Anything that is neither — a Word document, a PDF, a workbook of notes — is turned away by name before a byte of it is parsed, and more than one file at a time is refused rather than half-read.</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TM1 extract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TM1 extract can carry </w:t>
      </w:r>
      <w:r>
        <w:rPr>
          <w:b/>
          <w:bCs/>
        </w:rPr>
        <w:t xml:space="preserve">one country per tab</w:t>
      </w:r>
      <w:r>
        <w:t xml:space="preserve">: every tab that parses as a TM1 extract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TM1 extract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spacing w:after="100"/>
        <w:ind w:left="360"/>
      </w:pPr>
      <w:r>
        <w:t xml:space="preserve">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 The trajectory's note is written under the chart on the page itself — the selected line's movement against its baseline, its strongest actual month and the outlook against target — so what the deck prints is what the screen already shows, and it can be edited and kept like any other commentary block before exporting.</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TM1 extract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which puts each tile in one of </w:t>
      </w:r>
      <w:r>
        <w:rPr>
          <w:b/>
          <w:bCs/>
        </w:rPr>
        <w:t xml:space="preserve">three states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rFonts w:ascii="Consolas" w:cs="Consolas" w:eastAsia="Consolas" w:hAnsi="Consolas"/>
                <w:b/>
                <w:bCs/>
                <w:color w:val="DB0011"/>
                <w:shd w:fill="F2F1ED" w:val="clear"/>
              </w:rPr>
              <w:t xml:space="preserve">Show</w:t>
            </w:r>
            <w:r>
              <w:rPr>
                <w:b/>
                <w:bCs/>
                <w:color w:val="DB0011"/>
              </w:rPr>
              <w:t xml:space="preserve"> cell</w:t>
            </w:r>
          </w:p>
        </w:tc>
        <w:tc>
          <w:tcPr>
            <w:shd w:fill="F7E9EA" w:val="clear"/>
            <w:tcMar>
              <w:top w:type="dxa" w:w="60"/>
              <w:left w:type="dxa" w:w="100"/>
              <w:bottom w:type="dxa" w:w="60"/>
              <w:right w:type="dxa" w:w="100"/>
            </w:tcMar>
          </w:tcPr>
          <w:p>
            <w:r>
              <w:rPr>
                <w:b/>
                <w:bCs/>
                <w:color w:val="DB0011"/>
              </w:rPr>
              <w:t xml:space="preserve">What happens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Y</w:t>
            </w:r>
            <w:r>
              <w:t xml:space="preserve"> (also </w:t>
            </w:r>
            <w:r>
              <w:rPr>
                <w:rFonts w:ascii="Consolas" w:cs="Consolas" w:eastAsia="Consolas" w:hAnsi="Consolas"/>
                <w:shd w:fill="F2F1ED" w:val="clear"/>
              </w:rPr>
              <w:t xml:space="preserve">Yes</w:t>
            </w:r>
            <w:r>
              <w:t xml:space="preserve">, </w:t>
            </w:r>
            <w:r>
              <w:rPr>
                <w:rFonts w:ascii="Consolas" w:cs="Consolas" w:eastAsia="Consolas" w:hAnsi="Consolas"/>
                <w:shd w:fill="F2F1ED" w:val="clear"/>
              </w:rPr>
              <w:t xml:space="preserve">Show</w:t>
            </w:r>
            <w:r>
              <w:t xml:space="preserve">, or blank)</w:t>
            </w:r>
          </w:p>
        </w:tc>
        <w:tc>
          <w:tcPr>
            <w:tcMar>
              <w:top w:type="dxa" w:w="60"/>
              <w:left w:type="dxa" w:w="100"/>
              <w:bottom w:type="dxa" w:w="60"/>
              <w:right w:type="dxa" w:w="100"/>
            </w:tcMar>
          </w:tcPr>
          <w:p>
            <w:pPr>
              <w:spacing w:after="0"/>
            </w:pPr>
            <w:r>
              <w:t xml:space="preserve">the tile is on the grid</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N</w:t>
            </w:r>
            <w:r>
              <w:t xml:space="preserve"> (also </w:t>
            </w:r>
            <w:r>
              <w:rPr>
                <w:rFonts w:ascii="Consolas" w:cs="Consolas" w:eastAsia="Consolas" w:hAnsi="Consolas"/>
                <w:shd w:fill="F2F1ED" w:val="clear"/>
              </w:rPr>
              <w:t xml:space="preserve">No</w:t>
            </w:r>
            <w:r>
              <w:t xml:space="preserve">, </w:t>
            </w:r>
            <w:r>
              <w:rPr>
                <w:rFonts w:ascii="Consolas" w:cs="Consolas" w:eastAsia="Consolas" w:hAnsi="Consolas"/>
                <w:shd w:fill="F2F1ED" w:val="clear"/>
              </w:rPr>
              <w:t xml:space="preserve">Hide</w:t>
            </w:r>
            <w:r>
              <w:t xml:space="preserve">, </w:t>
            </w:r>
            <w:r>
              <w:rPr>
                <w:rFonts w:ascii="Consolas" w:cs="Consolas" w:eastAsia="Consolas" w:hAnsi="Consolas"/>
                <w:shd w:fill="F2F1ED" w:val="clear"/>
              </w:rPr>
              <w:t xml:space="preserve">Park</w:t>
            </w:r>
            <w:r>
              <w:t xml:space="preserve">)</w:t>
            </w:r>
          </w:p>
        </w:tc>
        <w:tc>
          <w:tcPr>
            <w:tcMar>
              <w:top w:type="dxa" w:w="60"/>
              <w:left w:type="dxa" w:w="100"/>
              <w:bottom w:type="dxa" w:w="60"/>
              <w:right w:type="dxa" w:w="100"/>
            </w:tcMar>
          </w:tcPr>
          <w:p>
            <w:pPr>
              <w:spacing w:after="0"/>
            </w:pPr>
            <w:r>
              <w:rPr>
                <w:b/>
                <w:bCs/>
              </w:rPr>
              <w:t xml:space="preserve">parked</w:t>
            </w:r>
            <w:r>
              <w:t xml:space="preserve"> — off the grid, but the page offers </w:t>
            </w:r>
            <w:r>
              <w:rPr>
                <w:i/>
                <w:iCs/>
              </w:rPr>
              <w:t xml:space="preserve">"N hidden tiles — show"</w:t>
            </w:r>
            <w:r>
              <w:t xml:space="preserve"> and the reader can bring it back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X</w:t>
            </w:r>
            <w:r>
              <w:t xml:space="preserve"> (also </w:t>
            </w:r>
            <w:r>
              <w:rPr>
                <w:rFonts w:ascii="Consolas" w:cs="Consolas" w:eastAsia="Consolas" w:hAnsi="Consolas"/>
                <w:shd w:fill="F2F1ED" w:val="clear"/>
              </w:rPr>
              <w:t xml:space="preserve">Never</w:t>
            </w:r>
            <w:r>
              <w:t xml:space="preserve">, </w:t>
            </w:r>
            <w:r>
              <w:rPr>
                <w:rFonts w:ascii="Consolas" w:cs="Consolas" w:eastAsia="Consolas" w:hAnsi="Consolas"/>
                <w:shd w:fill="F2F1ED" w:val="clear"/>
              </w:rPr>
              <w:t xml:space="preserve">Off</w:t>
            </w:r>
            <w:r>
              <w:t xml:space="preserve">, </w:t>
            </w:r>
            <w:r>
              <w:rPr>
                <w:rFonts w:ascii="Consolas" w:cs="Consolas" w:eastAsia="Consolas" w:hAnsi="Consolas"/>
                <w:shd w:fill="F2F1ED" w:val="clear"/>
              </w:rPr>
              <w:t xml:space="preserve">Exclude</w:t>
            </w:r>
            <w:r>
              <w:t xml:space="preserve">, </w:t>
            </w:r>
            <w:r>
              <w:rPr>
                <w:rFonts w:ascii="Consolas" w:cs="Consolas" w:eastAsia="Consolas" w:hAnsi="Consolas"/>
                <w:shd w:fill="F2F1ED" w:val="clear"/>
              </w:rPr>
              <w:t xml:space="preserve">Remove</w:t>
            </w:r>
            <w:r>
              <w:t xml:space="preserve">, </w:t>
            </w:r>
            <w:r>
              <w:rPr>
                <w:rFonts w:ascii="Consolas" w:cs="Consolas" w:eastAsia="Consolas" w:hAnsi="Consolas"/>
                <w:shd w:fill="F2F1ED" w:val="clear"/>
              </w:rPr>
              <w:t xml:space="preserve">None</w:t>
            </w:r>
            <w:r>
              <w:t xml:space="preserve">)</w:t>
            </w:r>
          </w:p>
        </w:tc>
        <w:tc>
          <w:tcPr>
            <w:tcMar>
              <w:top w:type="dxa" w:w="60"/>
              <w:left w:type="dxa" w:w="100"/>
              <w:bottom w:type="dxa" w:w="60"/>
              <w:right w:type="dxa" w:w="100"/>
            </w:tcMar>
          </w:tcPr>
          <w:p>
            <w:pPr>
              <w:spacing w:after="0"/>
            </w:pPr>
            <w:r>
              <w:rPr>
                <w:b/>
                <w:bCs/>
              </w:rPr>
              <w:t xml:space="preserve">not on the page at all</w:t>
            </w:r>
            <w:r>
              <w:t xml:space="preserve"> — off the grid, out of the parked list, out of the left-rail KPI list, out of the PowerPoint deck and out of the Business performance columns, and no reader setting can bring it back</w:t>
            </w:r>
          </w:p>
        </w:tc>
      </w:tr>
    </w:tbl>
    <w:p>
      <w:pPr>
        <w:spacing w:after="160"/>
      </w:pPr>
    </w:p>
    <w:p>
      <w:pPr>
        <w:spacing w:after="140"/>
        <w:ind w:left="360"/>
      </w:pPr>
      <w:r>
        <w:t xml:space="preserve">A tab of only-</w:t>
      </w:r>
      <w:r>
        <w:rPr>
          <w:rFonts w:ascii="Consolas" w:cs="Consolas" w:eastAsia="Consolas" w:hAnsi="Consolas"/>
          <w:shd w:fill="F2F1ED" w:val="clear"/>
        </w:rPr>
        <w:t xml:space="preserve">Y</w:t>
      </w:r>
      <w:r>
        <w:t xml:space="preserve"> rows shows just those. </w:t>
      </w:r>
      <w:r>
        <w:rPr>
          <w:rFonts w:ascii="Consolas" w:cs="Consolas" w:eastAsia="Consolas" w:hAnsi="Consolas"/>
          <w:shd w:fill="F2F1ED" w:val="clear"/>
        </w:rPr>
        <w:t xml:space="preserve">+</w:t>
      </w:r>
      <w:r>
        <w:t xml:space="preserve"> </w:t>
      </w:r>
      <w:r>
        <w:rPr>
          <w:b/>
          <w:bCs/>
        </w:rPr>
        <w:t xml:space="preserve">adds</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 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4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Product Level   | Tile</w:t>
      </w:r>
    </w:p>
    <w:p>
      <w:pPr>
        <w:shd w:fill="F2F1ED" w:val="clear"/>
        <w:spacing w:after="0"/>
      </w:pPr>
      <w:r>
        <w:rPr>
          <w:rFonts w:ascii="Consolas" w:cs="Consolas" w:eastAsia="Consolas" w:hAnsi="Consolas"/>
          <w:sz w:val="18"/>
          <w:szCs w:val="18"/>
        </w:rPr>
        <w:t xml:space="preserve">Banking NII  | IWPB     | Revenue                |   +     |    L2      |                 |</w:t>
      </w:r>
    </w:p>
    <w:p>
      <w:pPr>
        <w:shd w:fill="F2F1ED" w:val="clear"/>
        <w:spacing w:after="0"/>
      </w:pPr>
      <w:r>
        <w:rPr>
          <w:rFonts w:ascii="Consolas" w:cs="Consolas" w:eastAsia="Consolas" w:hAnsi="Consolas"/>
          <w:sz w:val="18"/>
          <w:szCs w:val="18"/>
        </w:rPr>
        <w:t xml:space="preserve">Banking NII  | IWPB     | Net Insurance Revenue  |   −     |    L3      | Product_Level_7 |</w:t>
      </w:r>
    </w:p>
    <w:p>
      <w:pPr>
        <w:shd w:fill="F2F1ED" w:val="clear"/>
        <w:spacing w:after="0"/>
      </w:pPr>
      <w:r>
        <w:rPr>
          <w:rFonts w:ascii="Consolas" w:cs="Consolas" w:eastAsia="Consolas" w:hAnsi="Consolas"/>
          <w:sz w:val="18"/>
          <w:szCs w:val="18"/>
        </w:rPr>
        <w:t xml:space="preserve">Banking NII  | CIB      | Banking NII            |   +     |   accH3    |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rPr>
          <w:b/>
          <w:bCs/>
        </w:rPr>
        <w:t xml:space="preserve">Product Level</w:t>
      </w:r>
      <w:r>
        <w:t xml:space="preserve"> qualifies a component further: a bare column name lets the line be found in that column too, </w:t>
      </w:r>
      <w:r>
        <w:rPr>
          <w:rFonts w:ascii="Consolas" w:cs="Consolas" w:eastAsia="Consolas" w:hAnsi="Consolas"/>
          <w:shd w:fill="F2F1ED" w:val="clear"/>
        </w:rPr>
        <w:t xml:space="preserve">Product_Level_7 = Wealth</w:t>
      </w:r>
      <w:r>
        <w:t xml:space="preserve"> restricts it to rows holding that value. A </w:t>
      </w:r>
      <w:r>
        <w:rPr>
          <w:rFonts w:ascii="Consolas" w:cs="Consolas" w:eastAsia="Consolas" w:hAnsi="Consolas"/>
          <w:shd w:fill="F2F1ED" w:val="clear"/>
        </w:rPr>
        <w:t xml:space="preserve">−</w:t>
      </w:r>
      <w:r>
        <w:t xml:space="preserve"> line </w:t>
      </w:r>
      <w:r>
        <w:rPr>
          <w:b/>
          <w:bCs/>
        </w:rPr>
        <w:t xml:space="preserve">inside</w:t>
      </w:r>
      <w:r>
        <w:t xml:space="preserve"> the base is removed from the selection; one </w:t>
      </w:r>
      <w:r>
        <w:rPr>
          <w:b/>
          <w:bCs/>
        </w:rPr>
        <w:t xml:space="preserve">outside</w:t>
      </w:r>
      <w:r>
        <w:t xml:space="preserve"> it — insurance carved out of </w:t>
      </w:r>
      <w:r>
        <w:rPr>
          <w:rFonts w:ascii="Consolas" w:cs="Consolas" w:eastAsia="Consolas" w:hAnsi="Consolas"/>
          <w:shd w:fill="F2F1ED" w:val="clear"/>
        </w:rPr>
        <w:t xml:space="preserve">NII - Net Interest Income</w:t>
      </w:r>
      <w:r>
        <w:t xml:space="preserve"> rather than out of </w:t>
      </w:r>
      <w:r>
        <w:rPr>
          <w:rFonts w:ascii="Consolas" w:cs="Consolas" w:eastAsia="Consolas" w:hAnsi="Consolas"/>
          <w:shd w:fill="F2F1ED" w:val="clear"/>
        </w:rPr>
        <w:t xml:space="preserve">Revenue</w:t>
      </w:r>
      <w:r>
        <w:t xml:space="preserve"> — has its value subtracted instead, since there is nothing there to remove. Both read as </w:t>
      </w:r>
      <w:r>
        <w:rPr>
          <w:i/>
          <w:iCs/>
        </w:rPr>
        <w:t xml:space="preserve">the base, less that line</w:t>
      </w:r>
      <w:r>
        <w:t xml:space="preserve">, and the ingest report says which applied.</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TM1 extract carrying Deposits or Loans beside a result gets no total tile, no total row and no total in its commentary, because adding a balance to a result is not a figure; a P&amp;L-only TM1 extract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TM1 extract rather than by size, so a balance-sheet line is not hoisted above the P&amp;L. Lines </w:t>
      </w:r>
      <w:r>
        <w:rPr>
          <w:i/>
          <w:iCs/>
        </w:rPr>
        <w:t xml:space="preserve">within</w:t>
      </w:r>
      <w:r>
        <w:t xml:space="preserve"> a statement — the Level 2 lines under a rollup — always read in the TM1 extract's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source-row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TM1 extract's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 under </w:t>
      </w:r>
      <w:r>
        <w:rPr>
          <w:b/>
          <w:bCs/>
        </w:rPr>
        <w:t xml:space="preserve">every</w:t>
      </w:r>
      <w:r>
        <w:t xml:space="preserve"> generated commentary, not just this page: the Management commentary on the KPI summary, the Financial Summary's own words and the All commentaries page each carry it, and on the summary it folds away with the commentary it belongs to.</w:t>
      </w:r>
    </w:p>
    <w:p>
      <w:pPr>
        <w:spacing w:after="140"/>
        <w:ind w:left="360"/>
      </w:pPr>
      <w:r>
        <w:t xml:space="preserve">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every surface and the Word exports carry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TM1 extract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TM1 extract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TM1 extract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TM1 extract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TM1 extract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TM1 extract's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TM1 extract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TM1 extract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A </w:t>
      </w:r>
      <w:r>
        <w:rPr>
          <w:b/>
          <w:bCs/>
        </w:rPr>
        <w:t xml:space="preserve">Forecast by month</w:t>
      </w:r>
      <w:r>
        <w:t xml:space="preserve"> table sits under the impact table: every forecast month with its prior forecast, its simulated figure and the movement between them. A P&amp;L foots to the sum of those months; a balance never does — each month is a closing position and the foot is the closing month, so the months are never added up.</w:t>
      </w:r>
    </w:p>
    <w:p>
      <w:pPr>
        <w:spacing w:after="100"/>
        <w:ind w:left="360"/>
      </w:pPr>
      <w:r>
        <w:rPr>
          <w:b/>
          <w:bCs/>
        </w:rPr>
        <w:t xml:space="preserve">⤓ Excel</w:t>
      </w:r>
      <w:r>
        <w:t xml:space="preserve"> sits on the result itself and carries both tables, the impact on one sheet and the month-by-month on another. Each sheet opens with what was run and over what: the simulation's name and category, the scope in force (business, region, country, month), the basis and units, the forecast months and the source file — then a rule table setting out how it was applied, one row per rule with its scope, its second condition, the statement it touches, the adjustment, the change and the months — and then the figures.</w:t>
      </w:r>
    </w:p>
    <w:p>
      <w:pPr>
        <w:spacing w:after="100"/>
        <w:ind w:left="360"/>
      </w:pPr>
      <w:r>
        <w:rPr>
          <w:b/>
          <w:bCs/>
        </w:rPr>
        <w:t xml:space="preserve">Compare simulations</w:t>
      </w:r>
      <w:r>
        <w:t xml:space="preserve"> runs any number of saved simulations side by side against the prior forecast — the picker groups them by their Category — with a chart, an FY outlook table and a </w:t>
      </w:r>
      <w:r>
        <w:rPr>
          <w:b/>
          <w:bCs/>
        </w:rPr>
        <w:t xml:space="preserve">Comparison by month</w:t>
      </w:r>
      <w:r>
        <w:t xml:space="preserve"> table: the prior forecast path with each simulation in its own column, footing to the sum of the forecast months. Its </w:t>
      </w:r>
      <w:r>
        <w:rPr>
          <w:b/>
          <w:bCs/>
        </w:rPr>
        <w:t xml:space="preserve">⤓ Excel</w:t>
      </w:r>
      <w:r>
        <w:t xml:space="preserve"> carries the FY comparison on one sheet and the month-by-month on another, each opening with the scope, units and a rule table naming how every simulation in the comparison is applied.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TM1 extract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w:t>
      </w:r>
      <w:r>
        <w:rPr>
          <w:rFonts w:ascii="Consolas" w:cs="Consolas" w:eastAsia="Consolas" w:hAnsi="Consolas"/>
          <w:shd w:fill="F2F1ED" w:val="clear"/>
        </w:rPr>
        <w:t xml:space="preserve">Simulations</w:t>
      </w:r>
      <w:r>
        <w:t xml:space="preserve">, </w:t>
      </w:r>
      <w:r>
        <w:rPr>
          <w:rFonts w:ascii="Consolas" w:cs="Consolas" w:eastAsia="Consolas" w:hAnsi="Consolas"/>
          <w:shd w:fill="F2F1ED" w:val="clear"/>
        </w:rPr>
        <w:t xml:space="preserve">Rollup</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80"/>
      </w:pPr>
      <w:r>
        <w:rPr>
          <w:b/>
          <w:bCs/>
        </w:rPr>
        <w:t xml:space="preserve">Labels</w:t>
      </w:r>
      <w:r>
        <w:t xml:space="preserve"> — every heading, section title and control label the page shows, one </w:t>
      </w:r>
      <w:r>
        <w:rPr>
          <w:rFonts w:ascii="Consolas" w:cs="Consolas" w:eastAsia="Consolas" w:hAnsi="Consolas"/>
          <w:shd w:fill="F2F1ED" w:val="clear"/>
        </w:rPr>
        <w:t xml:space="preserve">Key | Text</w:t>
      </w:r>
      <w:r>
        <w:t xml:space="preserve"> row each. The whole left rail is worded here: the section headings (</w:t>
      </w:r>
      <w:r>
        <w:rPr>
          <w:rFonts w:ascii="Consolas" w:cs="Consolas" w:eastAsia="Consolas" w:hAnsi="Consolas"/>
          <w:shd w:fill="F2F1ED" w:val="clear"/>
        </w:rPr>
        <w:t xml:space="preserve">sect_dashboards</w:t>
      </w:r>
      <w:r>
        <w:t xml:space="preserve">, </w:t>
      </w:r>
      <w:r>
        <w:rPr>
          <w:rFonts w:ascii="Consolas" w:cs="Consolas" w:eastAsia="Consolas" w:hAnsi="Consolas"/>
          <w:shd w:fill="F2F1ED" w:val="clear"/>
        </w:rPr>
        <w:t xml:space="preserve">sect_config</w:t>
      </w:r>
      <w:r>
        <w:t xml:space="preserve">, </w:t>
      </w:r>
      <w:r>
        <w:rPr>
          <w:rFonts w:ascii="Consolas" w:cs="Consolas" w:eastAsia="Consolas" w:hAnsi="Consolas"/>
          <w:shd w:fill="F2F1ED" w:val="clear"/>
        </w:rPr>
        <w:t xml:space="preserve">sect_period</w:t>
      </w:r>
      <w:r>
        <w:t xml:space="preserve">, </w:t>
      </w:r>
      <w:r>
        <w:rPr>
          <w:rFonts w:ascii="Consolas" w:cs="Consolas" w:eastAsia="Consolas" w:hAnsi="Consolas"/>
          <w:shd w:fill="F2F1ED" w:val="clear"/>
        </w:rPr>
        <w:t xml:space="preserve">sect_comtpl</w:t>
      </w:r>
      <w:r>
        <w:t xml:space="preserve">), every navigation entry (</w:t>
      </w:r>
      <w:r>
        <w:rPr>
          <w:rFonts w:ascii="Consolas" w:cs="Consolas" w:eastAsia="Consolas" w:hAnsi="Consolas"/>
          <w:shd w:fill="F2F1ED" w:val="clear"/>
        </w:rPr>
        <w:t xml:space="preserve">nav_*</w:t>
      </w:r>
      <w:r>
        <w:t xml:space="preserve">), the ingest button and page (</w:t>
      </w:r>
      <w:r>
        <w:rPr>
          <w:rFonts w:ascii="Consolas" w:cs="Consolas" w:eastAsia="Consolas" w:hAnsi="Consolas"/>
          <w:shd w:fill="F2F1ED" w:val="clear"/>
        </w:rPr>
        <w:t xml:space="preserve">btn_newfile</w:t>
      </w:r>
      <w:r>
        <w:t xml:space="preserve">, </w:t>
      </w:r>
      <w:r>
        <w:rPr>
          <w:rFonts w:ascii="Consolas" w:cs="Consolas" w:eastAsia="Consolas" w:hAnsi="Consolas"/>
          <w:shd w:fill="F2F1ED" w:val="clear"/>
        </w:rPr>
        <w:t xml:space="preserve">ingest_title</w:t>
      </w:r>
      <w:r>
        <w:t xml:space="preserve">, </w:t>
      </w:r>
      <w:r>
        <w:rPr>
          <w:rFonts w:ascii="Consolas" w:cs="Consolas" w:eastAsia="Consolas" w:hAnsi="Consolas"/>
          <w:shd w:fill="F2F1ED" w:val="clear"/>
        </w:rPr>
        <w:t xml:space="preserve">ingest_drop</w:t>
      </w:r>
      <w:r>
        <w:t xml:space="preserve">) and the period controls (</w:t>
      </w:r>
      <w:r>
        <w:rPr>
          <w:rFonts w:ascii="Consolas" w:cs="Consolas" w:eastAsia="Consolas" w:hAnsi="Consolas"/>
          <w:shd w:fill="F2F1ED" w:val="clear"/>
        </w:rPr>
        <w:t xml:space="preserve">lbl_year</w:t>
      </w:r>
      <w:r>
        <w:t xml:space="preserve">, </w:t>
      </w:r>
      <w:r>
        <w:rPr>
          <w:rFonts w:ascii="Consolas" w:cs="Consolas" w:eastAsia="Consolas" w:hAnsi="Consolas"/>
          <w:shd w:fill="F2F1ED" w:val="clear"/>
        </w:rPr>
        <w:t xml:space="preserve">lbl_ytd</w:t>
      </w:r>
      <w:r>
        <w:t xml:space="preserve">, </w:t>
      </w:r>
      <w:r>
        <w:rPr>
          <w:rFonts w:ascii="Consolas" w:cs="Consolas" w:eastAsia="Consolas" w:hAnsi="Consolas"/>
          <w:shd w:fill="F2F1ED" w:val="clear"/>
        </w:rPr>
        <w:t xml:space="preserve">lbl_varper</w:t>
      </w:r>
      <w:r>
        <w:t xml:space="preserve">, </w:t>
      </w:r>
      <w:r>
        <w:rPr>
          <w:rFonts w:ascii="Consolas" w:cs="Consolas" w:eastAsia="Consolas" w:hAnsi="Consolas"/>
          <w:shd w:fill="F2F1ED" w:val="clear"/>
        </w:rPr>
        <w:t xml:space="preserve">lbl_units</w:t>
      </w:r>
      <w:r>
        <w:t xml:space="preserve">). Change a row and the pane follows on the next config load — nothing in the rail is hard-coded. The three packs carry the complete set, and </w:t>
      </w:r>
      <w:r>
        <w:rPr>
          <w:b/>
          <w:bCs/>
        </w:rPr>
        <w:t xml:space="preserve">Download template CSV</w:t>
      </w:r>
      <w:r>
        <w:t xml:space="preserve"> lists every key with its default, so the full surface is discoverable without reading the page source.</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spacing w:after="140"/>
        <w:ind w:left="360"/>
      </w:pPr>
      <w:r>
        <w:t xml:space="preserve">The </w:t>
      </w:r>
      <w:r>
        <w:rPr>
          <w:b/>
          <w:bCs/>
        </w:rPr>
        <w:t xml:space="preserve">opening line</w:t>
      </w:r>
      <w:r>
        <w:t xml:space="preserve"> that used to stand above the page title — the one sentence naming the lead line, its movement and the outlook against target — is off by default (</w:t>
      </w:r>
      <w:r>
        <w:rPr>
          <w:rFonts w:ascii="Consolas" w:cs="Consolas" w:eastAsia="Consolas" w:hAnsi="Consolas"/>
          <w:shd w:fill="F2F1ED" w:val="clear"/>
        </w:rPr>
        <w:t xml:space="preserve">summary_lede</w:t>
      </w:r>
      <w:r>
        <w:t xml:space="preserve">). Set it to </w:t>
      </w:r>
      <w:r>
        <w:rPr>
          <w:rFonts w:ascii="Consolas" w:cs="Consolas" w:eastAsia="Consolas" w:hAnsi="Consolas"/>
          <w:shd w:fill="F2F1ED" w:val="clear"/>
        </w:rPr>
        <w:t xml:space="preserve">Y</w:t>
      </w:r>
      <w:r>
        <w:t xml:space="preserve"> to bring it back; the PowerPoint export follows the page either way.</w:t>
      </w:r>
    </w:p>
    <w:p>
      <w:pPr>
        <w:spacing w:after="140"/>
        <w:ind w:left="360"/>
      </w:pPr>
      <w:r>
        <w:rPr>
          <w:b/>
          <w:bCs/>
        </w:rPr>
        <w:t xml:space="preserve">Tile size</w:t>
      </w:r>
      <w:r>
        <w:t xml:space="preserve"> is configurable too: </w:t>
      </w:r>
      <w:r>
        <w:rPr>
          <w:rFonts w:ascii="Consolas" w:cs="Consolas" w:eastAsia="Consolas" w:hAnsi="Consolas"/>
          <w:shd w:fill="F2F1ED" w:val="clear"/>
        </w:rPr>
        <w:t xml:space="preserve">tile_height</w:t>
      </w:r>
      <w:r>
        <w:t xml:space="preserve"> (default </w:t>
      </w:r>
      <w:r>
        <w:rPr>
          <w:rFonts w:ascii="Consolas" w:cs="Consolas" w:eastAsia="Consolas" w:hAnsi="Consolas"/>
          <w:shd w:fill="F2F1ED" w:val="clear"/>
        </w:rPr>
        <w:t xml:space="preserve">150</w:t>
      </w:r>
      <w:r>
        <w:t xml:space="preserve">) is the height in pixels every tile shares, and </w:t>
      </w:r>
      <w:r>
        <w:rPr>
          <w:rFonts w:ascii="Consolas" w:cs="Consolas" w:eastAsia="Consolas" w:hAnsi="Consolas"/>
          <w:shd w:fill="F2F1ED" w:val="clear"/>
        </w:rPr>
        <w:t xml:space="preserve">tile_min_width</w:t>
      </w:r>
      <w:r>
        <w:t xml:space="preserve"> (default </w:t>
      </w:r>
      <w:r>
        <w:rPr>
          <w:rFonts w:ascii="Consolas" w:cs="Consolas" w:eastAsia="Consolas" w:hAnsi="Consolas"/>
          <w:shd w:fill="F2F1ED" w:val="clear"/>
        </w:rPr>
        <w:t xml:space="preserve">252</w:t>
      </w:r>
      <w:r>
        <w:t xml:space="preserve">) is the narrowest a tile may become before the grid drops a column — so it governs how many tiles sit in a row, and therefore how many rows the summary needs. Raise </w:t>
      </w:r>
      <w:r>
        <w:rPr>
          <w:rFonts w:ascii="Consolas" w:cs="Consolas" w:eastAsia="Consolas" w:hAnsi="Consolas"/>
          <w:shd w:fill="F2F1ED" w:val="clear"/>
        </w:rPr>
        <w:t xml:space="preserve">tile_height</w:t>
      </w:r>
      <w:r>
        <w:t xml:space="preserve"> for a roomier grid; raise </w:t>
      </w:r>
      <w:r>
        <w:rPr>
          <w:rFonts w:ascii="Consolas" w:cs="Consolas" w:eastAsia="Consolas" w:hAnsi="Consolas"/>
          <w:shd w:fill="F2F1ED" w:val="clear"/>
        </w:rPr>
        <w:t xml:space="preserve">tile_min_width</w:t>
      </w:r>
      <w:r>
        <w:t xml:space="preserve"> for fewer, wider tiles. </w:t>
      </w:r>
      <w:r>
        <w:rPr>
          <w:rFonts w:ascii="Consolas" w:cs="Consolas" w:eastAsia="Consolas" w:hAnsi="Consolas"/>
          <w:shd w:fill="F2F1ED" w:val="clear"/>
        </w:rPr>
        <w:t xml:space="preserve">tile_height</w:t>
      </w:r>
      <w:r>
        <w:t xml:space="preserve"> is a floor rather than a cap: a tile whose content needs more room still grows, so setting it very low simply lets the tiles find their natural height. Values that are not numbers, or below the workable minimums (60px high, 150px wide), fall back to the defaults rather than breaking the grid.</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TM1 extract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TM1 extract's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TM1 extract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TM1 extract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TM1 extract's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TM1 extract).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100"/>
      </w:pPr>
      <w:r>
        <w:rPr>
          <w:b/>
          <w:bCs/>
        </w:rPr>
        <w:t xml:space="preserve">Rollup</w:t>
      </w:r>
      <w:r>
        <w:t xml:space="preserve"> — which lines foot to their children and which are taken as the file reports them, declared at MICA Level 1 and 2 (Level 3/4 accepted too). Columns: </w:t>
      </w:r>
      <w:r>
        <w:rPr>
          <w:rFonts w:ascii="Consolas" w:cs="Consolas" w:eastAsia="Consolas" w:hAnsi="Consolas"/>
          <w:shd w:fill="F2F1ED" w:val="clear"/>
        </w:rPr>
        <w:t xml:space="preserve">Level | Line | Roll up | Basis | Unit | Grain | Match | Notes</w:t>
      </w:r>
      <w:r>
        <w:t xml:space="preserve">, </w:t>
      </w:r>
      <w:r>
        <w:rPr>
          <w:b/>
          <w:bCs/>
        </w:rPr>
        <w:t xml:space="preserve">read by their headings</w:t>
      </w:r>
      <w:r>
        <w:t xml:space="preserve">, so a column may be moved or a new one added without breaking a pack already in circulation. </w:t>
      </w:r>
      <w:r>
        <w:rPr>
          <w:rFonts w:ascii="Consolas" w:cs="Consolas" w:eastAsia="Consolas" w:hAnsi="Consolas"/>
          <w:shd w:fill="F2F1ED" w:val="clear"/>
        </w:rPr>
        <w:t xml:space="preserve">Roll up</w:t>
      </w:r>
      <w:r>
        <w:t xml:space="preserve"> is </w:t>
      </w:r>
      <w:r>
        <w:rPr>
          <w:rFonts w:ascii="Consolas" w:cs="Consolas" w:eastAsia="Consolas" w:hAnsi="Consolas"/>
          <w:shd w:fill="F2F1ED" w:val="clear"/>
        </w:rPr>
        <w:t xml:space="preserve">Sum</w:t>
      </w:r>
      <w:r>
        <w:t xml:space="preserve"> (the parent equals its components), </w:t>
      </w:r>
      <w:r>
        <w:rPr>
          <w:rFonts w:ascii="Consolas" w:cs="Consolas" w:eastAsia="Consolas" w:hAnsi="Consolas"/>
          <w:shd w:fill="F2F1ED" w:val="clear"/>
        </w:rPr>
        <w:t xml:space="preserve">As reported</w:t>
      </w:r>
      <w:r>
        <w:t xml:space="preserve"> (the row is authoritative and its children are information — a fee metric reported at country, region, global </w:t>
      </w:r>
      <w:r>
        <w:rPr>
          <w:i/>
          <w:iCs/>
        </w:rPr>
        <w:t xml:space="preserve">and</w:t>
      </w:r>
      <w:r>
        <w:t xml:space="preserve"> group belongs here), </w:t>
      </w:r>
      <w:r>
        <w:rPr>
          <w:rFonts w:ascii="Consolas" w:cs="Consolas" w:eastAsia="Consolas" w:hAnsi="Consolas"/>
          <w:shd w:fill="F2F1ED" w:val="clear"/>
        </w:rPr>
        <w:t xml:space="preserve">Never</w:t>
      </w:r>
      <w:r>
        <w:t xml:space="preserve"> (non-additive — a ratio) or </w:t>
      </w:r>
      <w:r>
        <w:rPr>
          <w:rFonts w:ascii="Consolas" w:cs="Consolas" w:eastAsia="Consolas" w:hAnsi="Consolas"/>
          <w:shd w:fill="F2F1ED" w:val="clear"/>
        </w:rPr>
        <w:t xml:space="preserve">Memo</w:t>
      </w:r>
      <w:r>
        <w:t xml:space="preserve"> (disclosure only; never contributes to a parent).</w:t>
      </w:r>
    </w:p>
    <w:p>
      <w:pPr>
        <w:spacing w:after="100"/>
        <w:ind w:left="360"/>
      </w:pPr>
      <w:r>
        <w:rPr>
          <w:rFonts w:ascii="Consolas" w:cs="Consolas" w:eastAsia="Consolas" w:hAnsi="Consolas"/>
          <w:shd w:fill="F2F1ED" w:val="clear"/>
        </w:rPr>
        <w:t xml:space="preserve">Basis</w:t>
      </w:r>
      <w:r>
        <w:t xml:space="preserve"> is </w:t>
      </w:r>
      <w:r>
        <w:rPr>
          <w:rFonts w:ascii="Consolas" w:cs="Consolas" w:eastAsia="Consolas" w:hAnsi="Consolas"/>
          <w:shd w:fill="F2F1ED" w:val="clear"/>
        </w:rPr>
        <w:t xml:space="preserve">P&amp;L</w:t>
      </w:r>
      <w:r>
        <w:t xml:space="preserve">, </w:t>
      </w:r>
      <w:r>
        <w:rPr>
          <w:rFonts w:ascii="Consolas" w:cs="Consolas" w:eastAsia="Consolas" w:hAnsi="Consolas"/>
          <w:shd w:fill="F2F1ED" w:val="clear"/>
        </w:rPr>
        <w:t xml:space="preserve">Balance</w:t>
      </w:r>
      <w:r>
        <w:t xml:space="preserve"> or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Grain</w:t>
      </w:r>
      <w:r>
        <w:t xml:space="preserve"> names the geographic levels a line may be read at — </w:t>
      </w:r>
      <w:r>
        <w:rPr>
          <w:rFonts w:ascii="Consolas" w:cs="Consolas" w:eastAsia="Consolas" w:hAnsi="Consolas"/>
          <w:shd w:fill="F2F1ED" w:val="clear"/>
        </w:rPr>
        <w:t xml:space="preserve">Country, Region, Global, Group</w:t>
      </w:r>
      <w:r>
        <w:t xml:space="preserve">, or </w:t>
      </w:r>
      <w:r>
        <w:rPr>
          <w:rFonts w:ascii="Consolas" w:cs="Consolas" w:eastAsia="Consolas" w:hAnsi="Consolas"/>
          <w:shd w:fill="F2F1ED" w:val="clear"/>
        </w:rPr>
        <w:t xml:space="preserve">All</w:t>
      </w:r>
      <w:r>
        <w:t xml:space="preserve"> — and nothing is ever apportioned below the finest grain declared. </w:t>
      </w:r>
      <w:r>
        <w:rPr>
          <w:rFonts w:ascii="Consolas" w:cs="Consolas" w:eastAsia="Consolas" w:hAnsi="Consolas"/>
          <w:shd w:fill="F2F1ED" w:val="clear"/>
        </w:rPr>
        <w:t xml:space="preserve">Match</w:t>
      </w:r>
      <w:r>
        <w:t xml:space="preserve"> lists alternative names for the same line, separated by </w:t>
      </w:r>
      <w:r>
        <w:rPr>
          <w:rFonts w:ascii="Consolas" w:cs="Consolas" w:eastAsia="Consolas" w:hAnsi="Consolas"/>
          <w:shd w:fill="F2F1ED" w:val="clear"/>
        </w:rPr>
        <w:t xml:space="preserve">|</w:t>
      </w:r>
      <w:r>
        <w:t xml:space="preserve">, so one declaration covers the naming a pack actually uses (</w:t>
      </w:r>
      <w:r>
        <w:rPr>
          <w:rFonts w:ascii="Consolas" w:cs="Consolas" w:eastAsia="Consolas" w:hAnsi="Consolas"/>
          <w:shd w:fill="F2F1ED" w:val="clear"/>
        </w:rPr>
        <w:t xml:space="preserve">PBT|PBT ex Notables</w:t>
      </w:r>
      <w:r>
        <w:t xml:space="preserve">). Calculated metrics belong here as well: a metric the </w:t>
      </w:r>
      <w:r>
        <w:rPr>
          <w:b/>
          <w:bCs/>
        </w:rPr>
        <w:t xml:space="preserve">Definitions</w:t>
      </w:r>
      <w:r>
        <w:t xml:space="preserve"> tab builds from other rows (Banking NII, for instance) is a view of those rows, so it is a </w:t>
      </w:r>
      <w:r>
        <w:rPr>
          <w:rFonts w:ascii="Consolas" w:cs="Consolas" w:eastAsia="Consolas" w:hAnsi="Consolas"/>
          <w:shd w:fill="F2F1ED" w:val="clear"/>
        </w:rPr>
        <w:t xml:space="preserve">Memo</w:t>
      </w:r>
      <w:r>
        <w:t xml:space="preserve"> — it is shown on its tile and never added beside its own components.</w:t>
      </w:r>
    </w:p>
    <w:p>
      <w:pPr>
        <w:spacing w:after="140"/>
        <w:ind w:left="360"/>
      </w:pPr>
      <w:r>
        <w:rPr>
          <w:b/>
          <w:bCs/>
        </w:rPr>
        <w:t xml:space="preserve">`Unit` — what the line is reported in.</w:t>
      </w:r>
      <w:r>
        <w:t xml:space="preserve"> A unit is two things and one cell states both: the </w:t>
      </w:r>
      <w:r>
        <w:rPr>
          <w:b/>
          <w:bCs/>
        </w:rPr>
        <w:t xml:space="preserve">scale</w:t>
      </w:r>
      <w:r>
        <w:t xml:space="preserve"> (millions, billions, thousands) and the </w:t>
      </w:r>
      <w:r>
        <w:rPr>
          <w:b/>
          <w:bCs/>
        </w:rPr>
        <w:t xml:space="preserve">kind</w:t>
      </w:r>
      <w:r>
        <w:t xml:space="preserve"> of thing being counted. </w:t>
      </w:r>
      <w:r>
        <w:rPr>
          <w:b/>
          <w:bCs/>
        </w:rPr>
        <w:t xml:space="preserve">The currency symbol is what separates them</w:t>
      </w:r>
      <w:r>
        <w:t xml:space="preserve"> — </w:t>
      </w:r>
      <w:r>
        <w:rPr>
          <w:rFonts w:ascii="Consolas" w:cs="Consolas" w:eastAsia="Consolas" w:hAnsi="Consolas"/>
          <w:shd w:fill="F2F1ED" w:val="clear"/>
        </w:rPr>
        <w:t xml:space="preserve">$mn</w:t>
      </w:r>
      <w:r>
        <w:t xml:space="preserve"> is money in millions, </w:t>
      </w:r>
      <w:r>
        <w:rPr>
          <w:rFonts w:ascii="Consolas" w:cs="Consolas" w:eastAsia="Consolas" w:hAnsi="Consolas"/>
          <w:shd w:fill="F2F1ED" w:val="clear"/>
        </w:rPr>
        <w:t xml:space="preserve">mn</w:t>
      </w:r>
      <w:r>
        <w:t xml:space="preserve"> on its own is a number in millions, and the two are never added together however alike their scales look.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Written as</w:t>
            </w:r>
          </w:p>
        </w:tc>
        <w:tc>
          <w:tcPr>
            <w:shd w:fill="F7E9EA" w:val="clear"/>
            <w:tcMar>
              <w:top w:type="dxa" w:w="60"/>
              <w:left w:type="dxa" w:w="100"/>
              <w:bottom w:type="dxa" w:w="60"/>
              <w:right w:type="dxa" w:w="100"/>
            </w:tcMar>
          </w:tcPr>
          <w:p>
            <w:r>
              <w:rPr>
                <w:b/>
                <w:bCs/>
                <w:color w:val="DB0011"/>
              </w:rPr>
              <w:t xml:space="preserve">Kind</w:t>
            </w:r>
          </w:p>
        </w:tc>
        <w:tc>
          <w:tcPr>
            <w:shd w:fill="F7E9EA" w:val="clear"/>
            <w:tcMar>
              <w:top w:type="dxa" w:w="60"/>
              <w:left w:type="dxa" w:w="100"/>
              <w:bottom w:type="dxa" w:w="60"/>
              <w:right w:type="dxa" w:w="100"/>
            </w:tcMar>
          </w:tcPr>
          <w:p>
            <w:r>
              <w:rPr>
                <w:b/>
                <w:bCs/>
                <w:color w:val="DB0011"/>
              </w:rPr>
              <w:t xml:space="preserve">Reads as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US$m</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US$k</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US$m, US$bn, US$k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000s</w:t>
            </w:r>
            <w:r>
              <w:t xml:space="preserve"> (no currency)</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mn, bn, 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Nos</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a plain number</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pct</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ratio</w:t>
            </w:r>
          </w:p>
        </w:tc>
        <w:tc>
          <w:tcPr>
            <w:tcMar>
              <w:top w:type="dxa" w:w="60"/>
              <w:left w:type="dxa" w:w="100"/>
              <w:bottom w:type="dxa" w:w="60"/>
              <w:right w:type="dxa" w:w="100"/>
            </w:tcMar>
          </w:tcPr>
          <w:p>
            <w:pPr>
              <w:spacing w:after="0"/>
            </w:pPr>
            <w:r>
              <w:t xml:space="preserve">ratio</w:t>
            </w:r>
          </w:p>
        </w:tc>
        <w:tc>
          <w:tcPr>
            <w:tcMar>
              <w:top w:type="dxa" w:w="60"/>
              <w:left w:type="dxa" w:w="100"/>
              <w:bottom w:type="dxa" w:w="60"/>
              <w:right w:type="dxa" w:w="100"/>
            </w:tcMar>
          </w:tcPr>
          <w:p>
            <w:pPr>
              <w:spacing w:after="0"/>
            </w:pPr>
            <w:r>
              <w:t xml:space="preserve">a ratio — never additive</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 as is</w:t>
            </w:r>
            <w:r>
              <w:t xml:space="preserve">, </w:t>
            </w:r>
            <w:r>
              <w:rPr>
                <w:rFonts w:ascii="Consolas" w:cs="Consolas" w:eastAsia="Consolas" w:hAnsi="Consolas"/>
                <w:shd w:fill="F2F1ED" w:val="clear"/>
              </w:rPr>
              <w:t xml:space="preserve">as reported</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the unit the file itself carries</w:t>
            </w:r>
          </w:p>
        </w:tc>
      </w:tr>
    </w:tbl>
    <w:p>
      <w:pPr>
        <w:spacing w:after="160"/>
      </w:pPr>
    </w:p>
    <w:p>
      <w:pPr>
        <w:spacing w:after="140"/>
        <w:ind w:left="360"/>
      </w:pPr>
      <w:r>
        <w:rPr>
          <w:b/>
          <w:bCs/>
        </w:rPr>
        <w:t xml:space="preserve">The two kinds scale from different bases</w:t>
      </w:r>
      <w:r>
        <w:t xml:space="preserve">, because they start from different places. Money is stated against the file's own unit — a file in US$m carrying a line declared </w:t>
      </w:r>
      <w:r>
        <w:rPr>
          <w:rFonts w:ascii="Consolas" w:cs="Consolas" w:eastAsia="Consolas" w:hAnsi="Consolas"/>
          <w:shd w:fill="F2F1ED" w:val="clear"/>
        </w:rPr>
        <w:t xml:space="preserve">US$m</w:t>
      </w:r>
      <w:r>
        <w:t xml:space="preserve"> divides by one, and one declared </w:t>
      </w:r>
      <w:r>
        <w:rPr>
          <w:rFonts w:ascii="Consolas" w:cs="Consolas" w:eastAsia="Consolas" w:hAnsi="Consolas"/>
          <w:shd w:fill="F2F1ED" w:val="clear"/>
        </w:rPr>
        <w:t xml:space="preserve">US$bn</w:t>
      </w:r>
      <w:r>
        <w:t xml:space="preserve"> by a thousand. A count has no such base: 162,369 customers is 162,369 units, so a count declared </w:t>
      </w:r>
      <w:r>
        <w:rPr>
          <w:rFonts w:ascii="Consolas" w:cs="Consolas" w:eastAsia="Consolas" w:hAnsi="Consolas"/>
          <w:shd w:fill="F2F1ED" w:val="clear"/>
        </w:rPr>
        <w:t xml:space="preserve">mn</w:t>
      </w:r>
      <w:r>
        <w:t xml:space="preserve"> divides by a </w:t>
      </w:r>
      <w:r>
        <w:rPr>
          <w:b/>
          <w:bCs/>
        </w:rPr>
        <w:t xml:space="preserve">million</w:t>
      </w:r>
      <w:r>
        <w:t xml:space="preserve"> and prints as </w:t>
      </w:r>
      <w:r>
        <w:rPr>
          <w:rFonts w:ascii="Consolas" w:cs="Consolas" w:eastAsia="Consolas" w:hAnsi="Consolas"/>
          <w:shd w:fill="F2F1ED" w:val="clear"/>
        </w:rPr>
        <w:t xml:space="preserve">0.16mn</w:t>
      </w:r>
      <w:r>
        <w:t xml:space="preserve">. A count declared </w:t>
      </w:r>
      <w:r>
        <w:rPr>
          <w:rFonts w:ascii="Consolas" w:cs="Consolas" w:eastAsia="Consolas" w:hAnsi="Consolas"/>
          <w:shd w:fill="F2F1ED" w:val="clear"/>
        </w:rPr>
        <w:t xml:space="preserve">Absolute</w:t>
      </w:r>
      <w:r>
        <w:t xml:space="preserve"> divides by one. A figure scaled below one keeps two decimals rather than rounding itself away.</w:t>
      </w:r>
    </w:p>
    <w:p>
      <w:pPr>
        <w:spacing w:after="140"/>
        <w:ind w:left="360"/>
      </w:pPr>
      <w:r>
        <w:t xml:space="preserve">Declared per line at MICA Level 1 and 2. This is the pack's policy, not the reader's preference: a declared unit governs that line wherever it is printed, exactly as </w:t>
      </w:r>
      <w:r>
        <w:rPr>
          <w:rFonts w:ascii="Consolas" w:cs="Consolas" w:eastAsia="Consolas" w:hAnsi="Consolas"/>
          <w:shd w:fill="F2F1ED" w:val="clear"/>
        </w:rPr>
        <w:t xml:space="preserve">bs_unit</w:t>
      </w:r>
      <w:r>
        <w:t xml:space="preserve"> governs a balance, and the unit picker at the top of the page does not override it. Two rules keep it honest.</w:t>
      </w:r>
    </w:p>
    <w:p>
      <w:pPr>
        <w:spacing w:after="140"/>
        <w:ind w:left="360"/>
      </w:pPr>
      <w:r>
        <w:rPr>
          <w:b/>
          <w:bCs/>
        </w:rPr>
        <w:t xml:space="preserve">It restates the unit, never the figure</w:t>
      </w:r>
      <w:r>
        <w:t xml:space="preserve"> — a P&amp;L line is still the actuals YTD column for the month in hand, a balance still its closing month, taken exactly as the roll-up rules above describe. And </w:t>
      </w:r>
      <w:r>
        <w:rPr>
          <w:b/>
          <w:bCs/>
        </w:rPr>
        <w:t xml:space="preserve">a declaration only changes what it has to</w:t>
      </w:r>
      <w:r>
        <w:t xml:space="preserve">: naming the unit the file already carries (</w:t>
      </w:r>
      <w:r>
        <w:rPr>
          <w:rFonts w:ascii="Consolas" w:cs="Consolas" w:eastAsia="Consolas" w:hAnsi="Consolas"/>
          <w:shd w:fill="F2F1ED" w:val="clear"/>
        </w:rPr>
        <w:t xml:space="preserve">US$m</w:t>
      </w:r>
      <w:r>
        <w:t xml:space="preserve"> on a file stated in US$m) sets the label and leaves every figure formatted as before, while </w:t>
      </w:r>
      <w:r>
        <w:rPr>
          <w:rFonts w:ascii="Consolas" w:cs="Consolas" w:eastAsia="Consolas" w:hAnsi="Consolas"/>
          <w:shd w:fill="F2F1ED" w:val="clear"/>
        </w:rPr>
        <w:t xml:space="preserve">As reported</w:t>
      </w:r>
      <w:r>
        <w:t xml:space="preserve"> on a balance is what takes that line back out of billions. A row may carry a </w:t>
      </w:r>
      <w:r>
        <w:rPr>
          <w:rFonts w:ascii="Consolas" w:cs="Consolas" w:eastAsia="Consolas" w:hAnsi="Consolas"/>
          <w:shd w:fill="F2F1ED" w:val="clear"/>
        </w:rPr>
        <w:t xml:space="preserve">Unit</w:t>
      </w:r>
      <w:r>
        <w:t xml:space="preserve"> with the </w:t>
      </w:r>
      <w:r>
        <w:rPr>
          <w:rFonts w:ascii="Consolas" w:cs="Consolas" w:eastAsia="Consolas" w:hAnsi="Consolas"/>
          <w:shd w:fill="F2F1ED" w:val="clear"/>
        </w:rPr>
        <w:t xml:space="preserve">Roll up</w:t>
      </w:r>
      <w:r>
        <w:t xml:space="preserve"> column left blank — it then declares the unit and says nothing about how the line aggregates.</w:t>
      </w:r>
    </w:p>
    <w:p>
      <w:pPr>
        <w:spacing w:after="140"/>
        <w:ind w:left="360"/>
      </w:pPr>
      <w:r>
        <w:t xml:space="preserve">This governs the KPI tiles and the KPI summary (including the scorecard and dashboard widgets), </w:t>
      </w:r>
      <w:r>
        <w:rPr>
          <w:b/>
          <w:bCs/>
        </w:rPr>
        <w:t xml:space="preserve">Business performance</w:t>
      </w:r>
      <w:r>
        <w:t xml:space="preserve"> — each column is cast and headed in its own line's unit — and the </w:t>
      </w:r>
      <w:r>
        <w:rPr>
          <w:b/>
          <w:bCs/>
        </w:rPr>
        <w:t xml:space="preserve">Financial Summary</w:t>
      </w:r>
      <w:r>
        <w:t xml:space="preserve"> on screen, in its Excel export, in its PowerPoint table and in the words it writes, with each block headed in the unit its lines are declared in. The simulation pages, the drag &amp; drop charts and the mix analysis still follow the P&amp;L / balance convention (</w:t>
      </w:r>
      <w:r>
        <w:rPr>
          <w:rFonts w:ascii="Consolas" w:cs="Consolas" w:eastAsia="Consolas" w:hAnsi="Consolas"/>
          <w:shd w:fill="F2F1ED" w:val="clear"/>
        </w:rPr>
        <w:t xml:space="preserve">unit_label</w:t>
      </w:r>
      <w:r>
        <w:t xml:space="preserve"> and </w:t>
      </w:r>
      <w:r>
        <w:rPr>
          <w:rFonts w:ascii="Consolas" w:cs="Consolas" w:eastAsia="Consolas" w:hAnsi="Consolas"/>
          <w:shd w:fill="F2F1ED" w:val="clear"/>
        </w:rPr>
        <w:t xml:space="preserve">bs_unit</w:t>
      </w:r>
      <w:r>
        <w:t xml:space="preserve">).</w:t>
      </w:r>
    </w:p>
    <w:p>
      <w:pPr>
        <w:spacing w:after="140"/>
        <w:ind w:left="360"/>
      </w:pPr>
      <w:r>
        <w:rPr>
          <w:b/>
          <w:bCs/>
        </w:rPr>
        <w:t xml:space="preserve">The extract may state its own units.</w:t>
      </w:r>
      <w:r>
        <w:t xml:space="preserve"> Where the TM1 extract carries a </w:t>
      </w:r>
      <w:r>
        <w:rPr>
          <w:rFonts w:ascii="Consolas" w:cs="Consolas" w:eastAsia="Consolas" w:hAnsi="Consolas"/>
          <w:shd w:fill="F2F1ED" w:val="clear"/>
        </w:rPr>
        <w:t xml:space="preserve">Unit</w:t>
      </w:r>
      <w:r>
        <w:t xml:space="preserve"> column beside the hierarchy (also </w:t>
      </w:r>
      <w:r>
        <w:rPr>
          <w:rFonts w:ascii="Consolas" w:cs="Consolas" w:eastAsia="Consolas" w:hAnsi="Consolas"/>
          <w:shd w:fill="F2F1ED" w:val="clear"/>
        </w:rPr>
        <w:t xml:space="preserve">Units</w:t>
      </w:r>
      <w:r>
        <w:t xml:space="preserve">, </w:t>
      </w:r>
      <w:r>
        <w:rPr>
          <w:rFonts w:ascii="Consolas" w:cs="Consolas" w:eastAsia="Consolas" w:hAnsi="Consolas"/>
          <w:shd w:fill="F2F1ED" w:val="clear"/>
        </w:rPr>
        <w:t xml:space="preserve">UOM</w:t>
      </w:r>
      <w:r>
        <w:t xml:space="preserve">, </w:t>
      </w:r>
      <w:r>
        <w:rPr>
          <w:rFonts w:ascii="Consolas" w:cs="Consolas" w:eastAsia="Consolas" w:hAnsi="Consolas"/>
          <w:shd w:fill="F2F1ED" w:val="clear"/>
        </w:rPr>
        <w:t xml:space="preserve">Reported in</w:t>
      </w:r>
      <w:r>
        <w:t xml:space="preserve">, </w:t>
      </w:r>
      <w:r>
        <w:rPr>
          <w:rFonts w:ascii="Consolas" w:cs="Consolas" w:eastAsia="Consolas" w:hAnsi="Consolas"/>
          <w:shd w:fill="F2F1ED" w:val="clear"/>
        </w:rPr>
        <w:t xml:space="preserve">Scale</w:t>
      </w:r>
      <w:r>
        <w:t xml:space="preserve">) — one value per line, exactly as a reporting pack writes it — the app reads it and resolves each line's unit from it. It is not offered as a dimension to slice by; it is what the figures beside it mean.</w:t>
      </w:r>
    </w:p>
    <w:p>
      <w:pPr>
        <w:spacing w:after="140"/>
        <w:ind w:left="360"/>
      </w:pPr>
      <w:r>
        <w:t xml:space="preserve">Precedence: </w:t>
      </w:r>
      <w:r>
        <w:rPr>
          <w:b/>
          <w:bCs/>
        </w:rPr>
        <w:t xml:space="preserve">the pack's declaration first</w:t>
      </w:r>
      <w:r>
        <w:t xml:space="preserve"> (that is policy, and it is how a typo or an inconsistency in the extract gets overruled), </w:t>
      </w:r>
      <w:r>
        <w:rPr>
          <w:b/>
          <w:bCs/>
        </w:rPr>
        <w:t xml:space="preserve">then the file's own column</w:t>
      </w:r>
      <w:r>
        <w:t xml:space="preserve">, </w:t>
      </w:r>
      <w:r>
        <w:rPr>
          <w:b/>
          <w:bCs/>
        </w:rPr>
        <w:t xml:space="preserve">then the P&amp;L / balance convention.</w:t>
      </w:r>
      <w:r>
        <w:t xml:space="preserve"> A line whose rows disagree on their unit is taken from neither, a token the app cannot read (</w:t>
      </w:r>
      <w:r>
        <w:rPr>
          <w:rFonts w:ascii="Consolas" w:cs="Consolas" w:eastAsia="Consolas" w:hAnsi="Consolas"/>
          <w:shd w:fill="F2F1ED" w:val="clear"/>
        </w:rPr>
        <w:t xml:space="preserve">$mb</w:t>
      </w:r>
      <w:r>
        <w:t xml:space="preserve">) is named in the ingest report rather than guessed at, and the report lists the money, number and ratio units it found.</w:t>
      </w:r>
    </w:p>
    <w:p>
      <w:pPr>
        <w:spacing w:after="140"/>
        <w:ind w:left="360"/>
      </w:pPr>
      <w:r>
        <w:rPr>
          <w:b/>
          <w:bCs/>
        </w:rPr>
        <w:t xml:space="preserve">How a component names its line.</w:t>
      </w:r>
      <w:r>
        <w:t xml:space="preserve"> The </w:t>
      </w:r>
      <w:r>
        <w:rPr>
          <w:rFonts w:ascii="Consolas" w:cs="Consolas" w:eastAsia="Consolas" w:hAnsi="Consolas"/>
          <w:shd w:fill="F2F1ED" w:val="clear"/>
        </w:rPr>
        <w:t xml:space="preserve">MICA level</w:t>
      </w:r>
      <w:r>
        <w:t xml:space="preserve"> column names the column the line lives in, written however the extract heads it — </w:t>
      </w:r>
      <w:r>
        <w:rPr>
          <w:rFonts w:ascii="Consolas" w:cs="Consolas" w:eastAsia="Consolas" w:hAnsi="Consolas"/>
          <w:shd w:fill="F2F1ED" w:val="clear"/>
        </w:rPr>
        <w:t xml:space="preserve">L3</w:t>
      </w:r>
      <w:r>
        <w:t xml:space="preserve">, </w:t>
      </w:r>
      <w:r>
        <w:rPr>
          <w:rFonts w:ascii="Consolas" w:cs="Consolas" w:eastAsia="Consolas" w:hAnsi="Consolas"/>
          <w:shd w:fill="F2F1ED" w:val="clear"/>
        </w:rPr>
        <w:t xml:space="preserve">MICA_Level_3</w:t>
      </w:r>
      <w:r>
        <w:t xml:space="preserve">, </w:t>
      </w:r>
      <w:r>
        <w:rPr>
          <w:rFonts w:ascii="Consolas" w:cs="Consolas" w:eastAsia="Consolas" w:hAnsi="Consolas"/>
          <w:shd w:fill="F2F1ED" w:val="clear"/>
        </w:rPr>
        <w:t xml:space="preserve">Product_Level_7</w:t>
      </w:r>
      <w:r>
        <w:t xml:space="preserve">, </w:t>
      </w:r>
      <w:r>
        <w:rPr>
          <w:rFonts w:ascii="Consolas" w:cs="Consolas" w:eastAsia="Consolas" w:hAnsi="Consolas"/>
          <w:shd w:fill="F2F1ED" w:val="clear"/>
        </w:rPr>
        <w:t xml:space="preserve">CG_Level_2</w:t>
      </w:r>
      <w:r>
        <w:t xml:space="preserve">, </w:t>
      </w:r>
      <w:r>
        <w:rPr>
          <w:rFonts w:ascii="Consolas" w:cs="Consolas" w:eastAsia="Consolas" w:hAnsi="Consolas"/>
          <w:shd w:fill="F2F1ED" w:val="clear"/>
        </w:rPr>
        <w:t xml:space="preserve">Function_Level_1</w:t>
      </w:r>
      <w:r>
        <w:t xml:space="preserve">, </w:t>
      </w:r>
      <w:r>
        <w:rPr>
          <w:rFonts w:ascii="Consolas" w:cs="Consolas" w:eastAsia="Consolas" w:hAnsi="Consolas"/>
          <w:shd w:fill="F2F1ED" w:val="clear"/>
        </w:rPr>
        <w:t xml:space="preserve">accH3</w:t>
      </w:r>
      <w:r>
        <w:t xml:space="preserve"> all resolve. An optional </w:t>
      </w:r>
      <w:r>
        <w:rPr>
          <w:b/>
          <w:bCs/>
        </w:rPr>
        <w:t xml:space="preserve">`Product Level`</w:t>
      </w:r>
      <w:r>
        <w:t xml:space="preserve"> column qualifies the component further, in either of two forms: a bare column name (</w:t>
      </w:r>
      <w:r>
        <w:rPr>
          <w:rFonts w:ascii="Consolas" w:cs="Consolas" w:eastAsia="Consolas" w:hAnsi="Consolas"/>
          <w:shd w:fill="F2F1ED" w:val="clear"/>
        </w:rPr>
        <w:t xml:space="preserve">Product_Level_7</w:t>
      </w:r>
      <w:r>
        <w:t xml:space="preserve">) lets the same line be found in that column as well, for a pack whose line sits in the product hierarchy rather than the MICA one; and </w:t>
      </w:r>
      <w:r>
        <w:rPr>
          <w:rFonts w:ascii="Consolas" w:cs="Consolas" w:eastAsia="Consolas" w:hAnsi="Consolas"/>
          <w:shd w:fill="F2F1ED" w:val="clear"/>
        </w:rPr>
        <w:t xml:space="preserve">Product_Level_7 = Wealth</w:t>
      </w:r>
      <w:r>
        <w:t xml:space="preserve"> restricts the component to rows holding that value. The sheet is read by its headings, so a column may be added or moved without shifting the ones behind it.</w:t>
      </w:r>
    </w:p>
    <w:p>
      <w:pPr>
        <w:spacing w:after="140"/>
        <w:ind w:left="360"/>
      </w:pPr>
      <w:r>
        <w:rPr>
          <w:b/>
          <w:bCs/>
        </w:rPr>
        <w:t xml:space="preserve">Where more than one value carries the same thing</w:t>
      </w:r>
      <w:r>
        <w:t xml:space="preserve"> — insurance rarely sits under a single </w:t>
      </w:r>
      <w:r>
        <w:rPr>
          <w:rFonts w:ascii="Consolas" w:cs="Consolas" w:eastAsia="Consolas" w:hAnsi="Consolas"/>
          <w:shd w:fill="F2F1ED" w:val="clear"/>
        </w:rPr>
        <w:t xml:space="preserve">Product_Level_7</w:t>
      </w:r>
      <w:r>
        <w:t xml:space="preserve"> — there are three ways to say it, and they give the same figure: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Written as</w:t>
            </w:r>
          </w:p>
        </w:tc>
        <w:tc>
          <w:tcPr>
            <w:shd w:fill="F7E9EA" w:val="clear"/>
            <w:tcMar>
              <w:top w:type="dxa" w:w="60"/>
              <w:left w:type="dxa" w:w="100"/>
              <w:bottom w:type="dxa" w:w="60"/>
              <w:right w:type="dxa" w:w="100"/>
            </w:tcMar>
          </w:tcPr>
          <w:p>
            <w:r>
              <w:rPr>
                <w:b/>
                <w:bCs/>
                <w:color w:val="DB0011"/>
              </w:rPr>
              <w:t xml:space="preserve">When to use it</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Product_Level_4 = Insurance</w:t>
            </w:r>
          </w:p>
        </w:tc>
        <w:tc>
          <w:tcPr>
            <w:tcMar>
              <w:top w:type="dxa" w:w="60"/>
              <w:left w:type="dxa" w:w="100"/>
              <w:bottom w:type="dxa" w:w="60"/>
              <w:right w:type="dxa" w:w="100"/>
            </w:tcMar>
          </w:tcPr>
          <w:p>
            <w:pPr>
              <w:spacing w:after="0"/>
            </w:pPr>
            <w:r>
              <w:t xml:space="preserve">a parent level already gathers them: </w:t>
            </w:r>
            <w:r>
              <w:rPr>
                <w:b/>
                <w:bCs/>
              </w:rPr>
              <w:t xml:space="preserve">one row, and it keeps working when a new Level 7 value appears</w:t>
            </w:r>
          </w:p>
        </w:tc>
      </w:tr>
      <w:tr>
        <w:tc>
          <w:tcPr>
            <w:tcMar>
              <w:top w:type="dxa" w:w="60"/>
              <w:left w:type="dxa" w:w="100"/>
              <w:bottom w:type="dxa" w:w="60"/>
              <w:right w:type="dxa" w:w="100"/>
            </w:tcMar>
          </w:tcPr>
          <w:p>
            <w:pPr>
              <w:spacing w:after="0"/>
            </w:pPr>
            <w:r>
              <w:t xml:space="preserve">one </w:t>
            </w:r>
            <w:r>
              <w:rPr>
                <w:rFonts w:ascii="Consolas" w:cs="Consolas" w:eastAsia="Consolas" w:hAnsi="Consolas"/>
                <w:shd w:fill="F2F1ED" w:val="clear"/>
              </w:rPr>
              <w:t xml:space="preserve">−</w:t>
            </w:r>
            <w:r>
              <w:t xml:space="preserve"> row per value</w:t>
            </w:r>
          </w:p>
        </w:tc>
        <w:tc>
          <w:tcPr>
            <w:tcMar>
              <w:top w:type="dxa" w:w="60"/>
              <w:left w:type="dxa" w:w="100"/>
              <w:bottom w:type="dxa" w:w="60"/>
              <w:right w:type="dxa" w:w="100"/>
            </w:tcMar>
          </w:tcPr>
          <w:p>
            <w:pPr>
              <w:spacing w:after="0"/>
            </w:pPr>
            <w:r>
              <w:t xml:space="preserve">the values share no parent, or only some of them are meant</w:t>
            </w:r>
          </w:p>
        </w:tc>
      </w:tr>
      <w:tr>
        <w:tc>
          <w:tcPr>
            <w:tcMar>
              <w:top w:type="dxa" w:w="60"/>
              <w:left w:type="dxa" w:w="100"/>
              <w:bottom w:type="dxa" w:w="60"/>
              <w:right w:type="dxa" w:w="100"/>
            </w:tcMar>
          </w:tcPr>
          <w:p>
            <w:pPr>
              <w:spacing w:after="0"/>
            </w:pPr>
            <w:r>
              <w:t xml:space="preserve">`Product_Level_7 = Insurance Manufacturing \</w:t>
            </w:r>
          </w:p>
        </w:tc>
        <w:tc>
          <w:tcPr>
            <w:tcMar>
              <w:top w:type="dxa" w:w="60"/>
              <w:left w:type="dxa" w:w="100"/>
              <w:bottom w:type="dxa" w:w="60"/>
              <w:right w:type="dxa" w:w="100"/>
            </w:tcMar>
          </w:tcPr>
          <w:p>
            <w:pPr>
              <w:spacing w:after="0"/>
            </w:pPr>
            <w:r>
              <w:t xml:space="preserve">Insurance Distribution`</w:t>
            </w:r>
          </w:p>
        </w:tc>
        <w:tc>
          <w:tcPr>
            <w:tcMar>
              <w:top w:type="dxa" w:w="60"/>
              <w:left w:type="dxa" w:w="100"/>
              <w:bottom w:type="dxa" w:w="60"/>
              <w:right w:type="dxa" w:w="100"/>
            </w:tcMar>
          </w:tcPr>
          <w:p>
            <w:pPr>
              <w:spacing w:after="0"/>
            </w:pPr>
            <w:r>
              <w:t xml:space="preserve">the values share no parent but belong together; `\</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 or </w:t>
            </w:r>
            <w:r>
              <w:t xml:space="preserve">,` both separate</w:t>
            </w:r>
          </w:p>
        </w:tc>
      </w:tr>
    </w:tbl>
    <w:p>
      <w:pPr>
        <w:spacing w:after="160"/>
      </w:pPr>
    </w:p>
    <w:p>
      <w:pPr>
        <w:spacing w:after="140"/>
        <w:ind w:left="360"/>
      </w:pPr>
      <w:r>
        <w:t xml:space="preserve">The first is the one to reach for: a list has to be revisited every time the product hierarchy gains a value, and a parent level does not. A list is read as a whole value first, so a value that genuinely contains a comma (</w:t>
      </w:r>
      <w:r>
        <w:rPr>
          <w:rFonts w:ascii="Consolas" w:cs="Consolas" w:eastAsia="Consolas" w:hAnsi="Consolas"/>
          <w:shd w:fill="F2F1ED" w:val="clear"/>
        </w:rPr>
        <w:t xml:space="preserve">Hong Kong, China</w:t>
      </w:r>
      <w:r>
        <w:t xml:space="preserve">) still matches itself.</w:t>
      </w:r>
    </w:p>
    <w:p>
      <w:pPr>
        <w:spacing w:after="140"/>
        <w:ind w:left="360"/>
      </w:pPr>
      <w:r>
        <w:rPr>
          <w:b/>
          <w:bCs/>
        </w:rPr>
        <w:t xml:space="preserve">A value spelt wrong in a list is the quiet case</w:t>
      </w:r>
      <w:r>
        <w:t xml:space="preserve">, and so it is reported. The other values still match, so rows remain and the tile shows a perfectly plausible figure — it is simply out by whatever the misspelt one was worth. The ingest report names it: </w:t>
      </w:r>
      <w:r>
        <w:rPr>
          <w:i/>
          <w:iCs/>
        </w:rPr>
        <w:t xml:space="preserve">"Banking NII (IWPB): 1 of the 3 values in Product_Level_7 matches no row here — "Insurance Manufactring" — those rows are not taken out, so Banking NII is out by whatever they are worth."</w:t>
      </w:r>
    </w:p>
    <w:p>
      <w:pPr>
        <w:spacing w:after="140"/>
        <w:ind w:left="360"/>
      </w:pPr>
      <w:r>
        <w:rPr>
          <w:b/>
          <w:bCs/>
        </w:rPr>
        <w:t xml:space="preserve">Banking NII, as the global dataset actually files it.</w:t>
      </w:r>
      <w:r>
        <w:t xml:space="preserve"> The insurance piece of NII is not a MICA line of its own — it is the </w:t>
      </w:r>
      <w:r>
        <w:rPr>
          <w:i/>
          <w:iCs/>
        </w:rPr>
        <w:t xml:space="preserve">same</w:t>
      </w:r>
      <w:r>
        <w:t xml:space="preserve"> </w:t>
      </w:r>
      <w:r>
        <w:rPr>
          <w:rFonts w:ascii="Consolas" w:cs="Consolas" w:eastAsia="Consolas" w:hAnsi="Consolas"/>
          <w:shd w:fill="F2F1ED" w:val="clear"/>
        </w:rPr>
        <w:t xml:space="preserve">NII - Net Interest Income</w:t>
      </w:r>
      <w:r>
        <w:t xml:space="preserve"> line, filed under </w:t>
      </w:r>
      <w:r>
        <w:rPr>
          <w:rFonts w:ascii="Consolas" w:cs="Consolas" w:eastAsia="Consolas" w:hAnsi="Consolas"/>
          <w:shd w:fill="F2F1ED" w:val="clear"/>
        </w:rPr>
        <w:t xml:space="preserve">Product_Level_7 = Insurance Manufacturing</w:t>
      </w:r>
      <w:r>
        <w:t xml:space="preserve">. So Banking NII is that line less those rows, and the Definitions tab says exactly that:</w:t>
      </w:r>
    </w:p>
    <w:p>
      <w:pPr>
        <w:shd w:fill="F2F1ED" w:val="clear"/>
        <w:spacing w:after="0"/>
      </w:pPr>
      <w:r>
        <w:rPr>
          <w:rFonts w:ascii="Consolas" w:cs="Consolas" w:eastAsia="Consolas" w:hAnsi="Consolas"/>
          <w:sz w:val="18"/>
          <w:szCs w:val="18"/>
        </w:rPr>
        <w:t xml:space="preserve">Calculation | Business | Line                      | Include | MICA level   | Product Level</w:t>
      </w:r>
    </w:p>
    <w:p>
      <w:pPr>
        <w:shd w:fill="F2F1ED" w:val="clear"/>
        <w:spacing w:after="0"/>
      </w:pPr>
      <w:r>
        <w:rPr>
          <w:rFonts w:ascii="Consolas" w:cs="Consolas" w:eastAsia="Consolas" w:hAnsi="Consolas"/>
          <w:sz w:val="18"/>
          <w:szCs w:val="18"/>
        </w:rPr>
        <w:t xml:space="preserve">Banking NII | IWPB     | NII - Net Interest Income |    +    | MICA_Level_3 |</w:t>
      </w:r>
    </w:p>
    <w:p>
      <w:pPr>
        <w:shd w:fill="F2F1ED" w:val="clear"/>
        <w:spacing w:after="0"/>
      </w:pPr>
      <w:r>
        <w:rPr>
          <w:rFonts w:ascii="Consolas" w:cs="Consolas" w:eastAsia="Consolas" w:hAnsi="Consolas"/>
          <w:sz w:val="18"/>
          <w:szCs w:val="18"/>
        </w:rPr>
        <w:t xml:space="preserve">Banking NII | IWPB     | NII - Net Interest Income |    −    | MICA_Level_3 | Product_Level_7 = Insurance Manufacturing</w:t>
      </w:r>
    </w:p>
    <w:p>
      <w:pPr>
        <w:spacing w:after="120"/>
      </w:pPr>
    </w:p>
    <w:p>
      <w:pPr>
        <w:spacing w:after="140"/>
        <w:ind w:left="360"/>
      </w:pPr>
      <w:r>
        <w:t xml:space="preserve">Because those rows sit </w:t>
      </w:r>
      <w:r>
        <w:rPr>
          <w:b/>
          <w:bCs/>
        </w:rPr>
        <w:t xml:space="preserve">inside</w:t>
      </w:r>
      <w:r>
        <w:t xml:space="preserve"> the base, they are removed from the selection rather than deducted — no </w:t>
      </w:r>
      <w:r>
        <w:rPr>
          <w:rFonts w:ascii="Consolas" w:cs="Consolas" w:eastAsia="Consolas" w:hAnsi="Consolas"/>
          <w:shd w:fill="F2F1ED" w:val="clear"/>
        </w:rPr>
        <w:t xml:space="preserve">less</w:t>
      </w:r>
      <w:r>
        <w:t xml:space="preserve"> row is created, which is the cleaner of the two readings. On the shipped </w:t>
      </w:r>
      <w:r>
        <w:rPr>
          <w:rFonts w:ascii="Consolas" w:cs="Consolas" w:eastAsia="Consolas" w:hAnsi="Consolas"/>
          <w:shd w:fill="F2F1ED" w:val="clear"/>
        </w:rPr>
        <w:t xml:space="preserve">IWPB_SG_InsMfg_Shape</w:t>
      </w:r>
      <w:r>
        <w:t xml:space="preserve"> fixture this gives 1,760 less (536) = </w:t>
      </w:r>
      <w:r>
        <w:rPr>
          <w:b/>
          <w:bCs/>
        </w:rPr>
        <w:t xml:space="preserve">2,296</w:t>
      </w:r>
      <w:r>
        <w:t xml:space="preserve">, and Singapore on its own reads 1,100 less (396) = </w:t>
      </w:r>
      <w:r>
        <w:rPr>
          <w:b/>
          <w:bCs/>
        </w:rPr>
        <w:t xml:space="preserve">1,496</w:t>
      </w:r>
      <w:r>
        <w:t xml:space="preserve">, with each country's carve-out landing in that country. </w:t>
      </w:r>
      <w:r>
        <w:rPr>
          <w:rFonts w:ascii="Consolas" w:cs="Consolas" w:eastAsia="Consolas" w:hAnsi="Consolas"/>
          <w:shd w:fill="F2F1ED" w:val="clear"/>
        </w:rPr>
        <w:t xml:space="preserve">IWPB_Global_config_pack.xlsx</w:t>
      </w:r>
      <w:r>
        <w:t xml:space="preserve"> ships with these rows already in place; </w:t>
      </w:r>
      <w:r>
        <w:rPr>
          <w:rFonts w:ascii="Consolas" w:cs="Consolas" w:eastAsia="Consolas" w:hAnsi="Consolas"/>
          <w:shd w:fill="F2F1ED" w:val="clear"/>
        </w:rPr>
        <w:t xml:space="preserve">Group_dashboard_config_pack.xlsx</w:t>
      </w:r>
      <w:r>
        <w:t xml:space="preserve"> keeps the simpler Revenue-based form the other sample files reconcile against.</w:t>
      </w:r>
    </w:p>
    <w:p>
      <w:pPr>
        <w:spacing w:after="140"/>
        <w:ind w:left="360"/>
      </w:pPr>
      <w:r>
        <w:rPr>
          <w:b/>
          <w:bCs/>
        </w:rPr>
        <w:t xml:space="preserve">What a tile prints above its figure.</w:t>
      </w:r>
      <w:r>
        <w:t xml:space="preserve"> The page header already names the period and the scope, so a tile repeating </w:t>
      </w:r>
      <w:r>
        <w:rPr>
          <w:i/>
          <w:iCs/>
        </w:rPr>
        <w:t xml:space="preserve">JUN YTD</w:t>
      </w:r>
      <w:r>
        <w:t xml:space="preserve"> on every card is noise. What it must always say is its </w:t>
      </w:r>
      <w:r>
        <w:rPr>
          <w:b/>
          <w:bCs/>
        </w:rPr>
        <w:t xml:space="preserve">unit</w:t>
      </w:r>
      <w:r>
        <w:t xml:space="preserve">, because that is the one thing the header cannot say for it — the cards are not all in the same unit, and a balance in billions sitting beside a result in millions has to be told apart at a glance. </w:t>
      </w:r>
      <w:r>
        <w:rPr>
          <w:rFonts w:ascii="Consolas" w:cs="Consolas" w:eastAsia="Consolas" w:hAnsi="Consolas"/>
          <w:shd w:fill="F2F1ED" w:val="clear"/>
        </w:rPr>
        <w:t xml:space="preserve">tile_unit_label</w:t>
      </w:r>
      <w:r>
        <w:t xml:space="preserve"> chooses: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Setting</w:t>
            </w:r>
          </w:p>
        </w:tc>
        <w:tc>
          <w:tcPr>
            <w:shd w:fill="F7E9EA" w:val="clear"/>
            <w:tcMar>
              <w:top w:type="dxa" w:w="60"/>
              <w:left w:type="dxa" w:w="100"/>
              <w:bottom w:type="dxa" w:w="60"/>
              <w:right w:type="dxa" w:w="100"/>
            </w:tcMar>
          </w:tcPr>
          <w:p>
            <w:r>
              <w:rPr>
                <w:b/>
                <w:bCs/>
                <w:color w:val="DB0011"/>
              </w:rPr>
              <w:t xml:space="preserve">A tile reads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unit</w:t>
            </w:r>
            <w:r>
              <w:t xml:space="preserve"> </w:t>
            </w:r>
            <w:r>
              <w:rPr>
                <w:i/>
                <w:iCs/>
              </w:rPr>
              <w:t xml:space="preserve">(default)</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US$m</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period</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JUN YTD · US$m</w:t>
            </w:r>
            <w:r>
              <w:t xml:space="preserve"> — the older form</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off</w:t>
            </w:r>
          </w:p>
        </w:tc>
        <w:tc>
          <w:tcPr>
            <w:tcMar>
              <w:top w:type="dxa" w:w="60"/>
              <w:left w:type="dxa" w:w="100"/>
              <w:bottom w:type="dxa" w:w="60"/>
              <w:right w:type="dxa" w:w="100"/>
            </w:tcMar>
          </w:tcPr>
          <w:p>
            <w:pPr>
              <w:spacing w:after="0"/>
            </w:pPr>
            <w:r>
              <w:t xml:space="preserve">no label at all</w:t>
            </w:r>
          </w:p>
        </w:tc>
      </w:tr>
    </w:tbl>
    <w:p>
      <w:pPr>
        <w:spacing w:after="160"/>
      </w:pPr>
    </w:p>
    <w:p>
      <w:pPr>
        <w:spacing w:after="140"/>
        <w:ind w:left="360"/>
      </w:pPr>
      <w:r>
        <w:rPr>
          <w:b/>
          <w:bCs/>
        </w:rPr>
        <w:t xml:space="preserve">Where `US$m`, `US$bn` and `%` come from</w:t>
      </w:r>
      <w:r>
        <w:t xml:space="preserve">, in the order the page asks:</w:t>
      </w:r>
    </w:p>
    <w:p>
      <w:pPr>
        <w:spacing w:after="140"/>
        <w:ind w:left="360"/>
      </w:pPr>
      <w:r>
        <w:t xml:space="preserve">1. the </w:t>
      </w:r>
      <w:r>
        <w:rPr>
          <w:b/>
          <w:bCs/>
        </w:rPr>
        <w:t xml:space="preserve">`Unit` column on the Tiles tab</w:t>
      </w:r>
      <w:r>
        <w:t xml:space="preserve">, beside the tile it belongs to — the most direct thing a pack can say, and it speaks over everything below; 2. the </w:t>
      </w:r>
      <w:r>
        <w:rPr>
          <w:b/>
          <w:bCs/>
        </w:rPr>
        <w:t xml:space="preserve">`Unit` column on the Rollup tab</w:t>
      </w:r>
      <w:r>
        <w:t xml:space="preserve">, which declares a line's unit wherever that line appears; 3. the </w:t>
      </w:r>
      <w:r>
        <w:rPr>
          <w:b/>
          <w:bCs/>
        </w:rPr>
        <w:t xml:space="preserve">extract's own `Unit` column</w:t>
      </w:r>
      <w:r>
        <w:t xml:space="preserve">, where the file states it per row; 4. failing all three, the convention: </w:t>
      </w:r>
      <w:r>
        <w:rPr>
          <w:rFonts w:ascii="Consolas" w:cs="Consolas" w:eastAsia="Consolas" w:hAnsi="Consolas"/>
          <w:shd w:fill="F2F1ED" w:val="clear"/>
        </w:rPr>
        <w:t xml:space="preserve">unit_label</w:t>
      </w:r>
      <w:r>
        <w:t xml:space="preserve"> (default </w:t>
      </w:r>
      <w:r>
        <w:rPr>
          <w:rFonts w:ascii="Consolas" w:cs="Consolas" w:eastAsia="Consolas" w:hAnsi="Consolas"/>
          <w:shd w:fill="F2F1ED" w:val="clear"/>
        </w:rPr>
        <w:t xml:space="preserve">US$m</w:t>
      </w:r>
      <w:r>
        <w:t xml:space="preserve">) for a result, </w:t>
      </w:r>
      <w:r>
        <w:rPr>
          <w:rFonts w:ascii="Consolas" w:cs="Consolas" w:eastAsia="Consolas" w:hAnsi="Consolas"/>
          <w:shd w:fill="F2F1ED" w:val="clear"/>
        </w:rPr>
        <w:t xml:space="preserve">bs_unit</w:t>
      </w:r>
      <w:r>
        <w:t xml:space="preserve"> (default </w:t>
      </w:r>
      <w:r>
        <w:rPr>
          <w:rFonts w:ascii="Consolas" w:cs="Consolas" w:eastAsia="Consolas" w:hAnsi="Consolas"/>
          <w:shd w:fill="F2F1ED" w:val="clear"/>
        </w:rPr>
        <w:t xml:space="preserve">bn</w:t>
      </w:r>
      <w:r>
        <w:t xml:space="preserve">) for a balance, </w:t>
      </w:r>
      <w:r>
        <w:rPr>
          <w:rFonts w:ascii="Consolas" w:cs="Consolas" w:eastAsia="Consolas" w:hAnsi="Consolas"/>
          <w:shd w:fill="F2F1ED" w:val="clear"/>
        </w:rPr>
        <w:t xml:space="preserve">%</w:t>
      </w:r>
      <w:r>
        <w:t xml:space="preserve"> for a line matching </w:t>
      </w:r>
      <w:r>
        <w:rPr>
          <w:rFonts w:ascii="Consolas" w:cs="Consolas" w:eastAsia="Consolas" w:hAnsi="Consolas"/>
          <w:shd w:fill="F2F1ED" w:val="clear"/>
        </w:rPr>
        <w:t xml:space="preserve">ratio_patterns</w:t>
      </w:r>
      <w:r>
        <w:t xml:space="preserve">, and a plain number for one matching </w:t>
      </w:r>
      <w:r>
        <w:rPr>
          <w:rFonts w:ascii="Consolas" w:cs="Consolas" w:eastAsia="Consolas" w:hAnsi="Consolas"/>
          <w:shd w:fill="F2F1ED" w:val="clear"/>
        </w:rPr>
        <w:t xml:space="preserve">count_patterns</w:t>
      </w:r>
      <w:r>
        <w:t xml:space="preserve">.</w:t>
      </w:r>
    </w:p>
    <w:p>
      <w:pPr>
        <w:spacing w:after="140"/>
        <w:ind w:left="360"/>
      </w:pPr>
      <w:r>
        <w:t xml:space="preserve">Writing </w:t>
      </w:r>
      <w:r>
        <w:rPr>
          <w:rFonts w:ascii="Consolas" w:cs="Consolas" w:eastAsia="Consolas" w:hAnsi="Consolas"/>
          <w:shd w:fill="F2F1ED" w:val="clear"/>
        </w:rPr>
        <w:t xml:space="preserve">US$bn</w:t>
      </w:r>
      <w:r>
        <w:t xml:space="preserve"> beside </w:t>
      </w:r>
      <w:r>
        <w:rPr>
          <w:rFonts w:ascii="Consolas" w:cs="Consolas" w:eastAsia="Consolas" w:hAnsi="Consolas"/>
          <w:shd w:fill="F2F1ED" w:val="clear"/>
        </w:rPr>
        <w:t xml:space="preserve">Revenue</w:t>
      </w:r>
      <w:r>
        <w:t xml:space="preserve"> on the Tiles tab restates that tile and labels it: 2,967 US$m is printed as </w:t>
      </w:r>
      <w:r>
        <w:rPr>
          <w:b/>
          <w:bCs/>
        </w:rPr>
        <w:t xml:space="preserve">3.0 US$bn</w:t>
      </w:r>
      <w:r>
        <w:t xml:space="preserve">. Nothing else moves.</w:t>
      </w:r>
    </w:p>
    <w:p>
      <w:pPr>
        <w:spacing w:after="140"/>
        <w:ind w:left="360"/>
      </w:pPr>
      <w:r>
        <w:rPr>
          <w:b/>
          <w:bCs/>
        </w:rPr>
        <w:t xml:space="preserve">A headcount is a count, not a ratio.</w:t>
      </w:r>
      <w:r>
        <w:t xml:space="preserve"> The shipped packs listed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headcount</w:t>
      </w:r>
      <w:r>
        <w:t xml:space="preserve"> and </w:t>
      </w:r>
      <w:r>
        <w:rPr>
          <w:rFonts w:ascii="Consolas" w:cs="Consolas" w:eastAsia="Consolas" w:hAnsi="Consolas"/>
          <w:shd w:fill="F2F1ED" w:val="clear"/>
        </w:rPr>
        <w:t xml:space="preserve">count</w:t>
      </w:r>
      <w:r>
        <w:t xml:space="preserve"> under </w:t>
      </w:r>
      <w:r>
        <w:rPr>
          <w:rFonts w:ascii="Consolas" w:cs="Consolas" w:eastAsia="Consolas" w:hAnsi="Consolas"/>
          <w:shd w:fill="F2F1ED" w:val="clear"/>
        </w:rPr>
        <w:t xml:space="preserve">ratio_patterns</w:t>
      </w:r>
      <w:r>
        <w:t xml:space="preserve">, so an FTE tile was labelled </w:t>
      </w:r>
      <w:r>
        <w:rPr>
          <w:rFonts w:ascii="Consolas" w:cs="Consolas" w:eastAsia="Consolas" w:hAnsi="Consolas"/>
          <w:shd w:fill="F2F1ED" w:val="clear"/>
        </w:rPr>
        <w:t xml:space="preserve">%</w:t>
      </w:r>
      <w:r>
        <w:t xml:space="preserve"> while printing 1,286. Those names live in </w:t>
      </w:r>
      <w:r>
        <w:rPr>
          <w:rFonts w:ascii="Consolas" w:cs="Consolas" w:eastAsia="Consolas" w:hAnsi="Consolas"/>
          <w:shd w:fill="F2F1ED" w:val="clear"/>
        </w:rPr>
        <w:t xml:space="preserve">count_patterns</w:t>
      </w:r>
      <w:r>
        <w:t xml:space="preserve"> now, where they belong; </w:t>
      </w:r>
      <w:r>
        <w:rPr>
          <w:rFonts w:ascii="Consolas" w:cs="Consolas" w:eastAsia="Consolas" w:hAnsi="Consolas"/>
          <w:shd w:fill="F2F1ED" w:val="clear"/>
        </w:rPr>
        <w:t xml:space="preserve">ratio_patterns</w:t>
      </w:r>
      <w:r>
        <w:t xml:space="preserve"> keeps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and </w:t>
      </w:r>
      <w:r>
        <w:rPr>
          <w:rFonts w:ascii="Consolas" w:cs="Consolas" w:eastAsia="Consolas" w:hAnsi="Consolas"/>
          <w:shd w:fill="F2F1ED" w:val="clear"/>
        </w:rPr>
        <w:t xml:space="preserve">ratio</w:t>
      </w:r>
      <w:r>
        <w:t xml:space="preserve">.</w:t>
      </w:r>
    </w:p>
    <w:p>
      <w:pPr>
        <w:spacing w:after="140"/>
        <w:ind w:left="360"/>
      </w:pPr>
      <w:r>
        <w:rPr>
          <w:b/>
          <w:bCs/>
        </w:rPr>
        <w:t xml:space="preserve">A large extract is read once, a tab at a time.</w:t>
      </w:r>
      <w:r>
        <w:t xml:space="preserve"> The page used to read the whole workbook twice over: once at the door, to tell a configuration pack from a data extract, and again to ingest it. On a global extract — a dozen country tabs, a million cells — that is the entire parse cost paid twice, in two unbroken blocks, and the browser answers with </w:t>
      </w:r>
      <w:r>
        <w:rPr>
          <w:i/>
          <w:iCs/>
        </w:rPr>
        <w:t xml:space="preserve">"This page isn't responding"</w:t>
      </w:r>
      <w:r>
        <w:t xml:space="preserve">. Three things changed:</w:t>
      </w:r>
    </w:p>
    <w:p>
      <w:pPr>
        <w:spacing w:after="140"/>
        <w:ind w:left="360"/>
      </w:pPr>
      <w:r>
        <w:t xml:space="preserve">- the door reads the sheet </w:t>
      </w:r>
      <w:r>
        <w:rPr>
          <w:b/>
          <w:bCs/>
        </w:rPr>
        <w:t xml:space="preserve">names</w:t>
      </w:r>
      <w:r>
        <w:t xml:space="preserve"> and the first data tab, not the whole book, which is the only part the question turns on; - the ingest reads </w:t>
      </w:r>
      <w:r>
        <w:rPr>
          <w:b/>
          <w:bCs/>
        </w:rPr>
        <w:t xml:space="preserve">one tab at a time</w:t>
      </w:r>
      <w:r>
        <w:t xml:space="preserve">, with a breath between each, and says where it is — </w:t>
      </w:r>
      <w:r>
        <w:rPr>
          <w:i/>
          <w:iCs/>
        </w:rPr>
        <w:t xml:space="preserve">"Reading … tab 4 of 11 — IWPB Australia"</w:t>
      </w:r>
      <w:r>
        <w:t xml:space="preserve">. The work after the tabs — merging them, looking for duplicates, writing the report — is broken up the same way; - SheetJS is told not to build formatted text, a style record and a number format for every cell. The page reads raw values and never used them.</w:t>
      </w:r>
    </w:p>
    <w:p>
      <w:pPr>
        <w:spacing w:after="140"/>
        <w:ind w:left="360"/>
      </w:pPr>
      <w:r>
        <w:t xml:space="preserve">On 21,780 rows across 11 country tabs the longest stretch the browser is held falls from </w:t>
      </w:r>
      <w:r>
        <w:rPr>
          <w:b/>
          <w:bCs/>
        </w:rPr>
        <w:t xml:space="preserve">51 seconds to 7.9</w:t>
      </w:r>
      <w:r>
        <w:t xml:space="preserve"> — under the threshold at which Chrome calls the page dead. The total is still around 53 seconds on a file that size: the parse itself is slow and still runs on the main thread, so the dialog stops but the wait does not. Moving the parse to a worker is the remaining step.</w:t>
      </w:r>
    </w:p>
    <w:p>
      <w:pPr>
        <w:spacing w:after="140"/>
        <w:ind w:left="360"/>
      </w:pPr>
      <w:r>
        <w:rPr>
          <w:b/>
          <w:bCs/>
        </w:rPr>
        <w:t xml:space="preserve">Re-opening the page no longer re-reads the workbook.</w:t>
      </w:r>
      <w:r>
        <w:t xml:space="preserve"> The page keeps the last file so it need not be uploaded again each morning — but it kept the </w:t>
      </w:r>
      <w:r>
        <w:rPr>
          <w:i/>
          <w:iCs/>
        </w:rPr>
        <w:t xml:space="preserve">workbook</w:t>
      </w:r>
      <w:r>
        <w:t xml:space="preserve">, and re-parsed it on every open, to arrive at precisely the model it already had. On a global extract that is the whole 40-second parse, paid again, before anything appears. Measured on 21,780 rows across 11 tabs: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 </w:t>
            </w:r>
          </w:p>
        </w:tc>
      </w:tr>
      <w:tr>
        <w:tc>
          <w:tcPr>
            <w:tcMar>
              <w:top w:type="dxa" w:w="60"/>
              <w:left w:type="dxa" w:w="100"/>
              <w:bottom w:type="dxa" w:w="60"/>
              <w:right w:type="dxa" w:w="100"/>
            </w:tcMar>
          </w:tcPr>
          <w:p>
            <w:pPr>
              <w:spacing w:after="0"/>
            </w:pPr>
            <w:r>
              <w:t xml:space="preserve">opening with nothing cached</w:t>
            </w:r>
          </w:p>
        </w:tc>
        <w:tc>
          <w:tcPr>
            <w:tcMar>
              <w:top w:type="dxa" w:w="60"/>
              <w:left w:type="dxa" w:w="100"/>
              <w:bottom w:type="dxa" w:w="60"/>
              <w:right w:type="dxa" w:w="100"/>
            </w:tcMar>
          </w:tcPr>
          <w:p>
            <w:pPr>
              <w:spacing w:after="0"/>
            </w:pPr>
            <w:r>
              <w:rPr>
                <w:b/>
                <w:bCs/>
              </w:rPr>
              <w:t xml:space="preserve">190 ms</w:t>
            </w:r>
            <w:r>
              <w:t xml:space="preserve"> — the page itself was never the problem</w:t>
            </w:r>
          </w:p>
        </w:tc>
      </w:tr>
      <w:tr>
        <w:tc>
          <w:tcPr>
            <w:tcMar>
              <w:top w:type="dxa" w:w="60"/>
              <w:left w:type="dxa" w:w="100"/>
              <w:bottom w:type="dxa" w:w="60"/>
              <w:right w:type="dxa" w:w="100"/>
            </w:tcMar>
          </w:tcPr>
          <w:p>
            <w:pPr>
              <w:spacing w:after="0"/>
            </w:pPr>
            <w:r>
              <w:t xml:space="preserve">opening with a file cached, before</w:t>
            </w:r>
          </w:p>
        </w:tc>
        <w:tc>
          <w:tcPr>
            <w:tcMar>
              <w:top w:type="dxa" w:w="60"/>
              <w:left w:type="dxa" w:w="100"/>
              <w:bottom w:type="dxa" w:w="60"/>
              <w:right w:type="dxa" w:w="100"/>
            </w:tcMar>
          </w:tcPr>
          <w:p>
            <w:pPr>
              <w:spacing w:after="0"/>
            </w:pPr>
            <w:r>
              <w:rPr>
                <w:b/>
                <w:bCs/>
              </w:rPr>
              <w:t xml:space="preserve">30,840 ms</w:t>
            </w:r>
          </w:p>
        </w:tc>
      </w:tr>
      <w:tr>
        <w:tc>
          <w:tcPr>
            <w:tcMar>
              <w:top w:type="dxa" w:w="60"/>
              <w:left w:type="dxa" w:w="100"/>
              <w:bottom w:type="dxa" w:w="60"/>
              <w:right w:type="dxa" w:w="100"/>
            </w:tcMar>
          </w:tcPr>
          <w:p>
            <w:pPr>
              <w:spacing w:after="0"/>
            </w:pPr>
            <w:r>
              <w:t xml:space="preserve">opening with a file cached, now</w:t>
            </w:r>
          </w:p>
        </w:tc>
        <w:tc>
          <w:tcPr>
            <w:tcMar>
              <w:top w:type="dxa" w:w="60"/>
              <w:left w:type="dxa" w:w="100"/>
              <w:bottom w:type="dxa" w:w="60"/>
              <w:right w:type="dxa" w:w="100"/>
            </w:tcMar>
          </w:tcPr>
          <w:p>
            <w:pPr>
              <w:spacing w:after="0"/>
            </w:pPr>
            <w:r>
              <w:rPr>
                <w:b/>
                <w:bCs/>
              </w:rPr>
              <w:t xml:space="preserve">1,292 ms</w:t>
            </w:r>
          </w:p>
        </w:tc>
      </w:tr>
    </w:tbl>
    <w:p>
      <w:pPr>
        <w:spacing w:after="160"/>
      </w:pPr>
    </w:p>
    <w:p>
      <w:pPr>
        <w:spacing w:after="140"/>
        <w:ind w:left="360"/>
      </w:pPr>
      <w:r>
        <w:t xml:space="preserve">The parsed model is stored beside the workbook and restored instead. The rows are plain data — dimension strings and numbers — so they survive the round trip as they are; everything </w:t>
      </w:r>
      <w:r>
        <w:rPr>
          <w:i/>
          <w:iCs/>
        </w:rPr>
        <w:t xml:space="preserve">derived</w:t>
      </w:r>
      <w:r>
        <w:t xml:space="preserve"> from them (units, grain, the account and country hierarchies, the duplication checks) is deliberately left out and worked out again on restore, which is quick and cannot go stale against a configuration that has changed since.</w:t>
      </w:r>
    </w:p>
    <w:p>
      <w:pPr>
        <w:spacing w:after="140"/>
        <w:ind w:left="360"/>
      </w:pPr>
      <w:r>
        <w:rPr>
          <w:b/>
          <w:bCs/>
        </w:rPr>
        <w:t xml:space="preserve">A cache written before this existed upgrades itself on the first open.</w:t>
      </w:r>
      <w:r>
        <w:t xml:space="preserve"> The model is kept whenever the workbook is parsed, whatever the bytes came from. An earlier version kept it only when the bytes were freshly uploaded — so a reader whose cache predated the model cache fell back to the workbook, parsed it, threw the model away, and did the same again on every open after that. The slow path forever, for exactly the readers who had been using the page longest. On a 21,780-row file: first open 49.6s (parses, then keeps the model), every open after 12.6s.</w:t>
      </w:r>
    </w:p>
    <w:p>
      <w:pPr>
        <w:spacing w:after="140"/>
        <w:ind w:left="360"/>
      </w:pPr>
      <w:r>
        <w:t xml:space="preserve">Two things this must not break, both checked: a restored page has to be </w:t>
      </w:r>
      <w:r>
        <w:rPr>
          <w:b/>
          <w:bCs/>
        </w:rPr>
        <w:t xml:space="preserve">identical</w:t>
      </w:r>
      <w:r>
        <w:t xml:space="preserve">, not merely fast — same rows, dimensions, countries and tile figures as a fresh parse, verified across seven sample shapes including the multi-tab, group-tab and mixed-grain ones. And a cache written before this existed, holding only the workbook, still opens by parsing it exactly as it used to. </w:t>
      </w:r>
      <w:r>
        <w:rPr>
          <w:rFonts w:ascii="Consolas" w:cs="Consolas" w:eastAsia="Consolas" w:hAnsi="Consolas"/>
          <w:shd w:fill="F2F1ED" w:val="clear"/>
        </w:rPr>
        <w:t xml:space="preserve">check_reopen</w:t>
      </w:r>
      <w:r>
        <w:t xml:space="preserve"> proves the restore does no parsing at all by deleting the workbook from the cache first and requiring the page to come up anyway.</w:t>
      </w:r>
    </w:p>
    <w:p>
      <w:pPr>
        <w:spacing w:after="140"/>
        <w:ind w:left="360"/>
      </w:pPr>
      <w:r>
        <w:rPr>
          <w:b/>
          <w:bCs/>
        </w:rPr>
        <w:t xml:space="preserve">Switching country or business is instant again.</w:t>
      </w:r>
      <w:r>
        <w:t xml:space="preserve"> After ingest, three things a render leans on hardest were rebuilt from scratch on every call — and on a global file, one click could cost seconds:</w:t>
      </w:r>
    </w:p>
    <w:p>
      <w:pPr>
        <w:spacing w:after="140"/>
        <w:ind w:left="360"/>
      </w:pPr>
      <w:r>
        <w:t xml:space="preserve">- </w:t>
      </w:r>
      <w:r>
        <w:rPr>
          <w:b/>
          <w:bCs/>
        </w:rPr>
        <w:t xml:space="preserve">`filteredRows()`</w:t>
      </w:r>
      <w:r>
        <w:t xml:space="preserve"> — the rows the current scope holds — is asked for fifty-odd times over one render. It re-filtered the whole file every single time, even for the same scope asked a moment before. It is now cached against everything that decides its answer — the loaded file, the active filters, breakdown mode, </w:t>
      </w:r>
      <w:r>
        <w:rPr>
          <w:rFonts w:ascii="Consolas" w:cs="Consolas" w:eastAsia="Consolas" w:hAnsi="Consolas"/>
          <w:shd w:fill="F2F1ED" w:val="clear"/>
        </w:rPr>
        <w:t xml:space="preserve">grain_reported</w:t>
      </w:r>
      <w:r>
        <w:t xml:space="preserve"> — so the same question within one scope is answered once. - </w:t>
      </w:r>
      <w:r>
        <w:rPr>
          <w:b/>
          <w:bCs/>
        </w:rPr>
        <w:t xml:space="preserve">`cfgMetricList()`</w:t>
      </w:r>
      <w:r>
        <w:t xml:space="preserve"> — every named calculation, read off the Definitions and Metrics tabs — rebuilt fresh new objects on every call, which meant nothing that cached </w:t>
      </w:r>
      <w:r>
        <w:rPr>
          <w:i/>
          <w:iCs/>
        </w:rPr>
        <w:t xml:space="preserve">against</w:t>
      </w:r>
      <w:r>
        <w:t xml:space="preserve"> those objects could ever recognise the same question twice.</w:t>
      </w:r>
    </w:p>
    <w:p>
      <w:pPr>
        <w:spacing w:after="140"/>
        <w:ind w:left="360"/>
      </w:pPr>
      <w:r>
        <w:t xml:space="preserve">It is now rebuilt only when the configuration actually changes. - </w:t>
      </w:r>
      <w:r>
        <w:rPr>
          <w:b/>
          <w:bCs/>
        </w:rPr>
        <w:t xml:space="preserve">`metricRows()`</w:t>
      </w:r>
      <w:r>
        <w:t xml:space="preserve"> — which rows answer a given calculation — is asked for the same calculation many times over one render: once for its tile, again for the tooltip, again in Business performance. With the two caches above making its inputs stable, it now caches its own answer per (calculation, scope) pair instead of rescanning the file each time.</w:t>
      </w:r>
    </w:p>
    <w:p>
      <w:pPr>
        <w:spacing w:after="140"/>
        <w:ind w:left="360"/>
      </w:pPr>
      <w:r>
        <w:t xml:space="preserve">On a 21,780-row file with one calculated metric (Banking NII) declared, switching from the full file to one country used to cost </w:t>
      </w:r>
      <w:r>
        <w:rPr>
          <w:b/>
          <w:bCs/>
        </w:rPr>
        <w:t xml:space="preserve">3.7–4.9 seconds</w:t>
      </w:r>
      <w:r>
        <w:t xml:space="preserve"> — the visible cause of </w:t>
      </w:r>
      <w:r>
        <w:rPr>
          <w:i/>
          <w:iCs/>
        </w:rPr>
        <w:t xml:space="preserve">"opening and reading tab sheet has become extremely slow"</w:t>
      </w:r>
      <w:r>
        <w:t xml:space="preserve">. It now costs </w:t>
      </w:r>
      <w:r>
        <w:rPr>
          <w:b/>
          <w:bCs/>
        </w:rPr>
        <w:t xml:space="preserve">240–290 ms</w:t>
      </w:r>
      <w:r>
        <w:t xml:space="preserve"> for a single country and </w:t>
      </w:r>
      <w:r>
        <w:rPr>
          <w:b/>
          <w:bCs/>
        </w:rPr>
        <w:t xml:space="preserve">around 1.2 seconds</w:t>
      </w:r>
      <w:r>
        <w:t xml:space="preserve"> to go back to the whole file. Nothing about what a figure reads has changed — every check that exercises Banking NII, roll-up, units, grain, or a second file loaded after the first, passes unchanged; a new one (</w:t>
      </w:r>
      <w:r>
        <w:rPr>
          <w:rFonts w:ascii="Consolas" w:cs="Consolas" w:eastAsia="Consolas" w:hAnsi="Consolas"/>
          <w:shd w:fill="F2F1ED" w:val="clear"/>
        </w:rPr>
        <w:t xml:space="preserve">check_frcache</w:t>
      </w:r>
      <w:r>
        <w:t xml:space="preserve">) exists solely to prove that loading a second, different file is never answered from the first file's cached rows.</w:t>
      </w:r>
    </w:p>
    <w:p>
      <w:pPr>
        <w:spacing w:after="140"/>
        <w:ind w:left="360"/>
      </w:pPr>
      <w:r>
        <w:rPr>
          <w:b/>
          <w:bCs/>
        </w:rPr>
        <w:t xml:space="preserve">The commentary answers the comparison the reader selected.</w:t>
      </w:r>
      <w:r>
        <w:t xml:space="preserve"> The variance selector is a statement of what is to be compared. The Management commentary and the Executive decisions panel now write about that basis and no other: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Selected</w:t>
            </w:r>
          </w:p>
        </w:tc>
        <w:tc>
          <w:tcPr>
            <w:shd w:fill="F7E9EA" w:val="clear"/>
            <w:tcMar>
              <w:top w:type="dxa" w:w="60"/>
              <w:left w:type="dxa" w:w="100"/>
              <w:bottom w:type="dxa" w:w="60"/>
              <w:right w:type="dxa" w:w="100"/>
            </w:tcMar>
          </w:tcPr>
          <w:p>
            <w:r>
              <w:rPr>
                <w:b/>
                <w:bCs/>
                <w:color w:val="DB0011"/>
              </w:rPr>
              <w:t xml:space="preserve">The commentary writes</w:t>
            </w:r>
          </w:p>
        </w:tc>
      </w:tr>
      <w:tr>
        <w:tc>
          <w:tcPr>
            <w:tcMar>
              <w:top w:type="dxa" w:w="60"/>
              <w:left w:type="dxa" w:w="100"/>
              <w:bottom w:type="dxa" w:w="60"/>
              <w:right w:type="dxa" w:w="100"/>
            </w:tcMar>
          </w:tcPr>
          <w:p>
            <w:pPr>
              <w:spacing w:after="0"/>
            </w:pPr>
            <w:r>
              <w:t xml:space="preserve">Current QTR vs PY</w:t>
            </w:r>
          </w:p>
        </w:tc>
        <w:tc>
          <w:tcPr>
            <w:tcMar>
              <w:top w:type="dxa" w:w="60"/>
              <w:left w:type="dxa" w:w="100"/>
              <w:bottom w:type="dxa" w:w="60"/>
              <w:right w:type="dxa" w:w="100"/>
            </w:tcMar>
          </w:tcPr>
          <w:p>
            <w:pPr>
              <w:spacing w:after="0"/>
            </w:pPr>
            <w:r>
              <w:rPr>
                <w:i/>
                <w:iCs/>
              </w:rPr>
              <w:t xml:space="preserve">"PBT ex Notables is $131m down on the quarter vs PY."</w:t>
            </w:r>
          </w:p>
        </w:tc>
      </w:tr>
      <w:tr>
        <w:tc>
          <w:tcPr>
            <w:tcMar>
              <w:top w:type="dxa" w:w="60"/>
              <w:left w:type="dxa" w:w="100"/>
              <w:bottom w:type="dxa" w:w="60"/>
              <w:right w:type="dxa" w:w="100"/>
            </w:tcMar>
          </w:tcPr>
          <w:p>
            <w:pPr>
              <w:spacing w:after="0"/>
            </w:pPr>
            <w:r>
              <w:t xml:space="preserve">YTD vs Target</w:t>
            </w:r>
          </w:p>
        </w:tc>
        <w:tc>
          <w:tcPr>
            <w:tcMar>
              <w:top w:type="dxa" w:w="60"/>
              <w:left w:type="dxa" w:w="100"/>
              <w:bottom w:type="dxa" w:w="60"/>
              <w:right w:type="dxa" w:w="100"/>
            </w:tcMar>
          </w:tcPr>
          <w:p>
            <w:pPr>
              <w:spacing w:after="0"/>
            </w:pPr>
            <w:r>
              <w:rPr>
                <w:i/>
                <w:iCs/>
              </w:rPr>
              <w:t xml:space="preserve">"PBT ex Notables is $41m up on YTD vs target."</w:t>
            </w:r>
          </w:p>
        </w:tc>
      </w:tr>
      <w:tr>
        <w:tc>
          <w:tcPr>
            <w:tcMar>
              <w:top w:type="dxa" w:w="60"/>
              <w:left w:type="dxa" w:w="100"/>
              <w:bottom w:type="dxa" w:w="60"/>
              <w:right w:type="dxa" w:w="100"/>
            </w:tcMar>
          </w:tcPr>
          <w:p>
            <w:pPr>
              <w:spacing w:after="0"/>
            </w:pPr>
            <w:r>
              <w:t xml:space="preserve">Month vs Forecast</w:t>
            </w:r>
          </w:p>
        </w:tc>
        <w:tc>
          <w:tcPr>
            <w:tcMar>
              <w:top w:type="dxa" w:w="60"/>
              <w:left w:type="dxa" w:w="100"/>
              <w:bottom w:type="dxa" w:w="60"/>
              <w:right w:type="dxa" w:w="100"/>
            </w:tcMar>
          </w:tcPr>
          <w:p>
            <w:pPr>
              <w:spacing w:after="0"/>
            </w:pPr>
            <w:r>
              <w:rPr>
                <w:i/>
                <w:iCs/>
              </w:rPr>
              <w:t xml:space="preserve">"PBT ex Notables is $59m down on the month vs forecast."</w:t>
            </w:r>
          </w:p>
        </w:tc>
      </w:tr>
    </w:tbl>
    <w:p>
      <w:pPr>
        <w:spacing w:after="160"/>
      </w:pPr>
    </w:p>
    <w:p>
      <w:pPr>
        <w:spacing w:after="140"/>
        <w:ind w:left="360"/>
      </w:pPr>
      <w:r>
        <w:t xml:space="preserve">Both used to answer more than was asked. The commentary recited every basis in one sentence — </w:t>
      </w:r>
      <w:r>
        <w:rPr>
          <w:i/>
          <w:iCs/>
        </w:rPr>
        <w:t xml:space="preserve">"$131m down on the quarter vs PY, $41m down on YTD vs target, $59m down on the month vs forecast, $253m down on the full year vs PY and $78m down on the full year vs target"</w:t>
      </w:r>
      <w:r>
        <w:t xml:space="preserve"> — and the decisions panel appended </w:t>
      </w:r>
      <w:r>
        <w:rPr>
          <w:i/>
          <w:iCs/>
        </w:rPr>
        <w:t xml:space="preserve">"FY outlook vs target"</w:t>
      </w:r>
      <w:r>
        <w:t xml:space="preserve"> to every card whatever the selector said. Choosing actuals against prior-year actuals and being answered with forecast and target reads as though the selection had been ignored, and invites a figure to be taken off the wrong basis.</w:t>
      </w:r>
    </w:p>
    <w:p>
      <w:pPr>
        <w:spacing w:after="140"/>
        <w:ind w:left="360"/>
      </w:pPr>
      <w:r>
        <w:rPr>
          <w:b/>
          <w:bCs/>
        </w:rPr>
        <w:t xml:space="preserve">The commentary reads the same roll-up declarations the tiles read.</w:t>
      </w:r>
      <w:r>
        <w:t xml:space="preserve"> The Rollup tab says which lines carry up and which do not, and the tile has always honoured it — a CER declared </w:t>
      </w:r>
      <w:r>
        <w:rPr>
          <w:rFonts w:ascii="Consolas" w:cs="Consolas" w:eastAsia="Consolas" w:hAnsi="Consolas"/>
          <w:shd w:fill="F2F1ED" w:val="clear"/>
        </w:rPr>
        <w:t xml:space="preserve">Never</w:t>
      </w:r>
      <w:r>
        <w:t xml:space="preserve"> shows </w:t>
      </w:r>
      <w:r>
        <w:rPr>
          <w:rFonts w:ascii="Consolas" w:cs="Consolas" w:eastAsia="Consolas" w:hAnsi="Consolas"/>
          <w:shd w:fill="F2F1ED" w:val="clear"/>
        </w:rPr>
        <w:t xml:space="preserve">–</w:t>
      </w:r>
      <w:r>
        <w:t xml:space="preserve"> and </w:t>
      </w:r>
      <w:r>
        <w:rPr>
          <w:i/>
          <w:iCs/>
        </w:rPr>
        <w:t xml:space="preserve">"reported below this level only"</w:t>
      </w:r>
      <w:r>
        <w:t xml:space="preserve">. The commentary did not: at a Global view it wrote </w:t>
      </w:r>
      <w:r>
        <w:rPr>
          <w:b/>
          <w:bCs/>
        </w:rPr>
        <w:t xml:space="preserve">"CER was ▼$0"</w:t>
      </w:r>
      <w:r>
        <w:t xml:space="preserve">, a ratio summed across three countries and printed as money, beside a tile deliberately refusing to show any figure at all.</w:t>
      </w:r>
    </w:p>
    <w:p>
      <w:pPr>
        <w:spacing w:after="140"/>
        <w:ind w:left="360"/>
      </w:pPr>
      <w:r>
        <w:t xml:space="preserve">Both writers — the pack-format one and the template-styled one — now check the declaration before wording a line, and a line that does not carry up to the level being written about is </w:t>
      </w:r>
      <w:r>
        <w:rPr>
          <w:b/>
          <w:bCs/>
        </w:rPr>
        <w:t xml:space="preserve">named with the reason from the Rollup tab rather than dropped</w:t>
      </w:r>
      <w:r>
        <w:t xml:space="preserve">, in the same words the tile uses:</w:t>
      </w:r>
    </w:p>
    <w:p>
      <w:pPr>
        <w:pBdr>
          <w:left w:val="single" w:color="DB0011" w:sz="12" w:space="12"/>
        </w:pBdr>
        <w:spacing w:after="160" w:before="60"/>
        <w:ind w:left="360"/>
      </w:pPr>
      <w:r>
        <w:rPr>
          <w:i/>
          <w:iCs/>
        </w:rPr>
        <w:t xml:space="preserve">CER — read at the level it is reported, never carried up</w:t>
      </w:r>
    </w:p>
    <w:p>
      <w:pPr>
        <w:spacing w:after="140"/>
        <w:ind w:left="360"/>
      </w:pPr>
      <w:r>
        <w:t xml:space="preserve">It is also kept out of the </w:t>
      </w:r>
      <w:r>
        <w:rPr>
          <w:i/>
          <w:iCs/>
        </w:rPr>
        <w:t xml:space="preserve">"driven by"</w:t>
      </w:r>
      <w:r>
        <w:t xml:space="preserve"> clause, where a summed ratio would otherwise be named as one of the movers behind the result. Lines declared </w:t>
      </w:r>
      <w:r>
        <w:rPr>
          <w:rFonts w:ascii="Consolas" w:cs="Consolas" w:eastAsia="Consolas" w:hAnsi="Consolas"/>
          <w:shd w:fill="F2F1ED" w:val="clear"/>
        </w:rPr>
        <w:t xml:space="preserve">Sum</w:t>
      </w:r>
      <w:r>
        <w:t xml:space="preserve"> are untouched and keep their figures and their drivers.</w:t>
      </w:r>
    </w:p>
    <w:p>
      <w:pPr>
        <w:spacing w:after="140"/>
        <w:ind w:left="360"/>
      </w:pPr>
      <w:r>
        <w:rPr>
          <w:b/>
          <w:bCs/>
        </w:rPr>
        <w:t xml:space="preserve">A line that did not move is not a decision.</w:t>
      </w:r>
      <w:r>
        <w:t xml:space="preserve"> Floating point leaves −4e-12 on a line whose forecast equals its prior forecast, and the rating reads any negative as unfavourable — so such a line was rated </w:t>
      </w:r>
      <w:r>
        <w:rPr>
          <w:i/>
          <w:iCs/>
        </w:rPr>
        <w:t xml:space="preserve">"Unfavourable · ▼0 / ▼0.0%"</w:t>
      </w:r>
      <w:r>
        <w:t xml:space="preserve"> and counted in the decisions badge, beside lines that genuinely moved. A movement below half a unit — the same threshold the commentary uses to decide a comparison said nothing worth a clause — is now rated as no movement.</w:t>
      </w:r>
    </w:p>
    <w:p>
      <w:pPr>
        <w:spacing w:after="140"/>
        <w:ind w:left="360"/>
      </w:pPr>
      <w:r>
        <w:rPr>
          <w:b/>
          <w:bCs/>
        </w:rPr>
        <w:t xml:space="preserve">And the same comparison is not stated twice.</w:t>
      </w:r>
      <w:r>
        <w:t xml:space="preserve"> On </w:t>
      </w:r>
      <w:r>
        <w:rPr>
          <w:i/>
          <w:iCs/>
        </w:rPr>
        <w:t xml:space="preserve">FY26 vs Target</w:t>
      </w:r>
      <w:r>
        <w:t xml:space="preserve"> the card read </w:t>
      </w:r>
      <w:r>
        <w:rPr>
          <w:i/>
          <w:iCs/>
        </w:rPr>
        <w:t xml:space="preserve">"FY26 forecast (3,453) vs FY26 target (3,394) — ▲1.7%"</w:t>
      </w:r>
      <w:r>
        <w:t xml:space="preserve"> and then </w:t>
      </w:r>
      <w:r>
        <w:rPr>
          <w:i/>
          <w:iCs/>
        </w:rPr>
        <w:t xml:space="preserve">"FY outlook (3,453) vs target (3,394) — ▲1.7%"</w:t>
      </w:r>
      <w:r>
        <w:t xml:space="preserve">: one fact, twice, inviting the reader to look for a second that is not there. The full-year gap is dropped where the selected basis already </w:t>
      </w:r>
      <w:r>
        <w:rPr>
          <w:i/>
          <w:iCs/>
        </w:rPr>
        <w:t xml:space="preserve">is</w:t>
      </w:r>
      <w:r>
        <w:t xml:space="preserve"> the full-year gap — that selection picks </w:t>
      </w:r>
      <w:r>
        <w:rPr>
          <w:rFonts w:ascii="Consolas" w:cs="Consolas" w:eastAsia="Consolas" w:hAnsi="Consolas"/>
          <w:shd w:fill="F2F1ED" w:val="clear"/>
        </w:rPr>
        <w:t xml:space="preserve">[fyMain, target]</w:t>
      </w:r>
      <w:r>
        <w:t xml:space="preserve">, so its base is the FY target itself. A </w:t>
      </w:r>
      <w:r>
        <w:rPr>
          <w:i/>
          <w:iCs/>
        </w:rPr>
        <w:t xml:space="preserve">YTD vs Target</w:t>
      </w:r>
      <w:r>
        <w:t xml:space="preserve"> selection picks </w:t>
      </w:r>
      <w:r>
        <w:rPr>
          <w:rFonts w:ascii="Consolas" w:cs="Consolas" w:eastAsia="Consolas" w:hAnsi="Consolas"/>
          <w:shd w:fill="F2F1ED" w:val="clear"/>
        </w:rPr>
        <w:t xml:space="preserve">ytdTgt</w:t>
      </w:r>
      <w:r>
        <w:t xml:space="preserve"> instead, and keeps the full-year gap beside it, because a different period is a second fact rather than the same one reworded.</w:t>
      </w:r>
    </w:p>
    <w:p>
      <w:pPr>
        <w:spacing w:after="140"/>
        <w:ind w:left="360"/>
      </w:pPr>
      <w:r>
        <w:rPr>
          <w:b/>
          <w:bCs/>
        </w:rPr>
        <w:t xml:space="preserve">A ratio is compared on the same basis as the lines beside it.</w:t>
      </w:r>
      <w:r>
        <w:t xml:space="preserve"> </w:t>
      </w:r>
      <w:r>
        <w:rPr>
          <w:rFonts w:ascii="Consolas" w:cs="Consolas" w:eastAsia="Consolas" w:hAnsi="Consolas"/>
          <w:shd w:fill="F2F1ED" w:val="clear"/>
        </w:rPr>
        <w:t xml:space="preserve">ratioKpi</w:t>
      </w:r>
      <w:r>
        <w:t xml:space="preserve"> rebuilt its headline from </w:t>
      </w:r>
      <w:r>
        <w:rPr>
          <w:rFonts w:ascii="Consolas" w:cs="Consolas" w:eastAsia="Consolas" w:hAnsi="Consolas"/>
          <w:shd w:fill="F2F1ED" w:val="clear"/>
        </w:rPr>
        <w:t xml:space="preserve">cmpMode</w:t>
      </w:r>
      <w:r>
        <w:t xml:space="preserve"> alone — and a mode is only </w:t>
      </w:r>
      <w:r>
        <w:rPr>
          <w:rFonts w:ascii="Consolas" w:cs="Consolas" w:eastAsia="Consolas" w:hAnsi="Consolas"/>
          <w:shd w:fill="F2F1ED" w:val="clear"/>
        </w:rPr>
        <w:t xml:space="preserve">py</w:t>
      </w:r>
      <w:r>
        <w:t xml:space="preserve"> / </w:t>
      </w:r>
      <w:r>
        <w:rPr>
          <w:rFonts w:ascii="Consolas" w:cs="Consolas" w:eastAsia="Consolas" w:hAnsi="Consolas"/>
          <w:shd w:fill="F2F1ED" w:val="clear"/>
        </w:rPr>
        <w:t xml:space="preserve">fc</w:t>
      </w:r>
      <w:r>
        <w:t xml:space="preserve"> / </w:t>
      </w:r>
      <w:r>
        <w:rPr>
          <w:rFonts w:ascii="Consolas" w:cs="Consolas" w:eastAsia="Consolas" w:hAnsi="Consolas"/>
          <w:shd w:fill="F2F1ED" w:val="clear"/>
        </w:rPr>
        <w:t xml:space="preserve">tgt</w:t>
      </w:r>
      <w:r>
        <w:t xml:space="preserve">, carrying no period with it. So on </w:t>
      </w:r>
      <w:r>
        <w:rPr>
          <w:i/>
          <w:iCs/>
        </w:rPr>
        <w:t xml:space="preserve">Current QTR vs PY</w:t>
      </w:r>
      <w:r>
        <w:t xml:space="preserve"> a ratio compared year-to-date against year-to-date while every ordinary tile beside it compared the quarter: two different questions answered in one panel, with nothing on screen to say which was which. It now runs the selection's own </w:t>
      </w:r>
      <w:r>
        <w:rPr>
          <w:rFonts w:ascii="Consolas" w:cs="Consolas" w:eastAsia="Consolas" w:hAnsi="Consolas"/>
          <w:shd w:fill="F2F1ED" w:val="clear"/>
        </w:rPr>
        <w:t xml:space="preserve">pick()</w:t>
      </w:r>
      <w:r>
        <w:t xml:space="preserve"> over the ratio's recomputed levels — the same call the ordinary path makes — so CER on a quarter selection reads </w:t>
      </w:r>
      <w:r>
        <w:rPr>
          <w:b/>
          <w:bCs/>
        </w:rPr>
        <w:t xml:space="preserve">0.1918</w:t>
      </w:r>
      <w:r>
        <w:t xml:space="preserve">, the quarter, not the </w:t>
      </w:r>
      <w:r>
        <w:rPr>
          <w:b/>
          <w:bCs/>
        </w:rPr>
        <w:t xml:space="preserve">0.1830</w:t>
      </w:r>
      <w:r>
        <w:t xml:space="preserve"> year-to-date it used to fall back to.</w:t>
      </w:r>
    </w:p>
    <w:p>
      <w:pPr>
        <w:spacing w:after="140"/>
        <w:ind w:left="360"/>
      </w:pPr>
      <w:r>
        <w:rPr>
          <w:b/>
          <w:bCs/>
        </w:rPr>
        <w:t xml:space="preserve">And each comparison reads the column that belongs to it.</w:t>
      </w:r>
      <w:r>
        <w:t xml:space="preserve"> A quarter figure is an actual — it is what the vs-prior-year comparison is built from. Where a file carried no </w:t>
      </w:r>
      <w:r>
        <w:rPr>
          <w:i/>
          <w:iCs/>
        </w:rPr>
        <w:t xml:space="preserve">actual</w:t>
      </w:r>
      <w:r>
        <w:t xml:space="preserve"> quarter column, the page fell back to whatever quarter column it could find, a forecast one included, and put a forecast on one side of an actuals-to-actuals comparison without saying so.</w:t>
      </w:r>
    </w:p>
    <w:p>
      <w:pPr>
        <w:spacing w:after="140"/>
        <w:ind w:left="360"/>
      </w:pPr>
      <w:r>
        <w:t xml:space="preserve">On a file whose only Q2 column is </w:t>
      </w:r>
      <w:r>
        <w:rPr>
          <w:rFonts w:ascii="Consolas" w:cs="Consolas" w:eastAsia="Consolas" w:hAnsi="Consolas"/>
          <w:shd w:fill="F2F1ED" w:val="clear"/>
        </w:rPr>
        <w:t xml:space="preserve">Q2-26 Forecast</w:t>
      </w:r>
      <w:r>
        <w:t xml:space="preserve">, "Q2 2026 vs Q2 2025" read </w:t>
      </w:r>
      <w:r>
        <w:rPr>
          <w:b/>
          <w:bCs/>
        </w:rPr>
        <w:t xml:space="preserve">9,999 against 240</w:t>
      </w:r>
      <w:r>
        <w:t xml:space="preserve"> — a 4,000% movement out of nothing. It now reads the three actual months, 300 against 240. An actual quarter column is still preferred over adding months where the file has one, which on a balance sheet is the difference between a closing position and three times it.</w:t>
      </w:r>
    </w:p>
    <w:p>
      <w:pPr>
        <w:spacing w:after="140"/>
        <w:ind w:left="360"/>
      </w:pPr>
      <w:r>
        <w:t xml:space="preserve">Following the selection means following it in both directions: choose a target or forecast basis and the commentary talks about target or forecast, because that is what was asked for. The </w:t>
      </w:r>
      <w:r>
        <w:rPr>
          <w:b/>
          <w:bCs/>
        </w:rPr>
        <w:t xml:space="preserve">Commentary — all bases</w:t>
      </w:r>
      <w:r>
        <w:t xml:space="preserve"> view is unchanged and still surveys all six: surveying every basis is its purpose, and it is a different question from the one the summary answers.</w:t>
      </w:r>
    </w:p>
    <w:p>
      <w:pPr>
        <w:spacing w:after="140"/>
        <w:ind w:left="360"/>
      </w:pPr>
      <w:r>
        <w:rPr>
          <w:b/>
          <w:bCs/>
        </w:rPr>
        <w:t xml:space="preserve">A tab keeps its business even when its country is not in the hierarchy.</w:t>
      </w:r>
      <w:r>
        <w:t xml:space="preserve"> A tab named </w:t>
      </w:r>
      <w:r>
        <w:rPr>
          <w:rFonts w:ascii="Consolas" w:cs="Consolas" w:eastAsia="Consolas" w:hAnsi="Consolas"/>
          <w:shd w:fill="F2F1ED" w:val="clear"/>
        </w:rPr>
        <w:t xml:space="preserve">IWPB HK ex HASE</w:t>
      </w:r>
      <w:r>
        <w:t xml:space="preserve">, against a </w:t>
      </w:r>
      <w:r>
        <w:rPr>
          <w:rFonts w:ascii="Consolas" w:cs="Consolas" w:eastAsia="Consolas" w:hAnsi="Consolas"/>
          <w:shd w:fill="F2F1ED" w:val="clear"/>
        </w:rPr>
        <w:t xml:space="preserve">CountryHierarchy</w:t>
      </w:r>
      <w:r>
        <w:t xml:space="preserve"> that lists </w:t>
      </w:r>
      <w:r>
        <w:rPr>
          <w:rFonts w:ascii="Consolas" w:cs="Consolas" w:eastAsia="Consolas" w:hAnsi="Consolas"/>
          <w:shd w:fill="F2F1ED" w:val="clear"/>
        </w:rPr>
        <w:t xml:space="preserve">Singapore</w:t>
      </w:r>
      <w:r>
        <w:t xml:space="preserve"> and </w:t>
      </w:r>
      <w:r>
        <w:rPr>
          <w:rFonts w:ascii="Consolas" w:cs="Consolas" w:eastAsia="Consolas" w:hAnsi="Consolas"/>
          <w:shd w:fill="F2F1ED" w:val="clear"/>
        </w:rPr>
        <w:t xml:space="preserve">HASE</w:t>
      </w:r>
      <w:r>
        <w:t xml:space="preserve"> but no </w:t>
      </w:r>
      <w:r>
        <w:rPr>
          <w:rFonts w:ascii="Consolas" w:cs="Consolas" w:eastAsia="Consolas" w:hAnsi="Consolas"/>
          <w:shd w:fill="F2F1ED" w:val="clear"/>
        </w:rPr>
        <w:t xml:space="preserve">HK ex HASE</w:t>
      </w:r>
      <w:r>
        <w:t xml:space="preserve">, used to lose the business altogether: the whole tab name became the country and the </w:t>
      </w:r>
      <w:r>
        <w:rPr>
          <w:rFonts w:ascii="Consolas" w:cs="Consolas" w:eastAsia="Consolas" w:hAnsi="Consolas"/>
          <w:shd w:fill="F2F1ED" w:val="clear"/>
        </w:rPr>
        <w:t xml:space="preserve">Business</w:t>
      </w:r>
      <w:r>
        <w:t xml:space="preserve"> column was left blank. Every Definitions row written for </w:t>
      </w:r>
      <w:r>
        <w:rPr>
          <w:rFonts w:ascii="Consolas" w:cs="Consolas" w:eastAsia="Consolas" w:hAnsi="Consolas"/>
          <w:shd w:fill="F2F1ED" w:val="clear"/>
        </w:rPr>
        <w:t xml:space="preserve">IWPB</w:t>
      </w:r>
      <w:r>
        <w:t xml:space="preserve"> then skipped that tab </w:t>
      </w:r>
      <w:r>
        <w:rPr>
          <w:b/>
          <w:bCs/>
        </w:rPr>
        <w:t xml:space="preserve">in silence</w:t>
      </w:r>
      <w:r>
        <w:t xml:space="preserve">, and the metric simply read low — on a two-tab file, 1,496 where the answer was 2,296.</w:t>
      </w:r>
    </w:p>
    <w:p>
      <w:pPr>
        <w:spacing w:after="140"/>
        <w:ind w:left="360"/>
      </w:pPr>
      <w:r>
        <w:t xml:space="preserve">The business is now taken from the first word of the tab name where the hierarchy cannot place it, so the tab reads as </w:t>
      </w:r>
      <w:r>
        <w:rPr>
          <w:rFonts w:ascii="Consolas" w:cs="Consolas" w:eastAsia="Consolas" w:hAnsi="Consolas"/>
          <w:shd w:fill="F2F1ED" w:val="clear"/>
        </w:rPr>
        <w:t xml:space="preserve">IWPB</w:t>
      </w:r>
      <w:r>
        <w:t xml:space="preserve"> / </w:t>
      </w:r>
      <w:r>
        <w:rPr>
          <w:rFonts w:ascii="Consolas" w:cs="Consolas" w:eastAsia="Consolas" w:hAnsi="Consolas"/>
          <w:shd w:fill="F2F1ED" w:val="clear"/>
        </w:rPr>
        <w:t xml:space="preserve">HK ex HASE</w:t>
      </w:r>
      <w:r>
        <w:t xml:space="preserve">: attributed, and still listed under </w:t>
      </w:r>
      <w:r>
        <w:rPr>
          <w:b/>
          <w:bCs/>
        </w:rPr>
        <w:t xml:space="preserve">Unmapped</w:t>
      </w:r>
      <w:r>
        <w:t xml:space="preserve"> in the ingest report until a row is added to </w:t>
      </w:r>
      <w:r>
        <w:rPr>
          <w:rFonts w:ascii="Consolas" w:cs="Consolas" w:eastAsia="Consolas" w:hAnsi="Consolas"/>
          <w:shd w:fill="F2F1ED" w:val="clear"/>
        </w:rPr>
        <w:t xml:space="preserve">CountryHierarchy</w:t>
      </w:r>
      <w:r>
        <w:t xml:space="preserve"> to give it a region. Where a definition names a business the file genuinely does not carry, the tile says so rather than blaming a line — </w:t>
      </w:r>
      <w:r>
        <w:rPr>
          <w:i/>
          <w:iCs/>
        </w:rPr>
        <w:t xml:space="preserve">"it is written for "GBM", and no row here is that business — this file carries "IWPB""</w:t>
      </w:r>
      <w:r>
        <w:t xml:space="preserve">.</w:t>
      </w:r>
    </w:p>
    <w:p>
      <w:pPr>
        <w:spacing w:after="140"/>
        <w:ind w:left="360"/>
      </w:pPr>
      <w:r>
        <w:rPr>
          <w:b/>
          <w:bCs/>
        </w:rPr>
        <w:t xml:space="preserve">A calculation the file cannot produce keeps its place.</w:t>
      </w:r>
      <w:r>
        <w:t xml:space="preserve"> Naming a line the extract does not carry is an ordinary mistake — </w:t>
      </w:r>
      <w:r>
        <w:rPr>
          <w:rFonts w:ascii="Consolas" w:cs="Consolas" w:eastAsia="Consolas" w:hAnsi="Consolas"/>
          <w:shd w:fill="F2F1ED" w:val="clear"/>
        </w:rPr>
        <w:t xml:space="preserve">NII - Net Interest Income</w:t>
      </w:r>
      <w:r>
        <w:t xml:space="preserve"> against a file that heads it </w:t>
      </w:r>
      <w:r>
        <w:rPr>
          <w:rFonts w:ascii="Consolas" w:cs="Consolas" w:eastAsia="Consolas" w:hAnsi="Consolas"/>
          <w:shd w:fill="F2F1ED" w:val="clear"/>
        </w:rPr>
        <w:t xml:space="preserve">NII - Interest Income</w:t>
      </w:r>
      <w:r>
        <w:t xml:space="preserve"> is one word out — and the page must not answer it by removing the tile: a gap the reader cannot see is a gap they cannot question. No figure is invented, but the tile holds its place on the grid and says why, naming what the file does carry:</w:t>
      </w:r>
    </w:p>
    <w:p>
      <w:pPr>
        <w:pBdr>
          <w:left w:val="single" w:color="DB0011" w:sz="12" w:space="12"/>
        </w:pBdr>
        <w:spacing w:after="160" w:before="60"/>
        <w:ind w:left="360"/>
      </w:pPr>
      <w:r>
        <w:rPr>
          <w:b/>
          <w:bCs/>
          <w:i/>
          <w:iCs/>
        </w:rPr>
        <w:t xml:space="preserve">Banking NII</w:t>
      </w:r>
      <w:r>
        <w:rPr>
          <w:i/>
          <w:iCs/>
        </w:rPr>
        <w:t xml:space="preserve"> — no figure on this file </w:t>
      </w:r>
      <w:r>
        <w:rPr>
          <w:i/>
          <w:iCs/>
        </w:rPr>
        <w:t xml:space="preserve">"NII - Net Interest Income" is not a line at MICA_Level_3 here — the file carries "NII - Interest Income"</w:t>
      </w:r>
    </w:p>
    <w:p>
      <w:pPr>
        <w:spacing w:after="140"/>
        <w:ind w:left="360"/>
      </w:pPr>
      <w:r>
        <w:t xml:space="preserve">Names are compared as sets of words, so word order and punctuation do not defeat the suggestion, and a name with nothing in common offers nothing rather than a misleading guess. Where the line </w:t>
      </w:r>
      <w:r>
        <w:rPr>
          <w:b/>
          <w:bCs/>
        </w:rPr>
        <w:t xml:space="preserve">is</w:t>
      </w:r>
      <w:r>
        <w:t xml:space="preserve"> there and a </w:t>
      </w:r>
      <w:r>
        <w:rPr>
          <w:rFonts w:ascii="Consolas" w:cs="Consolas" w:eastAsia="Consolas" w:hAnsi="Consolas"/>
          <w:shd w:fill="F2F1ED" w:val="clear"/>
        </w:rPr>
        <w:t xml:space="preserve">Product Level</w:t>
      </w:r>
      <w:r>
        <w:t xml:space="preserve"> qualifier is the one thing keeping it out, the card says that instead — </w:t>
      </w:r>
      <w:r>
        <w:rPr>
          <w:i/>
          <w:iCs/>
        </w:rPr>
        <w:t xml:space="preserve">"NII - Interest Income" is here, but no row of it meets "Product_Level_7 = Wealth"</w:t>
      </w:r>
      <w:r>
        <w:t xml:space="preserve"> — because "line not found" would send the reader after the wrong thing.</w:t>
      </w:r>
    </w:p>
    <w:p>
      <w:pPr>
        <w:spacing w:after="140"/>
        <w:ind w:left="360"/>
      </w:pPr>
      <w:r>
        <w:t xml:space="preserve">The ingest report carries the same distinction: a component that merely fails to match leaves the total too big or too small and says so, while a definition </w:t>
      </w:r>
      <w:r>
        <w:rPr>
          <w:b/>
          <w:bCs/>
        </w:rPr>
        <w:t xml:space="preserve">none</w:t>
      </w:r>
      <w:r>
        <w:t xml:space="preserve"> of whose lines are in the file reads </w:t>
      </w:r>
      <w:r>
        <w:rPr>
          <w:i/>
          <w:iCs/>
        </w:rPr>
        <w:t xml:space="preserve">"nothing this definition names is in the file, so Banking NII has no figure here and no tile"</w:t>
      </w:r>
      <w:r>
        <w:t xml:space="preserve">.</w:t>
      </w:r>
    </w:p>
    <w:p>
      <w:pPr>
        <w:spacing w:after="140"/>
        <w:ind w:left="360"/>
      </w:pPr>
      <w:r>
        <w:rPr>
          <w:b/>
          <w:bCs/>
        </w:rPr>
        <w:t xml:space="preserve">What `−` does.</w:t>
      </w:r>
      <w:r>
        <w:t xml:space="preserve"> It reads as one sentence — </w:t>
      </w:r>
      <w:r>
        <w:rPr>
          <w:i/>
          <w:iCs/>
        </w:rPr>
        <w:t xml:space="preserve">the base, less that line</w:t>
      </w:r>
      <w:r>
        <w:t xml:space="preserve"> — and takes whichever of two forms the data calls for: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Where the line taken out sits</w:t>
            </w:r>
          </w:p>
        </w:tc>
        <w:tc>
          <w:tcPr>
            <w:shd w:fill="F7E9EA" w:val="clear"/>
            <w:tcMar>
              <w:top w:type="dxa" w:w="60"/>
              <w:left w:type="dxa" w:w="100"/>
              <w:bottom w:type="dxa" w:w="60"/>
              <w:right w:type="dxa" w:w="100"/>
            </w:tcMar>
          </w:tcPr>
          <w:p>
            <w:r>
              <w:rPr>
                <w:b/>
                <w:bCs/>
                <w:color w:val="DB0011"/>
              </w:rPr>
              <w:t xml:space="preserve">What happens</w:t>
            </w:r>
          </w:p>
        </w:tc>
      </w:tr>
      <w:tr>
        <w:tc>
          <w:tcPr>
            <w:tcMar>
              <w:top w:type="dxa" w:w="60"/>
              <w:left w:type="dxa" w:w="100"/>
              <w:bottom w:type="dxa" w:w="60"/>
              <w:right w:type="dxa" w:w="100"/>
            </w:tcMar>
          </w:tcPr>
          <w:p>
            <w:pPr>
              <w:spacing w:after="0"/>
            </w:pPr>
            <w:r>
              <w:rPr>
                <w:b/>
                <w:bCs/>
              </w:rPr>
              <w:t xml:space="preserve">inside the base</w:t>
            </w:r>
            <w:r>
              <w:t xml:space="preserve"> — </w:t>
            </w:r>
            <w:r>
              <w:rPr>
                <w:rFonts w:ascii="Consolas" w:cs="Consolas" w:eastAsia="Consolas" w:hAnsi="Consolas"/>
                <w:shd w:fill="F2F1ED" w:val="clear"/>
              </w:rPr>
              <w:t xml:space="preserve">Net Insurance Revenue</w:t>
            </w:r>
            <w:r>
              <w:t xml:space="preserve"> carved out of </w:t>
            </w:r>
            <w:r>
              <w:rPr>
                <w:rFonts w:ascii="Consolas" w:cs="Consolas" w:eastAsia="Consolas" w:hAnsi="Consolas"/>
                <w:shd w:fill="F2F1ED" w:val="clear"/>
              </w:rPr>
              <w:t xml:space="preserve">Revenue</w:t>
            </w:r>
          </w:p>
        </w:tc>
        <w:tc>
          <w:tcPr>
            <w:tcMar>
              <w:top w:type="dxa" w:w="60"/>
              <w:left w:type="dxa" w:w="100"/>
              <w:bottom w:type="dxa" w:w="60"/>
              <w:right w:type="dxa" w:w="100"/>
            </w:tcMar>
          </w:tcPr>
          <w:p>
            <w:pPr>
              <w:spacing w:after="0"/>
            </w:pPr>
            <w:r>
              <w:t xml:space="preserve">its rows are </w:t>
            </w:r>
            <w:r>
              <w:rPr>
                <w:b/>
                <w:bCs/>
              </w:rPr>
              <w:t xml:space="preserve">removed from the selection</w:t>
            </w:r>
          </w:p>
        </w:tc>
      </w:tr>
      <w:tr>
        <w:tc>
          <w:tcPr>
            <w:tcMar>
              <w:top w:type="dxa" w:w="60"/>
              <w:left w:type="dxa" w:w="100"/>
              <w:bottom w:type="dxa" w:w="60"/>
              <w:right w:type="dxa" w:w="100"/>
            </w:tcMar>
          </w:tcPr>
          <w:p>
            <w:pPr>
              <w:spacing w:after="0"/>
            </w:pPr>
            <w:r>
              <w:rPr>
                <w:b/>
                <w:bCs/>
              </w:rPr>
              <w:t xml:space="preserve">outside the base</w:t>
            </w:r>
            <w:r>
              <w:t xml:space="preserve"> — the same line carved out of </w:t>
            </w:r>
            <w:r>
              <w:rPr>
                <w:rFonts w:ascii="Consolas" w:cs="Consolas" w:eastAsia="Consolas" w:hAnsi="Consolas"/>
                <w:shd w:fill="F2F1ED" w:val="clear"/>
              </w:rPr>
              <w:t xml:space="preserve">NII - Net Interest Income</w:t>
            </w:r>
          </w:p>
        </w:tc>
        <w:tc>
          <w:tcPr>
            <w:tcMar>
              <w:top w:type="dxa" w:w="60"/>
              <w:left w:type="dxa" w:w="100"/>
              <w:bottom w:type="dxa" w:w="60"/>
              <w:right w:type="dxa" w:w="100"/>
            </w:tcMar>
          </w:tcPr>
          <w:p>
            <w:pPr>
              <w:spacing w:after="0"/>
            </w:pPr>
            <w:r>
              <w:t xml:space="preserve">there is nothing to remove, so its </w:t>
            </w:r>
            <w:r>
              <w:rPr>
                <w:b/>
                <w:bCs/>
              </w:rPr>
              <w:t xml:space="preserve">value is subtracted</w:t>
            </w:r>
          </w:p>
        </w:tc>
      </w:tr>
    </w:tbl>
    <w:p>
      <w:pPr>
        <w:spacing w:after="160"/>
      </w:pPr>
    </w:p>
    <w:p>
      <w:pPr>
        <w:spacing w:after="140"/>
        <w:ind w:left="360"/>
      </w:pPr>
      <w:r>
        <w:t xml:space="preserve">Both give "the base less that line". The second is carried as rows of its own, named </w:t>
      </w:r>
      <w:r>
        <w:rPr>
          <w:rFonts w:ascii="Consolas" w:cs="Consolas" w:eastAsia="Consolas" w:hAnsi="Consolas"/>
          <w:shd w:fill="F2F1ED" w:val="clear"/>
        </w:rPr>
        <w:t xml:space="preserve">less &lt;line&gt;</w:t>
      </w:r>
      <w:r>
        <w:t xml:space="preserve">, so every figure downstream sums it exactly as it sums everything else and a drill-down shows it rather than hiding it. There is </w:t>
      </w:r>
      <w:r>
        <w:rPr>
          <w:b/>
          <w:bCs/>
        </w:rPr>
        <w:t xml:space="preserve">one such row per row it stands for</w:t>
      </w:r>
      <w:r>
        <w:t xml:space="preserve">, keeping that row's country, product and segment: a single lumped deduction would carry the first row's dimensions, so the total would still foot while every split by geography was wrong — the worst kind of error, because nothing looks amiss.</w:t>
      </w:r>
    </w:p>
    <w:p>
      <w:pPr>
        <w:spacing w:after="140"/>
        <w:ind w:left="360"/>
      </w:pPr>
      <w:r>
        <w:t xml:space="preserve">The ingest report says which form applied and what it was worth. Note that where the line removed is itself negative, "less" </w:t>
      </w:r>
      <w:r>
        <w:rPr>
          <w:b/>
          <w:bCs/>
        </w:rPr>
        <w:t xml:space="preserve">raises</w:t>
      </w:r>
      <w:r>
        <w:t xml:space="preserve"> the total — insurance at (396) taken out of NII of 1,100 gives 1,496 — which is arithmetic, not a fault.</w:t>
      </w:r>
    </w:p>
    <w:p>
      <w:pPr>
        <w:spacing w:after="140"/>
        <w:ind w:left="360"/>
      </w:pPr>
      <w:r>
        <w:rPr>
          <w:b/>
          <w:bCs/>
        </w:rPr>
        <w:t xml:space="preserve">A metric must equal what it says it is.</w:t>
      </w:r>
      <w:r>
        <w:t xml:space="preserve"> Where a definition starts from a line — </w:t>
      </w:r>
      <w:r>
        <w:rPr>
          <w:rFonts w:ascii="Consolas" w:cs="Consolas" w:eastAsia="Consolas" w:hAnsi="Consolas"/>
          <w:shd w:fill="F2F1ED" w:val="clear"/>
        </w:rPr>
        <w:t xml:space="preserve">Banking NII = Revenue less Net Insurance Revenue</w:t>
      </w:r>
      <w:r>
        <w:t xml:space="preserve"> — the ingest report tests that identity on the loaded file, per business: the metric's own rows against the line less the rows taken out. It is the identity that is checked, not the sizes, because where the line taken out is itself negative the metric </w:t>
      </w:r>
      <w:r>
        <w:rPr>
          <w:i/>
          <w:iCs/>
        </w:rPr>
        <w:t xml:space="preserve">should</w:t>
      </w:r>
      <w:r>
        <w:t xml:space="preserve"> come out above its base. Two things can be said: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What the report finds</w:t>
            </w:r>
          </w:p>
        </w:tc>
        <w:tc>
          <w:tcPr>
            <w:shd w:fill="F7E9EA" w:val="clear"/>
            <w:tcMar>
              <w:top w:type="dxa" w:w="60"/>
              <w:left w:type="dxa" w:w="100"/>
              <w:bottom w:type="dxa" w:w="60"/>
              <w:right w:type="dxa" w:w="100"/>
            </w:tcMar>
          </w:tcPr>
          <w:p>
            <w:r>
              <w:rPr>
                <w:b/>
                <w:bCs/>
                <w:color w:val="DB0011"/>
              </w:rPr>
              <w:t xml:space="preserve">What it says</w:t>
            </w:r>
          </w:p>
        </w:tc>
      </w:tr>
      <w:tr>
        <w:tc>
          <w:tcPr>
            <w:tcMar>
              <w:top w:type="dxa" w:w="60"/>
              <w:left w:type="dxa" w:w="100"/>
              <w:bottom w:type="dxa" w:w="60"/>
              <w:right w:type="dxa" w:w="100"/>
            </w:tcMar>
          </w:tcPr>
          <w:p>
            <w:pPr>
              <w:spacing w:after="0"/>
            </w:pPr>
            <w:r>
              <w:t xml:space="preserve">the identity fails</w:t>
            </w:r>
          </w:p>
        </w:tc>
        <w:tc>
          <w:tcPr>
            <w:tcMar>
              <w:top w:type="dxa" w:w="60"/>
              <w:left w:type="dxa" w:w="100"/>
              <w:bottom w:type="dxa" w:w="60"/>
              <w:right w:type="dxa" w:w="100"/>
            </w:tcMar>
          </w:tcPr>
          <w:p>
            <w:pPr>
              <w:spacing w:after="0"/>
            </w:pPr>
            <w:r>
              <w:rPr>
                <w:i/>
                <w:iCs/>
              </w:rPr>
              <w:t xml:space="preserve">"</w:t>
            </w:r>
            <w:r>
              <w:rPr>
                <w:i/>
                <w:iCs/>
              </w:rPr>
              <w:t xml:space="preserve">Banking NII (IWPB) reads 812 where Revenue less what it excludes is 750</w:t>
            </w:r>
            <w:r>
              <w:t xml:space="preserve">* — its selection reaches rows outside Revenue."*</w:t>
            </w:r>
          </w:p>
        </w:tc>
      </w:tr>
      <w:tr>
        <w:tc>
          <w:tcPr>
            <w:tcMar>
              <w:top w:type="dxa" w:w="60"/>
              <w:left w:type="dxa" w:w="100"/>
              <w:bottom w:type="dxa" w:w="60"/>
              <w:right w:type="dxa" w:w="100"/>
            </w:tcMar>
          </w:tcPr>
          <w:p>
            <w:pPr>
              <w:spacing w:after="0"/>
            </w:pPr>
            <w:r>
              <w:t xml:space="preserve">the identity holds, but the metric is above its base because the excluded line is negative</w:t>
            </w:r>
          </w:p>
        </w:tc>
        <w:tc>
          <w:tcPr>
            <w:tcMar>
              <w:top w:type="dxa" w:w="60"/>
              <w:left w:type="dxa" w:w="100"/>
              <w:bottom w:type="dxa" w:w="60"/>
              <w:right w:type="dxa" w:w="100"/>
            </w:tcMar>
          </w:tcPr>
          <w:p>
            <w:pPr>
              <w:spacing w:after="0"/>
            </w:pPr>
            <w:r>
              <w:rPr>
                <w:i/>
                <w:iCs/>
              </w:rPr>
              <w:t xml:space="preserve">"Banking NII (IWPB) reads 1,146, above Revenue at 750, because Net Insurance Revenue is itself negative at (396) — taking it out raises the total. The definition is doing what it says."</w:t>
            </w:r>
          </w:p>
        </w:tc>
      </w:tr>
    </w:tbl>
    <w:p>
      <w:pPr>
        <w:spacing w:after="160"/>
      </w:pPr>
    </w:p>
    <w:p>
      <w:pPr>
        <w:spacing w:after="140"/>
        <w:ind w:left="360"/>
      </w:pPr>
      <w:r>
        <w:t xml:space="preserve">The first is bold, because it is a fault to look into; the second is plain, because it is arithmetic and needs only to be understood.</w:t>
      </w:r>
    </w:p>
    <w:p>
      <w:pPr>
        <w:spacing w:after="140"/>
        <w:ind w:left="360"/>
      </w:pPr>
      <w:r>
        <w:rPr>
          <w:b/>
          <w:bCs/>
        </w:rPr>
        <w:t xml:space="preserve">A count is not money either.</w:t>
      </w:r>
      <w:r>
        <w:t xml:space="preserve"> </w:t>
      </w:r>
      <w:r>
        <w:rPr>
          <w:rFonts w:ascii="Consolas" w:cs="Consolas" w:eastAsia="Consolas" w:hAnsi="Consolas"/>
          <w:shd w:fill="F2F1ED" w:val="clear"/>
        </w:rPr>
        <w:t xml:space="preserve">count_patterns</w:t>
      </w:r>
      <w:r>
        <w:t xml:space="preserve"> (default: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count(s)</w:t>
      </w:r>
      <w:r>
        <w:t xml:space="preserve">, </w:t>
      </w:r>
      <w:r>
        <w:rPr>
          <w:rFonts w:ascii="Consolas" w:cs="Consolas" w:eastAsia="Consolas" w:hAnsi="Consolas"/>
          <w:shd w:fill="F2F1ED" w:val="clear"/>
        </w:rPr>
        <w:t xml:space="preserve">customers</w:t>
      </w:r>
      <w:r>
        <w:t xml:space="preserve">, </w:t>
      </w:r>
      <w:r>
        <w:rPr>
          <w:rFonts w:ascii="Consolas" w:cs="Consolas" w:eastAsia="Consolas" w:hAnsi="Consolas"/>
          <w:shd w:fill="F2F1ED" w:val="clear"/>
        </w:rPr>
        <w:t xml:space="preserve">nos</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heads</w:t>
      </w:r>
      <w:r>
        <w:t xml:space="preserve">) names the lines that are a number of things rather than an amount of money. Such a line is printed as a plain number — no currency, no restatement into millions or billions because its rows sit under a Key Metrics or memo heading — and it never joins a money total. This is what the </w:t>
      </w:r>
      <w:r>
        <w:rPr>
          <w:rFonts w:ascii="Consolas" w:cs="Consolas" w:eastAsia="Consolas" w:hAnsi="Consolas"/>
          <w:shd w:fill="F2F1ED" w:val="clear"/>
        </w:rPr>
        <w:t xml:space="preserve">Unit</w:t>
      </w:r>
      <w:r>
        <w:t xml:space="preserve"> column says explicitly where a file carries one; the patterns are how a file that carries no units is still read correctly.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headcount</w:t>
      </w:r>
      <w:r>
        <w:t xml:space="preserve"> and </w:t>
      </w:r>
      <w:r>
        <w:rPr>
          <w:rFonts w:ascii="Consolas" w:cs="Consolas" w:eastAsia="Consolas" w:hAnsi="Consolas"/>
          <w:shd w:fill="F2F1ED" w:val="clear"/>
        </w:rPr>
        <w:t xml:space="preserve">count</w:t>
      </w:r>
      <w:r>
        <w:t xml:space="preserve"> used to sit in </w:t>
      </w:r>
      <w:r>
        <w:rPr>
          <w:rFonts w:ascii="Consolas" w:cs="Consolas" w:eastAsia="Consolas" w:hAnsi="Consolas"/>
          <w:shd w:fill="F2F1ED" w:val="clear"/>
        </w:rPr>
        <w:t xml:space="preserve">ratio_patterns</w:t>
      </w:r>
      <w:r>
        <w:t xml:space="preserve">, which made a headcount a ratio; they now have their own setting.)</w:t>
      </w:r>
    </w:p>
    <w:p>
      <w:pPr>
        <w:spacing w:after="140"/>
        <w:ind w:left="360"/>
      </w:pPr>
      <w:r>
        <w:rPr>
          <w:b/>
          <w:bCs/>
        </w:rPr>
        <w:t xml:space="preserve">A ratio is never printed on a money basis.</w:t>
      </w:r>
      <w:r>
        <w:t xml:space="preserve"> Three things can say a line is a ratio, and any one is enough: the file states its unit as </w:t>
      </w:r>
      <w:r>
        <w:rPr>
          <w:rFonts w:ascii="Consolas" w:cs="Consolas" w:eastAsia="Consolas" w:hAnsi="Consolas"/>
          <w:shd w:fill="F2F1ED" w:val="clear"/>
        </w:rPr>
        <w:t xml:space="preserve">%</w:t>
      </w:r>
      <w:r>
        <w:t xml:space="preserve">, the pack declares its </w:t>
      </w:r>
      <w:r>
        <w:rPr>
          <w:rFonts w:ascii="Consolas" w:cs="Consolas" w:eastAsia="Consolas" w:hAnsi="Consolas"/>
          <w:shd w:fill="F2F1ED" w:val="clear"/>
        </w:rPr>
        <w:t xml:space="preserve">Basis</w:t>
      </w:r>
      <w:r>
        <w:t xml:space="preserve"> as </w:t>
      </w:r>
      <w:r>
        <w:rPr>
          <w:rFonts w:ascii="Consolas" w:cs="Consolas" w:eastAsia="Consolas" w:hAnsi="Consolas"/>
          <w:shd w:fill="F2F1ED" w:val="clear"/>
        </w:rPr>
        <w:t xml:space="preserve">Ratio</w:t>
      </w:r>
      <w:r>
        <w:t xml:space="preserve">, or the name itself says so (</w:t>
      </w:r>
      <w:r>
        <w:rPr>
          <w:rFonts w:ascii="Consolas" w:cs="Consolas" w:eastAsia="Consolas" w:hAnsi="Consolas"/>
          <w:shd w:fill="F2F1ED" w:val="clear"/>
        </w:rPr>
        <w:t xml:space="preserve">ratio_patterns</w:t>
      </w:r>
      <w:r>
        <w:t xml:space="preserve"> — CER, ROTE, bps, %). Such a line is shown as the ratio it is — no currency, no restatement into billions because its rows happen to sit beside the balance sheet, and read year to date rather than as a closing balance, since a ratio is not a stock.</w:t>
      </w:r>
    </w:p>
    <w:p>
      <w:pPr>
        <w:spacing w:after="140"/>
        <w:ind w:left="360"/>
      </w:pPr>
      <w:r>
        <w:t xml:space="preserve">Its movements are in ratio points (</w:t>
      </w:r>
      <w:r>
        <w:rPr>
          <w:rFonts w:ascii="Consolas" w:cs="Consolas" w:eastAsia="Consolas" w:hAnsi="Consolas"/>
          <w:shd w:fill="F2F1ED" w:val="clear"/>
        </w:rPr>
        <w:t xml:space="preserve">▼0.01</w:t>
      </w:r>
      <w:r>
        <w:t xml:space="preserve">) with the percentage change beside them. The same precedence applies here as everywhere: what the pack declares, then what the file states, and only then the name patterns — so a line the file calls </w:t>
      </w:r>
      <w:r>
        <w:rPr>
          <w:rFonts w:ascii="Consolas" w:cs="Consolas" w:eastAsia="Consolas" w:hAnsi="Consolas"/>
          <w:shd w:fill="F2F1ED" w:val="clear"/>
        </w:rPr>
        <w:t xml:space="preserve">Absolute</w:t>
      </w:r>
      <w:r>
        <w:t xml:space="preserve"> is a count even if the patterns would have caught its name.</w:t>
      </w:r>
    </w:p>
    <w:p>
      <w:pPr>
        <w:spacing w:after="140"/>
        <w:ind w:left="360"/>
      </w:pPr>
      <w:r>
        <w:rPr>
          <w:b/>
          <w:bCs/>
        </w:rPr>
        <w:t xml:space="preserve">A ratio is never carried up.</w:t>
      </w:r>
      <w:r>
        <w:t xml:space="preserve"> By default it is shown exactly as the file reports it, at the level the file reports it, and is never added, averaged or rolled into anything — Group CER is not the mean of the countries' CERs, so the page does not offer one.</w:t>
      </w:r>
    </w:p>
    <w:p>
      <w:pPr>
        <w:spacing w:after="140"/>
        <w:ind w:left="360"/>
      </w:pPr>
      <w:r>
        <w:rPr>
          <w:b/>
          <w:bCs/>
        </w:rPr>
        <w:t xml:space="preserve">`ratio_recompute` (off by default)</w:t>
      </w:r>
      <w:r>
        <w:t xml:space="preserve"> turns on the alternative: rebuilding the ratio at whatever level is asked for, from its components. The </w:t>
      </w:r>
      <w:r>
        <w:rPr>
          <w:b/>
          <w:bCs/>
        </w:rPr>
        <w:t xml:space="preserve">Definitions</w:t>
      </w:r>
      <w:r>
        <w:t xml:space="preserve"> tab states it in the lineage form already used for calculated metrics, with one addition — a component whose </w:t>
      </w:r>
      <w:r>
        <w:rPr>
          <w:rFonts w:ascii="Consolas" w:cs="Consolas" w:eastAsia="Consolas" w:hAnsi="Consolas"/>
          <w:shd w:fill="F2F1ED" w:val="clear"/>
        </w:rPr>
        <w:t xml:space="preserve">Include</w:t>
      </w:r>
      <w:r>
        <w:t xml:space="preserve"> cell reads </w:t>
      </w:r>
      <w:r>
        <w:rPr>
          <w:b/>
          <w:bCs/>
        </w:rPr>
        <w:t xml:space="preserve">`/`</w:t>
      </w:r>
      <w:r>
        <w:t xml:space="preserve"> (or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den</w:t>
      </w:r>
      <w:r>
        <w:t xml:space="preserve">, </w:t>
      </w:r>
      <w:r>
        <w:rPr>
          <w:rFonts w:ascii="Consolas" w:cs="Consolas" w:eastAsia="Consolas" w:hAnsi="Consolas"/>
          <w:shd w:fill="F2F1ED" w:val="clear"/>
        </w:rPr>
        <w:t xml:space="preserve">over</w:t>
      </w:r>
      <w:r>
        <w:t xml:space="preserve">) is the </w:t>
      </w:r>
      <w:r>
        <w:rPr>
          <w:b/>
          <w:bCs/>
        </w:rPr>
        <w:t xml:space="preserve">denominator</w:t>
      </w:r>
      <w:r>
        <w:t xml:space="preserve">, and the </w:t>
      </w:r>
      <w:r>
        <w:rPr>
          <w:rFonts w:ascii="Consolas" w:cs="Consolas" w:eastAsia="Consolas" w:hAnsi="Consolas"/>
          <w:shd w:fill="F2F1ED" w:val="clear"/>
        </w:rPr>
        <w:t xml:space="preserve">+</w:t>
      </w:r>
      <w:r>
        <w:t xml:space="preserve"> / </w:t>
      </w:r>
      <w:r>
        <w:rPr>
          <w:rFonts w:ascii="Consolas" w:cs="Consolas" w:eastAsia="Consolas" w:hAnsi="Consolas"/>
          <w:shd w:fill="F2F1ED" w:val="clear"/>
        </w:rPr>
        <w:t xml:space="preserve">−</w:t>
      </w:r>
      <w:r>
        <w:t xml:space="preserve"> components are the numerator.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Calculation</w:t>
            </w:r>
          </w:p>
        </w:tc>
        <w:tc>
          <w:tcPr>
            <w:shd w:fill="F7E9EA" w:val="clear"/>
            <w:tcMar>
              <w:top w:type="dxa" w:w="60"/>
              <w:left w:type="dxa" w:w="100"/>
              <w:bottom w:type="dxa" w:w="60"/>
              <w:right w:type="dxa" w:w="100"/>
            </w:tcMar>
          </w:tcPr>
          <w:p>
            <w:r>
              <w:rPr>
                <w:b/>
                <w:bCs/>
                <w:color w:val="DB0011"/>
              </w:rPr>
              <w:t xml:space="preserve">Business</w:t>
            </w:r>
          </w:p>
        </w:tc>
        <w:tc>
          <w:tcPr>
            <w:shd w:fill="F7E9EA" w:val="clear"/>
            <w:tcMar>
              <w:top w:type="dxa" w:w="60"/>
              <w:left w:type="dxa" w:w="100"/>
              <w:bottom w:type="dxa" w:w="60"/>
              <w:right w:type="dxa" w:w="100"/>
            </w:tcMar>
          </w:tcPr>
          <w:p>
            <w:r>
              <w:rPr>
                <w:b/>
                <w:bCs/>
                <w:color w:val="DB0011"/>
              </w:rPr>
              <w:t xml:space="preserve">Line</w:t>
            </w:r>
          </w:p>
        </w:tc>
        <w:tc>
          <w:tcPr>
            <w:shd w:fill="F7E9EA" w:val="clear"/>
            <w:tcMar>
              <w:top w:type="dxa" w:w="60"/>
              <w:left w:type="dxa" w:w="100"/>
              <w:bottom w:type="dxa" w:w="60"/>
              <w:right w:type="dxa" w:w="100"/>
            </w:tcMar>
          </w:tcPr>
          <w:p>
            <w:r>
              <w:rPr>
                <w:b/>
                <w:bCs/>
                <w:color w:val="DB0011"/>
              </w:rPr>
              <w:t xml:space="preserve">Include</w:t>
            </w:r>
          </w:p>
        </w:tc>
        <w:tc>
          <w:tcPr>
            <w:shd w:fill="F7E9EA" w:val="clear"/>
            <w:tcMar>
              <w:top w:type="dxa" w:w="60"/>
              <w:left w:type="dxa" w:w="100"/>
              <w:bottom w:type="dxa" w:w="60"/>
              <w:right w:type="dxa" w:w="100"/>
            </w:tcMar>
          </w:tcPr>
          <w:p>
            <w:r>
              <w:rPr>
                <w:b/>
                <w:bCs/>
                <w:color w:val="DB0011"/>
              </w:rPr>
              <w:t xml:space="preserve">MICA level</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Direct Cost</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Indirect Costs</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Revenue</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bl>
    <w:p>
      <w:pPr>
        <w:spacing w:after="160"/>
      </w:pPr>
    </w:p>
    <w:p>
      <w:pPr>
        <w:spacing w:after="140"/>
        <w:ind w:left="360"/>
      </w:pPr>
      <w:r>
        <w:t xml:space="preserve">With it on, wherever that line appears, at whatever scope, it is worked out again from the lines in that scope — the KPI tile, the drill-down, each Business performance cell, each Financial Summary row — and </w:t>
      </w:r>
      <w:r>
        <w:rPr>
          <w:b/>
          <w:bCs/>
        </w:rPr>
        <w:t xml:space="preserve">every basis with it</w:t>
      </w:r>
      <w:r>
        <w:t xml:space="preserve">: the prior year ratio is PY cost over PY revenue, the target ratio is target over target, and the monthly path is a ratio month by month rather than a running sum. Three details the pack does not have to state: a file carrying costs as negatives still prints a positive ratio (opposite-signed sides are taken on their magnitudes); direction follows the numerator, so a rising CER rates unfavourable while a rising ROTE does not; and a line the extract calls </w:t>
      </w:r>
      <w:r>
        <w:rPr>
          <w:rFonts w:ascii="Consolas" w:cs="Consolas" w:eastAsia="Consolas" w:hAnsi="Consolas"/>
          <w:shd w:fill="F2F1ED" w:val="clear"/>
        </w:rPr>
        <w:t xml:space="preserve">CER%</w:t>
      </w:r>
      <w:r>
        <w:t xml:space="preserve"> resolves to a definition written as </w:t>
      </w:r>
      <w:r>
        <w:rPr>
          <w:rFonts w:ascii="Consolas" w:cs="Consolas" w:eastAsia="Consolas" w:hAnsi="Consolas"/>
          <w:shd w:fill="F2F1ED" w:val="clear"/>
        </w:rPr>
        <w:t xml:space="preserve">CER</w:t>
      </w:r>
      <w:r>
        <w:t xml:space="preserve"> — punctuation and a trailing per-cent sign are not a different metric, and the </w:t>
      </w:r>
      <w:r>
        <w:rPr>
          <w:rFonts w:ascii="Consolas" w:cs="Consolas" w:eastAsia="Consolas" w:hAnsi="Consolas"/>
          <w:shd w:fill="F2F1ED" w:val="clear"/>
        </w:rPr>
        <w:t xml:space="preserve">Match</w:t>
      </w:r>
      <w:r>
        <w:t xml:space="preserve"> column names the rest.</w:t>
      </w:r>
    </w:p>
    <w:p>
      <w:pPr>
        <w:spacing w:after="140"/>
        <w:ind w:left="360"/>
      </w:pPr>
      <w:r>
        <w:t xml:space="preserve">Where the file </w:t>
      </w:r>
      <w:r>
        <w:rPr>
          <w:i/>
          <w:iCs/>
        </w:rPr>
        <w:t xml:space="preserve">also</w:t>
      </w:r>
      <w:r>
        <w:t xml:space="preserve"> reports the line, the reconciliation says so, so the two can be compared rather than one quietly winning — on the sample extract the reported CER% reads 0.52 against 0.5096 rebuilt from its own cost and revenue lines. </w:t>
      </w:r>
      <w:r>
        <w:rPr>
          <w:rFonts w:ascii="Consolas" w:cs="Consolas" w:eastAsia="Consolas" w:hAnsi="Consolas"/>
          <w:shd w:fill="F2F1ED" w:val="clear"/>
        </w:rPr>
        <w:t xml:space="preserve">ratio_display</w:t>
      </w:r>
      <w:r>
        <w:t xml:space="preserve"> (</w:t>
      </w:r>
      <w:r>
        <w:rPr>
          <w:rFonts w:ascii="Consolas" w:cs="Consolas" w:eastAsia="Consolas" w:hAnsi="Consolas"/>
          <w:shd w:fill="F2F1ED" w:val="clear"/>
        </w:rPr>
        <w:t xml:space="preserve">as reported</w:t>
      </w:r>
      <w:r>
        <w:t xml:space="preserve"> by default, or </w:t>
      </w:r>
      <w:r>
        <w:rPr>
          <w:rFonts w:ascii="Consolas" w:cs="Consolas" w:eastAsia="Consolas" w:hAnsi="Consolas"/>
          <w:shd w:fill="F2F1ED" w:val="clear"/>
        </w:rPr>
        <w:t xml:space="preserve">percent</w:t>
      </w:r>
      <w:r>
        <w:t xml:space="preserve">) decides whether </w:t>
      </w:r>
      <w:r>
        <w:rPr>
          <w:rFonts w:ascii="Consolas" w:cs="Consolas" w:eastAsia="Consolas" w:hAnsi="Consolas"/>
          <w:shd w:fill="F2F1ED" w:val="clear"/>
        </w:rPr>
        <w:t xml:space="preserve">0.51</w:t>
      </w:r>
      <w:r>
        <w:t xml:space="preserve"> prints as </w:t>
      </w:r>
      <w:r>
        <w:rPr>
          <w:rFonts w:ascii="Consolas" w:cs="Consolas" w:eastAsia="Consolas" w:hAnsi="Consolas"/>
          <w:shd w:fill="F2F1ED" w:val="clear"/>
        </w:rPr>
        <w:t xml:space="preserve">0.51</w:t>
      </w:r>
      <w:r>
        <w:t xml:space="preserve"> or </w:t>
      </w:r>
      <w:r>
        <w:rPr>
          <w:rFonts w:ascii="Consolas" w:cs="Consolas" w:eastAsia="Consolas" w:hAnsi="Consolas"/>
          <w:shd w:fill="F2F1ED" w:val="clear"/>
        </w:rPr>
        <w:t xml:space="preserve">51.0%</w:t>
      </w:r>
      <w:r>
        <w:t xml:space="preserve">, whichever mode is in force. With </w:t>
      </w:r>
      <w:r>
        <w:rPr>
          <w:rFonts w:ascii="Consolas" w:cs="Consolas" w:eastAsia="Consolas" w:hAnsi="Consolas"/>
          <w:shd w:fill="F2F1ED" w:val="clear"/>
        </w:rPr>
        <w:t xml:space="preserve">ratio_recompute</w:t>
      </w:r>
      <w:r>
        <w:t xml:space="preserve"> off — the shipped setting — none of this runs: the ratio is the file's figure, and it is still never summed.</w:t>
      </w:r>
    </w:p>
    <w:p>
      <w:pPr>
        <w:spacing w:after="140"/>
        <w:ind w:left="360"/>
      </w:pPr>
      <w:r>
        <w:rPr>
          <w:b/>
          <w:bCs/>
        </w:rPr>
        <w:t xml:space="preserve">A metric reported at Group is read at Group.</w:t>
      </w:r>
      <w:r>
        <w:t xml:space="preserve"> Where the extract carries a line at </w:t>
      </w:r>
      <w:r>
        <w:rPr>
          <w:rFonts w:ascii="Consolas" w:cs="Consolas" w:eastAsia="Consolas" w:hAnsi="Consolas"/>
          <w:shd w:fill="F2F1ED" w:val="clear"/>
        </w:rPr>
        <w:t xml:space="preserve">Global</w:t>
      </w:r>
      <w:r>
        <w:t xml:space="preserve"> or </w:t>
      </w:r>
      <w:r>
        <w:rPr>
          <w:rFonts w:ascii="Consolas" w:cs="Consolas" w:eastAsia="Consolas" w:hAnsi="Consolas"/>
          <w:shd w:fill="F2F1ED" w:val="clear"/>
        </w:rPr>
        <w:t xml:space="preserve">Group</w:t>
      </w:r>
      <w:r>
        <w:t xml:space="preserve"> </w:t>
      </w:r>
      <w:r>
        <w:rPr>
          <w:b/>
          <w:bCs/>
        </w:rPr>
        <w:t xml:space="preserve">as well as</w:t>
      </w:r>
      <w:r>
        <w:t xml:space="preserve"> by country — the shape a reporting pack uses when a metric is owned centrally — adding both counts it twice. Which row to read follows from what is being asked: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The view</w:t>
            </w:r>
          </w:p>
        </w:tc>
        <w:tc>
          <w:tcPr>
            <w:shd w:fill="F7E9EA" w:val="clear"/>
            <w:tcMar>
              <w:top w:type="dxa" w:w="60"/>
              <w:left w:type="dxa" w:w="100"/>
              <w:bottom w:type="dxa" w:w="60"/>
              <w:right w:type="dxa" w:w="100"/>
            </w:tcMar>
          </w:tcPr>
          <w:p>
            <w:r>
              <w:rPr>
                <w:b/>
                <w:bCs/>
                <w:color w:val="DB0011"/>
              </w:rPr>
              <w:t xml:space="preserve">Reads</w:t>
            </w:r>
          </w:p>
        </w:tc>
      </w:tr>
      <w:tr>
        <w:tc>
          <w:tcPr>
            <w:tcMar>
              <w:top w:type="dxa" w:w="60"/>
              <w:left w:type="dxa" w:w="100"/>
              <w:bottom w:type="dxa" w:w="60"/>
              <w:right w:type="dxa" w:w="100"/>
            </w:tcMar>
          </w:tcPr>
          <w:p>
            <w:pPr>
              <w:spacing w:after="0"/>
            </w:pPr>
            <w:r>
              <w:t xml:space="preserve">the group view (nothing scoped)</w:t>
            </w:r>
          </w:p>
        </w:tc>
        <w:tc>
          <w:tcPr>
            <w:tcMar>
              <w:top w:type="dxa" w:w="60"/>
              <w:left w:type="dxa" w:w="100"/>
              <w:bottom w:type="dxa" w:w="60"/>
              <w:right w:type="dxa" w:w="100"/>
            </w:tcMar>
          </w:tcPr>
          <w:p>
            <w:pPr>
              <w:spacing w:after="0"/>
            </w:pPr>
            <w:r>
              <w:t xml:space="preserve">the </w:t>
            </w:r>
            <w:r>
              <w:rPr>
                <w:b/>
                <w:bCs/>
              </w:rPr>
              <w:t xml:space="preserve">reported Global / Group row</w:t>
            </w:r>
            <w:r>
              <w:t xml:space="preserve">; the country rows are set aside</w:t>
            </w:r>
          </w:p>
        </w:tc>
      </w:tr>
      <w:tr>
        <w:tc>
          <w:tcPr>
            <w:tcMar>
              <w:top w:type="dxa" w:w="60"/>
              <w:left w:type="dxa" w:w="100"/>
              <w:bottom w:type="dxa" w:w="60"/>
              <w:right w:type="dxa" w:w="100"/>
            </w:tcMar>
          </w:tcPr>
          <w:p>
            <w:pPr>
              <w:spacing w:after="0"/>
            </w:pPr>
            <w:r>
              <w:t xml:space="preserve">a breakdown by geography (a chart or table by country)</w:t>
            </w:r>
          </w:p>
        </w:tc>
        <w:tc>
          <w:tcPr>
            <w:tcMar>
              <w:top w:type="dxa" w:w="60"/>
              <w:left w:type="dxa" w:w="100"/>
              <w:bottom w:type="dxa" w:w="60"/>
              <w:right w:type="dxa" w:w="100"/>
            </w:tcMar>
          </w:tcPr>
          <w:p>
            <w:pPr>
              <w:spacing w:after="0"/>
            </w:pPr>
            <w:r>
              <w:t xml:space="preserve">the </w:t>
            </w:r>
            <w:r>
              <w:rPr>
                <w:b/>
                <w:bCs/>
              </w:rPr>
              <w:t xml:space="preserve">country rows</w:t>
            </w:r>
            <w:r>
              <w:t xml:space="preserve">; the group row is set aside, so it never stands beside them as a phantom country</w:t>
            </w:r>
          </w:p>
        </w:tc>
      </w:tr>
      <w:tr>
        <w:tc>
          <w:tcPr>
            <w:tcMar>
              <w:top w:type="dxa" w:w="60"/>
              <w:left w:type="dxa" w:w="100"/>
              <w:bottom w:type="dxa" w:w="60"/>
              <w:right w:type="dxa" w:w="100"/>
            </w:tcMar>
          </w:tcPr>
          <w:p>
            <w:pPr>
              <w:spacing w:after="0"/>
            </w:pPr>
            <w:r>
              <w:t xml:space="preserve">scoped to a country or region</w:t>
            </w:r>
          </w:p>
        </w:tc>
        <w:tc>
          <w:tcPr>
            <w:tcMar>
              <w:top w:type="dxa" w:w="60"/>
              <w:left w:type="dxa" w:w="100"/>
              <w:bottom w:type="dxa" w:w="60"/>
              <w:right w:type="dxa" w:w="100"/>
            </w:tcMar>
          </w:tcPr>
          <w:p>
            <w:pPr>
              <w:spacing w:after="0"/>
            </w:pPr>
            <w:r>
              <w:t xml:space="preserve">that scope's own rows</w:t>
            </w:r>
          </w:p>
        </w:tc>
      </w:tr>
    </w:tbl>
    <w:p>
      <w:pPr>
        <w:spacing w:after="160"/>
      </w:pPr>
    </w:p>
    <w:p>
      <w:pPr>
        <w:spacing w:after="140"/>
        <w:ind w:left="360"/>
      </w:pPr>
      <w:r>
        <w:rPr>
          <w:b/>
          <w:bCs/>
        </w:rPr>
        <w:t xml:space="preserve">A reported row always wins; otherwise the `Roll up` column decides.</w:t>
      </w:r>
      <w:r>
        <w:t xml:space="preserve"> A line the sheet declares </w:t>
      </w:r>
      <w:r>
        <w:rPr>
          <w:rFonts w:ascii="Consolas" w:cs="Consolas" w:eastAsia="Consolas" w:hAnsi="Consolas"/>
          <w:shd w:fill="F2F1ED" w:val="clear"/>
        </w:rPr>
        <w:t xml:space="preserve">Sum</w:t>
      </w:r>
      <w:r>
        <w:t xml:space="preserve"> is built up from the countries at Group — that is what rolling up means. A line declared </w:t>
      </w:r>
      <w:r>
        <w:rPr>
          <w:rFonts w:ascii="Consolas" w:cs="Consolas" w:eastAsia="Consolas" w:hAnsi="Consolas"/>
          <w:shd w:fill="F2F1ED" w:val="clear"/>
        </w:rPr>
        <w:t xml:space="preserve">As reported</w:t>
      </w:r>
      <w:r>
        <w:t xml:space="preserve"> or </w:t>
      </w:r>
      <w:r>
        <w:rPr>
          <w:rFonts w:ascii="Consolas" w:cs="Consolas" w:eastAsia="Consolas" w:hAnsi="Consolas"/>
          <w:shd w:fill="F2F1ED" w:val="clear"/>
        </w:rPr>
        <w:t xml:space="preserve">Never</w:t>
      </w:r>
      <w:r>
        <w:t xml:space="preserve"> is not: it has a figure at a level only where the file reports one there, and where it does not, the tile shows a dash and says </w:t>
      </w:r>
      <w:r>
        <w:rPr>
          <w:i/>
          <w:iCs/>
        </w:rPr>
        <w:t xml:space="preserve">"reported below this level only — never carried up"</w:t>
      </w:r>
      <w:r>
        <w:t xml:space="preserve"> rather than inventing one from the parts. This is how a metric calculated somewhere else behaves — </w:t>
      </w:r>
      <w:r>
        <w:rPr>
          <w:b/>
          <w:bCs/>
        </w:rPr>
        <w:t xml:space="preserve">CER and ROTE</w:t>
      </w:r>
      <w:r>
        <w:t xml:space="preserve"> come from their own source and arrive as their own rows, so where such a row exists it is the figure and where it does not there is none.</w:t>
      </w:r>
    </w:p>
    <w:p>
      <w:pPr>
        <w:spacing w:after="140"/>
        <w:ind w:left="360"/>
      </w:pPr>
      <w:r>
        <w:t xml:space="preserve">Its rows still belong to their parent: a fee line taken as reported is still inside Revenue when Revenue rolls up, so casting is unaffected. And coverage is </w:t>
      </w:r>
      <w:r>
        <w:rPr>
          <w:b/>
          <w:bCs/>
        </w:rPr>
        <w:t xml:space="preserve">per line, not per file</w:t>
      </w:r>
      <w:r>
        <w:t xml:space="preserve"> — a Group tab carrying only CER and a fee metric speaks for the Group on those two lines and leaves everything else to roll up from the countries exactly as before. </w:t>
      </w:r>
      <w:r>
        <w:rPr>
          <w:rFonts w:ascii="Consolas" w:cs="Consolas" w:eastAsia="Consolas" w:hAnsi="Consolas"/>
          <w:shd w:fill="F2F1ED" w:val="clear"/>
        </w:rPr>
        <w:t xml:space="preserve">grain_declared: N</w:t>
      </w:r>
      <w:r>
        <w:t xml:space="preserve"> switches the declaration side off.</w:t>
      </w:r>
    </w:p>
    <w:p>
      <w:pPr>
        <w:spacing w:after="140"/>
        <w:ind w:left="360"/>
      </w:pPr>
      <w:r>
        <w:t xml:space="preserve">The two are never added together and nothing is ever apportioned downwards.</w:t>
      </w:r>
    </w:p>
    <w:p>
      <w:pPr>
        <w:spacing w:after="140"/>
        <w:ind w:left="360"/>
      </w:pPr>
      <w:r>
        <w:rPr>
          <w:b/>
          <w:bCs/>
        </w:rPr>
        <w:t xml:space="preserve">The unit follows the grain</w:t>
      </w:r>
      <w:r>
        <w:t xml:space="preserve">, on the same </w:t>
      </w:r>
      <w:r>
        <w:rPr>
          <w:rFonts w:ascii="Consolas" w:cs="Consolas" w:eastAsia="Consolas" w:hAnsi="Consolas"/>
          <w:shd w:fill="F2F1ED" w:val="clear"/>
        </w:rPr>
        <w:t xml:space="preserve">mn</w:t>
      </w:r>
      <w:r>
        <w:t xml:space="preserve"> / </w:t>
      </w:r>
      <w:r>
        <w:rPr>
          <w:rFonts w:ascii="Consolas" w:cs="Consolas" w:eastAsia="Consolas" w:hAnsi="Consolas"/>
          <w:shd w:fill="F2F1ED" w:val="clear"/>
        </w:rPr>
        <w:t xml:space="preserve">bn</w:t>
      </w:r>
      <w:r>
        <w:t xml:space="preserve"> / </w:t>
      </w:r>
      <w:r>
        <w:rPr>
          <w:rFonts w:ascii="Consolas" w:cs="Consolas" w:eastAsia="Consolas" w:hAnsi="Consolas"/>
          <w:shd w:fill="F2F1ED" w:val="clear"/>
        </w:rPr>
        <w:t xml:space="preserve">Absolute</w:t>
      </w:r>
      <w:r>
        <w:t xml:space="preserve"> logic as everywhere else. A pack may report a line in </w:t>
      </w:r>
      <w:r>
        <w:rPr>
          <w:rFonts w:ascii="Consolas" w:cs="Consolas" w:eastAsia="Consolas" w:hAnsi="Consolas"/>
          <w:shd w:fill="F2F1ED" w:val="clear"/>
        </w:rPr>
        <w:t xml:space="preserve">$Bn</w:t>
      </w:r>
      <w:r>
        <w:t xml:space="preserve"> at Group and </w:t>
      </w:r>
      <w:r>
        <w:rPr>
          <w:rFonts w:ascii="Consolas" w:cs="Consolas" w:eastAsia="Consolas" w:hAnsi="Consolas"/>
          <w:shd w:fill="F2F1ED" w:val="clear"/>
        </w:rPr>
        <w:t xml:space="preserve">$mn</w:t>
      </w:r>
      <w:r>
        <w:t xml:space="preserve"> by country — that is two statements, each true of its own rows, not a disagreement — so each view is stated in the unit of the rows it reads and neither is labelled with the other's. The group view of such a line reads </w:t>
      </w:r>
      <w:r>
        <w:rPr>
          <w:rFonts w:ascii="Consolas" w:cs="Consolas" w:eastAsia="Consolas" w:hAnsi="Consolas"/>
          <w:shd w:fill="F2F1ED" w:val="clear"/>
        </w:rPr>
        <w:t xml:space="preserve">US$bn 3.6</w:t>
      </w:r>
      <w:r>
        <w:t xml:space="preserve"> where Singapore reads </w:t>
      </w:r>
      <w:r>
        <w:rPr>
          <w:rFonts w:ascii="Consolas" w:cs="Consolas" w:eastAsia="Consolas" w:hAnsi="Consolas"/>
          <w:shd w:fill="F2F1ED" w:val="clear"/>
        </w:rPr>
        <w:t xml:space="preserve">US$m 1,401</w:t>
      </w:r>
      <w:r>
        <w:t xml:space="preserve">.</w:t>
      </w:r>
    </w:p>
    <w:p>
      <w:pPr>
        <w:spacing w:after="140"/>
        <w:ind w:left="360"/>
      </w:pPr>
      <w:r>
        <w:t xml:space="preserve">Two units under one name at the </w:t>
      </w:r>
      <w:r>
        <w:rPr>
          <w:b/>
          <w:bCs/>
        </w:rPr>
        <w:t xml:space="preserve">same</w:t>
      </w:r>
      <w:r>
        <w:t xml:space="preserve"> grain is a genuine disagreement, and there neither is taken. The ingest report names the lines this affects and says which row each view takes; </w:t>
      </w:r>
      <w:r>
        <w:rPr>
          <w:rFonts w:ascii="Consolas" w:cs="Consolas" w:eastAsia="Consolas" w:hAnsi="Consolas"/>
          <w:shd w:fill="F2F1ED" w:val="clear"/>
        </w:rPr>
        <w:t xml:space="preserve">grain_reported: N</w:t>
      </w:r>
      <w:r>
        <w:t xml:space="preserve"> switches it off, and then both grains sit in scope together exactly as they did before. This is the acting-on of what the roll-up reconciliation's grain section reports, and it is separate from </w:t>
      </w:r>
      <w:r>
        <w:rPr>
          <w:rFonts w:ascii="Consolas" w:cs="Consolas" w:eastAsia="Consolas" w:hAnsi="Consolas"/>
          <w:shd w:fill="F2F1ED" w:val="clear"/>
        </w:rPr>
        <w:t xml:space="preserve">group_consolidation</w:t>
      </w:r>
      <w:r>
        <w:t xml:space="preserve">, which handles a Group </w:t>
      </w:r>
      <w:r>
        <w:rPr>
          <w:b/>
          <w:bCs/>
        </w:rPr>
        <w:t xml:space="preserve">tab</w:t>
      </w:r>
      <w:r>
        <w:t xml:space="preserve"> rather than a group row inside a tab.</w:t>
      </w:r>
    </w:p>
    <w:p>
      <w:pPr>
        <w:spacing w:after="140"/>
        <w:ind w:left="360"/>
      </w:pPr>
      <w:r>
        <w:rPr>
          <w:b/>
          <w:bCs/>
        </w:rPr>
        <w:t xml:space="preserve">Nothing is totalled across kinds.</w:t>
      </w:r>
      <w:r>
        <w:t xml:space="preserve"> Money, a count and a ratio share a column in the extract and mean three different things, so a scope carrying more than one kind draws no total — on the tiles, in the drill-down, in the Financial Summary and in every export — and the page names the kinds it found. A parent line over mixed kinds shows no figure at all, </w:t>
      </w:r>
      <w:r>
        <w:rPr>
          <w:b/>
          <w:bCs/>
        </w:rPr>
        <w:t xml:space="preserve">including the percentages worked out from it</w:t>
      </w:r>
      <w:r>
        <w:t xml:space="preserve">, which would be the same false sum wearing a percent sign.</w:t>
      </w:r>
    </w:p>
    <w:p>
      <w:pPr>
        <w:spacing w:after="140"/>
        <w:ind w:left="360"/>
      </w:pPr>
      <w:r>
        <w:t xml:space="preserve">Two more that look additive and are not: counts of different things (staff and customers), and a ratio over more than one row — an average of ratios is not the ratio of the whole. Scales are different: money in millions and money in billions are one kind, held in the file's own unit and divided only when printed, so they still add — </w:t>
      </w:r>
      <w:r>
        <w:rPr>
          <w:b/>
          <w:bCs/>
        </w:rPr>
        <w:t xml:space="preserve">as long as the rows that would be added to each other agree on their scale.</w:t>
      </w:r>
    </w:p>
    <w:p>
      <w:pPr>
        <w:spacing w:after="140"/>
        <w:ind w:left="360"/>
      </w:pPr>
      <w:r>
        <w:rPr>
          <w:b/>
          <w:bCs/>
        </w:rPr>
        <w:t xml:space="preserve">Rows the file itself states at different scales are not added as they stand.</w:t>
      </w:r>
      <w:r>
        <w:t xml:space="preserve"> </w:t>
      </w:r>
      <w:r>
        <w:rPr>
          <w:rFonts w:ascii="Consolas" w:cs="Consolas" w:eastAsia="Consolas" w:hAnsi="Consolas"/>
          <w:shd w:fill="F2F1ED" w:val="clear"/>
        </w:rPr>
        <w:t xml:space="preserve">sumCols</w:t>
      </w:r>
      <w:r>
        <w:t xml:space="preserve"> adds the figures as the file holds them, which is right when a line's rows are all at one scale and wrong when they are not: 500 stated in </w:t>
      </w:r>
      <w:r>
        <w:rPr>
          <w:rFonts w:ascii="Consolas" w:cs="Consolas" w:eastAsia="Consolas" w:hAnsi="Consolas"/>
          <w:shd w:fill="F2F1ED" w:val="clear"/>
        </w:rPr>
        <w:t xml:space="preserve">$mn</w:t>
      </w:r>
      <w:r>
        <w:t xml:space="preserve"> and 2 stated in </w:t>
      </w:r>
      <w:r>
        <w:rPr>
          <w:rFonts w:ascii="Consolas" w:cs="Consolas" w:eastAsia="Consolas" w:hAnsi="Consolas"/>
          <w:shd w:fill="F2F1ED" w:val="clear"/>
        </w:rPr>
        <w:t xml:space="preserve">$bn</w:t>
      </w:r>
      <w:r>
        <w:t xml:space="preserve"> are 2,500 million, and adding them as they stand says </w:t>
      </w:r>
      <w:r>
        <w:rPr>
          <w:b/>
          <w:bCs/>
        </w:rPr>
        <w:t xml:space="preserve">502</w:t>
      </w:r>
      <w:r>
        <w:t xml:space="preserve"> — a figure that looks perfectly ordinary and is wrong by a factor of five.</w:t>
      </w:r>
    </w:p>
    <w:p>
      <w:pPr>
        <w:spacing w:after="140"/>
        <w:ind w:left="360"/>
      </w:pPr>
      <w:r>
        <w:t xml:space="preserve">The ingest report already told the reader that no total is drawn across a line whose rows disagree on their unit; the guard now makes that true, because it reads the row's own </w:t>
      </w:r>
      <w:r>
        <w:rPr>
          <w:rFonts w:ascii="Consolas" w:cs="Consolas" w:eastAsia="Consolas" w:hAnsi="Consolas"/>
          <w:shd w:fill="F2F1ED" w:val="clear"/>
        </w:rPr>
        <w:t xml:space="preserve">Unit</w:t>
      </w:r>
      <w:r>
        <w:t xml:space="preserve"> cell rather than only what the pack declares the line to be. Such a parent shows </w:t>
      </w:r>
      <w:r>
        <w:rPr>
          <w:rFonts w:ascii="Consolas" w:cs="Consolas" w:eastAsia="Consolas" w:hAnsi="Consolas"/>
          <w:shd w:fill="F2F1ED" w:val="clear"/>
        </w:rPr>
        <w:t xml:space="preserve">–</w:t>
      </w:r>
      <w:r>
        <w:t xml:space="preserve"> and says </w:t>
      </w:r>
      <w:r>
        <w:rPr>
          <w:i/>
          <w:iCs/>
        </w:rPr>
        <w:t xml:space="preserve">"the file states this line in US$m and US$bn — figures at two scales are not added as they stand"</w:t>
      </w:r>
      <w:r>
        <w:t xml:space="preserve">.</w:t>
      </w:r>
    </w:p>
    <w:p>
      <w:pPr>
        <w:spacing w:after="140"/>
        <w:ind w:left="360"/>
      </w:pPr>
      <w:r>
        <w:t xml:space="preserve">A P&amp;L stated in millions beside balances stated in billions is </w:t>
      </w:r>
      <w:r>
        <w:rPr>
          <w:b/>
          <w:bCs/>
        </w:rPr>
        <w:t xml:space="preserve">ordinary and untouched</w:t>
      </w:r>
      <w:r>
        <w:t xml:space="preserve">: those two are never summed into one figure anyway — the statement keeps them apart, not the scale — so each side is judged against itself. Where a scope clashes on </w:t>
      </w:r>
      <w:r>
        <w:rPr>
          <w:i/>
          <w:iCs/>
        </w:rPr>
        <w:t xml:space="preserve">kind</w:t>
      </w:r>
      <w:r>
        <w:t xml:space="preserve"> as well as scale, the kind is what is said: a ratio, a count and money added together is the deeper fault.</w:t>
      </w:r>
    </w:p>
    <w:p>
      <w:pPr>
        <w:spacing w:after="140"/>
        <w:ind w:left="360"/>
      </w:pPr>
      <w:r>
        <w:t xml:space="preserve">Two things the sheet cannot vote away. A ratio is never additive, whatever it is declared as. And </w:t>
      </w:r>
      <w:r>
        <w:rPr>
          <w:b/>
          <w:bCs/>
        </w:rPr>
        <w:t xml:space="preserve">a sum is taken on the file's own actuals YTD column for the month in hand</w:t>
      </w:r>
      <w:r>
        <w:t xml:space="preserve"> — Jun YTD, May YTD — never by adding months together; where a month has no YTD column in the file the report says the figure was built from months, so the reader knows. Balances are read at one closing month and never accumulated across months, and a parent is footed against children of its own statement only: a balance is never added into a P&amp;L, whatever any sheet says.</w:t>
      </w:r>
    </w:p>
    <w:p>
      <w:pPr>
        <w:spacing w:after="140"/>
        <w:ind w:left="360"/>
      </w:pPr>
      <w:r>
        <w:rPr>
          <w:b/>
          <w:bCs/>
        </w:rPr>
        <w:t xml:space="preserve">This phase reports, it does not yet drive the figures.</w:t>
      </w:r>
      <w:r>
        <w:t xml:space="preserve"> Loading a file adds a </w:t>
      </w:r>
      <w:r>
        <w:rPr>
          <w:b/>
          <w:bCs/>
        </w:rPr>
        <w:t xml:space="preserve">Roll-up</w:t>
      </w:r>
      <w:r>
        <w:t xml:space="preserve"> row to the ingest report with a </w:t>
      </w:r>
      <w:r>
        <w:rPr>
          <w:b/>
          <w:bCs/>
        </w:rPr>
        <w:t xml:space="preserve">⤓ Roll-up reconciliation (Excel)</w:t>
      </w:r>
      <w:r>
        <w:t xml:space="preserve"> download, so the declarations can be proved against a real extract before anything on a page consults them. The workbook carries, in order: the YTD column against the months behind it (where they differ, the column is authoritative and the gap is sized); lines the file carries at more than one grain, with both totals, flagging any that have no </w:t>
      </w:r>
      <w:r>
        <w:rPr>
          <w:rFonts w:ascii="Consolas" w:cs="Consolas" w:eastAsia="Consolas" w:hAnsi="Consolas"/>
          <w:shd w:fill="F2F1ED" w:val="clear"/>
        </w:rPr>
        <w:t xml:space="preserve">Grain</w:t>
      </w:r>
      <w:r>
        <w:t xml:space="preserve"> declared — adding the finer rows there would double count the coarser one; mapping completeness, parent against children, month by month; parents whose children span both statements; declarations that match nothing in this file (a typo, not a policy); notes on calculated metrics, including a component the file does not carry, which contributes zero rather than a gap; the unit each line is declared in with what it divides by, so a declaration that restates a figure is distinguishable from one that only names it; and the grain declarations themselves.</w:t>
      </w:r>
    </w:p>
    <w:p>
      <w:pPr>
        <w:spacing w:after="140"/>
        <w:ind w:left="360"/>
      </w:pPr>
      <w:r>
        <w:rPr>
          <w:rFonts w:ascii="Consolas" w:cs="Consolas" w:eastAsia="Consolas" w:hAnsi="Consolas"/>
          <w:shd w:fill="F2F1ED" w:val="clear"/>
        </w:rPr>
        <w:t xml:space="preserve">rollup_tolerance</w:t>
      </w:r>
      <w:r>
        <w:t xml:space="preserve"> (default </w:t>
      </w:r>
      <w:r>
        <w:rPr>
          <w:rFonts w:ascii="Consolas" w:cs="Consolas" w:eastAsia="Consolas" w:hAnsi="Consolas"/>
          <w:shd w:fill="F2F1ED" w:val="clear"/>
        </w:rPr>
        <w:t xml:space="preserve">0.5</w:t>
      </w:r>
      <w:r>
        <w:t xml:space="preserve">, in the file's own units) sets how close a footing must be to count as tied. With no </w:t>
      </w:r>
      <w:r>
        <w:rPr>
          <w:rFonts w:ascii="Consolas" w:cs="Consolas" w:eastAsia="Consolas" w:hAnsi="Consolas"/>
          <w:shd w:fill="F2F1ED" w:val="clear"/>
        </w:rPr>
        <w:t xml:space="preserve">Rollup</w:t>
      </w:r>
      <w:r>
        <w:t xml:space="preserve"> sheet the report says so and every line aggregates exactly as it always has.</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TM1 extract and pack together — a worked example of the six bases as a document.</w:t>
      </w:r>
    </w:p>
    <w:p>
      <w:pPr>
        <w:spacing w:after="140"/>
      </w:pPr>
      <w:r>
        <w:rPr>
          <w:rFonts w:ascii="Consolas" w:cs="Consolas" w:eastAsia="Consolas" w:hAnsi="Consolas"/>
          <w:shd w:fill="F2F1ED" w:val="clear"/>
        </w:rPr>
        <w:t xml:space="preserve">sample/IWPB_GrainUnits_Driller.xlsx</w:t>
      </w:r>
      <w:r>
        <w:t xml:space="preserve"> is the grain-mix extract with a </w:t>
      </w:r>
      <w:r>
        <w:rPr>
          <w:rFonts w:ascii="Consolas" w:cs="Consolas" w:eastAsia="Consolas" w:hAnsi="Consolas"/>
          <w:shd w:fill="F2F1ED" w:val="clear"/>
        </w:rPr>
        <w:t xml:space="preserve">Unit</w:t>
      </w:r>
      <w:r>
        <w:t xml:space="preserve"> column that reports the Global rows in </w:t>
      </w:r>
      <w:r>
        <w:rPr>
          <w:rFonts w:ascii="Consolas" w:cs="Consolas" w:eastAsia="Consolas" w:hAnsi="Consolas"/>
          <w:shd w:fill="F2F1ED" w:val="clear"/>
        </w:rPr>
        <w:t xml:space="preserve">$Bn</w:t>
      </w:r>
      <w:r>
        <w:t xml:space="preserve"> and the country rows in </w:t>
      </w:r>
      <w:r>
        <w:rPr>
          <w:rFonts w:ascii="Consolas" w:cs="Consolas" w:eastAsia="Consolas" w:hAnsi="Consolas"/>
          <w:shd w:fill="F2F1ED" w:val="clear"/>
        </w:rPr>
        <w:t xml:space="preserve">$mn</w:t>
      </w:r>
      <w:r>
        <w:t xml:space="preserve"> — load it to see the same line read </w:t>
      </w:r>
      <w:r>
        <w:rPr>
          <w:rFonts w:ascii="Consolas" w:cs="Consolas" w:eastAsia="Consolas" w:hAnsi="Consolas"/>
          <w:shd w:fill="F2F1ED" w:val="clear"/>
        </w:rPr>
        <w:t xml:space="preserve">US$bn 3.6</w:t>
      </w:r>
      <w:r>
        <w:t xml:space="preserve"> at Group and </w:t>
      </w:r>
      <w:r>
        <w:rPr>
          <w:rFonts w:ascii="Consolas" w:cs="Consolas" w:eastAsia="Consolas" w:hAnsi="Consolas"/>
          <w:shd w:fill="F2F1ED" w:val="clear"/>
        </w:rPr>
        <w:t xml:space="preserve">US$m 1,401</w:t>
      </w:r>
      <w:r>
        <w:t xml:space="preserve"> for Singapore.</w:t>
      </w:r>
    </w:p>
    <w:p>
      <w:pPr>
        <w:spacing w:after="140"/>
      </w:pPr>
      <w:r>
        <w:rPr>
          <w:rFonts w:ascii="Consolas" w:cs="Consolas" w:eastAsia="Consolas" w:hAnsi="Consolas"/>
          <w:shd w:fill="F2F1ED" w:val="clear"/>
        </w:rPr>
        <w:t xml:space="preserve">sample/IWPB_CER_ThreeCountries.xlsx</w:t>
      </w:r>
      <w:r>
        <w:t xml:space="preserve"> is the same extract split across Singapore, Malaysia and Vietnam, each reporting its own CER%. Load it to see a ratio refuse to roll up: the three read 0.4526, 0.5470 and 0.5583, and the Group tile shows no figure at all rather than the 1.5579 they would sum to.</w:t>
      </w:r>
    </w:p>
    <w:p>
      <w:pPr>
        <w:spacing w:after="140"/>
      </w:pPr>
      <w:r>
        <w:rPr>
          <w:rFonts w:ascii="Consolas" w:cs="Consolas" w:eastAsia="Consolas" w:hAnsi="Consolas"/>
          <w:shd w:fill="F2F1ED" w:val="clear"/>
        </w:rPr>
        <w:t xml:space="preserve">sample/IWPB_UnitColumn_Driller.xlsx</w:t>
      </w:r>
      <w:r>
        <w:t xml:space="preserve"> is a reporting extract that states each line's unit in a </w:t>
      </w:r>
      <w:r>
        <w:rPr>
          <w:rFonts w:ascii="Consolas" w:cs="Consolas" w:eastAsia="Consolas" w:hAnsi="Consolas"/>
          <w:shd w:fill="F2F1ED" w:val="clear"/>
        </w:rPr>
        <w:t xml:space="preserve">Unit</w:t>
      </w:r>
      <w:r>
        <w:t xml:space="preserve"> column —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w:t>
      </w:r>
      <w:r>
        <w:t xml:space="preserve"> — with a </w:t>
      </w:r>
      <w:r>
        <w:rPr>
          <w:rFonts w:ascii="Consolas" w:cs="Consolas" w:eastAsia="Consolas" w:hAnsi="Consolas"/>
          <w:shd w:fill="F2F1ED" w:val="clear"/>
        </w:rPr>
        <w:t xml:space="preserve">Key Metrics</w:t>
      </w:r>
      <w:r>
        <w:t xml:space="preserve"> block that mixes all of them, and one deliberate typo (</w:t>
      </w:r>
      <w:r>
        <w:rPr>
          <w:rFonts w:ascii="Consolas" w:cs="Consolas" w:eastAsia="Consolas" w:hAnsi="Consolas"/>
          <w:shd w:fill="F2F1ED" w:val="clear"/>
        </w:rPr>
        <w:t xml:space="preserve">$mb</w:t>
      </w:r>
      <w:r>
        <w:t xml:space="preserve">). Load it to see each line printed in its own unit, the typo named in the ingest report, and the mixed parent refusing to draw a total.</w:t>
      </w:r>
    </w:p>
    <w:p>
      <w:pPr>
        <w:spacing w:after="140"/>
      </w:pPr>
      <w:r>
        <w:rPr>
          <w:rFonts w:ascii="Consolas" w:cs="Consolas" w:eastAsia="Consolas" w:hAnsi="Consolas"/>
          <w:shd w:fill="F2F1ED" w:val="clear"/>
        </w:rPr>
        <w:t xml:space="preserve">sample/IWPB_GrainMix_Driller.xlsx</w:t>
      </w:r>
      <w:r>
        <w:t xml:space="preserve"> is the extract to load when checking the </w:t>
      </w:r>
      <w:r>
        <w:rPr>
          <w:b/>
          <w:bCs/>
        </w:rPr>
        <w:t xml:space="preserve">Rollup</w:t>
      </w:r>
      <w:r>
        <w:t xml:space="preserve"> declarations: it carries a </w:t>
      </w:r>
      <w:r>
        <w:rPr>
          <w:rFonts w:ascii="Consolas" w:cs="Consolas" w:eastAsia="Consolas" w:hAnsi="Consolas"/>
          <w:shd w:fill="F2F1ED" w:val="clear"/>
        </w:rPr>
        <w:t xml:space="preserve">Global</w:t>
      </w:r>
      <w:r>
        <w:t xml:space="preserve"> tab reporting the same MICA lines as its three country tabs, so the roll-up reconciliation flags every line that sits at two grains — and shows both totals, so the size of the double count that adding the finer rows would cause is on the page.</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TM1 extract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TM1 extract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p>
      <w:pPr>
        <w:spacing w:after="140"/>
      </w:pPr>
      <w:r>
        <w:rPr>
          <w:b/>
          <w:bCs/>
        </w:rPr>
        <w:t xml:space="preserve">One type scale across every deck.</w:t>
      </w:r>
      <w:r>
        <w:t xml:space="preserve"> A slide title is the same size whether it opens a deck or continues it, and headings, paragraphs, notes, legends and table cells match from one export to the next — the sizes live in a single </w:t>
      </w:r>
      <w:r>
        <w:rPr>
          <w:rFonts w:ascii="Consolas" w:cs="Consolas" w:eastAsia="Consolas" w:hAnsi="Consolas"/>
          <w:shd w:fill="F2F1ED" w:val="clear"/>
        </w:rPr>
        <w:t xml:space="preserve">PPT_FS</w:t>
      </w:r>
      <w:r>
        <w:t xml:space="preserve"> scale rather than being chosen per slide. The KPI tiles settle their own three sizes once across the whole grid, off the longest name, value and comparison in the set, so a short line no longer prints larger than a long one beside it. The Financial Summary's dense table is the deliberate exception: it still fits itself to its column count, always smaller than the body size.</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2026-08-19T07:27:03.598Z</dcterms:created>
  <dcterms:modified xsi:type="dcterms:W3CDTF">2026-08-19T07:27:03.598Z</dcterms:modified>
</cp:coreProperties>
</file>

<file path=docProps/custom.xml><?xml version="1.0" encoding="utf-8"?>
<Properties xmlns="http://schemas.openxmlformats.org/officeDocument/2006/custom-properties" xmlns:vt="http://schemas.openxmlformats.org/officeDocument/2006/docPropsVTypes"/>
</file>