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i w:val="false"/>
          <w:iCs w:val="false"/>
          <w:color w:val="DB0011"/>
          <w:sz w:val="16"/>
          <w:szCs w:val="16"/>
        </w:rPr>
        <w:t xml:space="preserve">HSBC MANAGEMENT REPORTING : IWPB SINGAPORE DRILLER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DB0011"/>
          <w:sz w:val="30"/>
          <w:szCs w:val="30"/>
        </w:rPr>
        <w:t xml:space="preserve">Simulation scenario library</w:t>
      </w:r>
    </w:p>
    <w:p>
      <w:pPr>
        <w:spacing w:after="10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Twenty ready-to-run what-if scenarios for the Simulation Agent — ten on the P&amp;L driller and ten on a balance-sheet extract. Each rule applies to the forecast months only; actuals already booked are never rewritten.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1A1A19"/>
          <w:sz w:val="24"/>
          <w:szCs w:val="24"/>
        </w:rPr>
        <w:t xml:space="preserve">Part 1 — P&amp;L simulations</w:t>
      </w:r>
    </w:p>
    <w:tbl>
      <w:tblPr>
        <w:tblW w:type="dxa" w:w="11680"/>
        <w:tblBorders>
          <w:top w:val="single" w:color="DDDCD8" w:sz="2"/>
          <w:left w:val="single" w:color="DDDCD8" w:sz="2"/>
          <w:bottom w:val="single" w:color="DDDCD8" w:sz="2"/>
          <w:right w:val="single" w:color="DDDCD8" w:sz="2"/>
          <w:insideH w:val="single" w:color="DDDCD8" w:sz="2"/>
          <w:insideV w:val="single" w:color="DDDCD8" w:sz="2"/>
        </w:tblBorders>
      </w:tblPr>
      <w:tblGrid>
        <w:gridCol w:w="620"/>
        <w:gridCol w:w="2180"/>
        <w:gridCol w:w="2600"/>
        <w:gridCol w:w="1850"/>
        <w:gridCol w:w="1250"/>
        <w:gridCol w:w="3180"/>
      </w:tblGrid>
      <w:tr>
        <w:trPr>
          <w:tblHeader/>
        </w:trPr>
        <w:tc>
          <w:tcPr>
            <w:tcW w:type="dxa" w:w="62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8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5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Adjustment</w:t>
            </w:r>
          </w:p>
        </w:tc>
        <w:tc>
          <w:tcPr>
            <w:tcW w:type="dxa" w:w="125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318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 it answers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1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Revenue upside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1 = Revenue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+10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How much of the gap to the FY target does a 10% revenue push close?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2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Revenue stress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1 = Revenue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−10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Downside case for the full-year outlook.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3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Rate cut on NII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2 = NII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−5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Margin compression from falling rates.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4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Fee income push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2 = Net Fee Income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+15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Value of a wealth / AUM fee campaign in H2.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5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Trading normalisation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2 = Trading Income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Set monthly total = YTD monthly average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Strips out an unusually strong or weak trading run.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6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Cost containment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2 = Direct Costs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−5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What a 5% direct cost save is worth to PBT.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7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Cost overrun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1 = Indirect Costs (incl InterCo)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+8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Risk of central allocations rising.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8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ECL stress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1 = ECL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+50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Credit deterioration in the second half.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9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Single-name charge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MICA Level 1 = ECL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Add amount  −20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One month (e.g. SEP)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A specific impairment landing in a single month.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10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Product-led growth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2 = Loans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+12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Mortgage repricing carrying the book.</w:t>
            </w:r>
          </w:p>
        </w:tc>
      </w:tr>
    </w:tbl>
    <w:p>
      <w:pPr>
        <w:spacing w:after="0" w:before="140"/>
      </w:pPr>
      <w:r>
        <w:rPr>
          <w:rFonts w:ascii="Segoe UI" w:cs="Segoe UI" w:eastAsia="Segoe UI" w:hAnsi="Segoe UI"/>
          <w:b w:val="false"/>
          <w:bCs w:val="false"/>
          <w:i/>
          <w:iCs/>
          <w:color w:val="52514E"/>
          <w:sz w:val="19"/>
          <w:szCs w:val="19"/>
        </w:rPr>
        <w:t xml:space="preserve">Combine rules inside one saved scenario: #1 + #6 gives the realistic management-action case (revenue push plus cost save); #2 + #8 gives the downside case.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1A1A19"/>
          <w:sz w:val="24"/>
          <w:szCs w:val="24"/>
        </w:rPr>
        <w:t xml:space="preserve">Part 2 — Balance sheet simulations</w:t>
      </w:r>
    </w:p>
    <w:p>
      <w:pPr>
        <w:spacing w:after="10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These assume a balance-sheet extract in the same driller layout, with monthly balance columns by product and segment.</w:t>
      </w:r>
    </w:p>
    <w:tbl>
      <w:tblPr>
        <w:tblW w:type="dxa" w:w="11680"/>
        <w:tblBorders>
          <w:top w:val="single" w:color="DDDCD8" w:sz="2"/>
          <w:left w:val="single" w:color="DDDCD8" w:sz="2"/>
          <w:bottom w:val="single" w:color="DDDCD8" w:sz="2"/>
          <w:right w:val="single" w:color="DDDCD8" w:sz="2"/>
          <w:insideH w:val="single" w:color="DDDCD8" w:sz="2"/>
          <w:insideV w:val="single" w:color="DDDCD8" w:sz="2"/>
        </w:tblBorders>
      </w:tblPr>
      <w:tblGrid>
        <w:gridCol w:w="620"/>
        <w:gridCol w:w="2180"/>
        <w:gridCol w:w="2600"/>
        <w:gridCol w:w="1850"/>
        <w:gridCol w:w="1250"/>
        <w:gridCol w:w="3180"/>
      </w:tblGrid>
      <w:tr>
        <w:trPr>
          <w:tblHeader/>
        </w:trPr>
        <w:tc>
          <w:tcPr>
            <w:tcW w:type="dxa" w:w="62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8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5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Adjustment</w:t>
            </w:r>
          </w:p>
        </w:tc>
        <w:tc>
          <w:tcPr>
            <w:tcW w:type="dxa" w:w="125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3180"/>
            <w:shd w:fill="DB001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 it answers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1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Loan book growth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2 = Loans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+5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Impact of a 5% H2 lending push on the book.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2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Mortgage run-off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3 = Mortgages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−3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Repayment and attrition drag on balances.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3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CASA growth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3 = Current Accounts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+8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Build-up of cheap funding.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4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Deposit attrition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3 = Savings &amp; Deposit Accounts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−5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Outflow to competitors or treasury products.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5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Cards receivables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2 = Cards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+10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Festive spend carrying revolving balances.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6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Wealth / margin lending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2 = Wealth Lending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+12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Leverage demand from Private Banking clients.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7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Deposit repricing target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2 = Deposits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Set monthly total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Holding deposits flat at a chosen monthly level.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8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Segment shift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Segment (CG L2) = Private Banking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+15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Balance-sheet expansion concentrated in PB.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9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Large drawdown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Product Level 2 = Loans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Add amount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One month (e.g. SEP)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A known corporate or mortgage drawdown.</w:t>
            </w:r>
          </w:p>
        </w:tc>
      </w:tr>
      <w:tr>
        <w:tc>
          <w:tcPr>
            <w:tcW w:type="dxa" w:w="62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10</w:t>
            </w:r>
          </w:p>
        </w:tc>
        <w:tc>
          <w:tcPr>
            <w:tcW w:type="dxa" w:w="2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9"/>
                <w:sz w:val="19"/>
                <w:szCs w:val="19"/>
              </w:rPr>
              <w:t xml:space="preserve">Deleveraging stress</w:t>
            </w:r>
          </w:p>
        </w:tc>
        <w:tc>
          <w:tcPr>
            <w:tcW w:type="dxa" w:w="260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All rows</w:t>
            </w:r>
          </w:p>
        </w:tc>
        <w:tc>
          <w:tcPr>
            <w:tcW w:type="dxa" w:w="18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% change  −10</w:t>
            </w:r>
          </w:p>
        </w:tc>
        <w:tc>
          <w:tcPr>
            <w:tcW w:type="dxa" w:w="125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JUL–DEC</w:t>
            </w:r>
          </w:p>
        </w:tc>
        <w:tc>
          <w:tcPr>
            <w:tcW w:type="dxa" w:w="3180"/>
            <w:shd w:fill="F7F5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19"/>
                <w:sz w:val="19"/>
                <w:szCs w:val="19"/>
              </w:rPr>
              <w:t xml:space="preserve">Balance-sheet-wide contraction.</w:t>
            </w:r>
          </w:p>
        </w:tc>
      </w:tr>
    </w:tbl>
    <w:p>
      <w:pPr>
        <w:spacing w:after="0" w:before="140"/>
      </w:pPr>
      <w:r>
        <w:rPr>
          <w:rFonts w:ascii="Segoe UI" w:cs="Segoe UI" w:eastAsia="Segoe UI" w:hAnsi="Segoe UI"/>
          <w:b w:val="false"/>
          <w:bCs w:val="false"/>
          <w:i/>
          <w:iCs/>
          <w:color w:val="52514E"/>
          <w:sz w:val="19"/>
          <w:szCs w:val="19"/>
        </w:rPr>
        <w:t xml:space="preserve">Pair #1 + #4 in one scenario for the funding-squeeze case (assets up, deposits down), then compare it against #3 + #5 in the Compare scenarios panel.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1A1A19"/>
          <w:sz w:val="24"/>
          <w:szCs w:val="24"/>
        </w:rPr>
        <w:t xml:space="preserve">How to run a scenario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Simulation Agent → + Add rule → set Scope, Adjustment, value and the month range.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The line under each rule confirms what it caught: rows matched, the JUL–DEC forecast base, the impact, the direction, and the FY figure before → after.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Press ▶ Run simulation — results refresh only on Run, so the scenario and the numbers never drift apart.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Save each scenario by name, then tick several in Compare scenarios to run them side by side against the prior forecast.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1A1A19"/>
          <w:sz w:val="24"/>
          <w:szCs w:val="24"/>
        </w:rPr>
        <w:t xml:space="preserve">Getting the signs right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% change grows or shrinks the line as it stands. On a cost line stored as a negative, +10% means 10% more cost (forecast down); −10% means less cost (forecast up).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Add amount is applied exactly as typed, in the file’s own sign convention: on a cost line, −20 adds a 20 charge; +20 books a 20 credit.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52514E"/>
          <w:sz w:val="19"/>
          <w:szCs w:val="19"/>
        </w:rPr>
        <w:t xml:space="preserve">Revenue behaves the intuitive way in both: positive means more revenue.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1A1A19"/>
          <w:sz w:val="24"/>
          <w:szCs w:val="24"/>
        </w:rPr>
        <w:t xml:space="preserve">Note on balance-sheet aggregation</w:t>
      </w:r>
    </w:p>
    <w:p>
      <w:pPr>
        <w:spacing w:after="1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2514E"/>
          <w:sz w:val="19"/>
          <w:szCs w:val="19"/>
        </w:rPr>
        <w:t xml:space="preserve">The app rolls a line up by summing its monthly columns, which is correct for P&amp;L flows but not for balance-sheet stocks — summing twelve months of balances gives twelve times the balance. For balance-sheet files read the monthly chart and per-month values rather than the FY total, or ask for the aggregation mode (sum / average / closing month) to be added to the configuration.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2026-08-06T12:37:42.525Z</dcterms:created>
  <dcterms:modified xsi:type="dcterms:W3CDTF">2026-08-06T12:37:42.525Z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