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w:t>
      </w:r>
    </w:p>
    <w:p>
      <w:pPr>
        <w:shd w:fill="F2F1ED" w:val="clear"/>
        <w:spacing w:after="0"/>
      </w:pPr>
      <w:r>
        <w:rPr>
          <w:rFonts w:ascii="Consolas" w:cs="Consolas" w:eastAsia="Consolas" w:hAnsi="Consolas"/>
          <w:sz w:val="18"/>
          <w:szCs w:val="18"/>
        </w:rPr>
        <w:t xml:space="preserve">Banking NII  | IWPB     | Revenue                |   +</w:t>
      </w:r>
    </w:p>
    <w:p>
      <w:pPr>
        <w:shd w:fill="F2F1ED" w:val="clear"/>
        <w:spacing w:after="0"/>
      </w:pPr>
      <w:r>
        <w:rPr>
          <w:rFonts w:ascii="Consolas" w:cs="Consolas" w:eastAsia="Consolas" w:hAnsi="Consolas"/>
          <w:sz w:val="18"/>
          <w:szCs w:val="18"/>
        </w:rPr>
        <w:t xml:space="preserve">Banking NII  | IWPB     | Net Insurance Revenue  |   −</w:t>
      </w:r>
    </w:p>
    <w:p>
      <w:pPr>
        <w:shd w:fill="F2F1ED" w:val="clear"/>
        <w:spacing w:after="0"/>
      </w:pPr>
      <w:r>
        <w:rPr>
          <w:rFonts w:ascii="Consolas" w:cs="Consolas" w:eastAsia="Consolas" w:hAnsi="Consolas"/>
          <w:sz w:val="18"/>
          <w:szCs w:val="18"/>
        </w:rPr>
        <w:t xml:space="preserve">Banking NII  | CIB      | Banking NII            |   +</w:t>
      </w:r>
    </w:p>
    <w:p>
      <w:pPr>
        <w:spacing w:after="120"/>
      </w:pPr>
    </w:p>
    <w:p>
      <w:pPr>
        <w:spacing w:after="140"/>
        <w:ind w:left="360"/>
      </w:pPr>
      <w:r>
        <w:rPr>
          <w:rFonts w:ascii="Consolas" w:cs="Consolas" w:eastAsia="Consolas" w:hAnsi="Consolas"/>
          <w:shd w:fill="F2F1ED" w:val="clear"/>
        </w:rPr>
        <w:t xml:space="preserve">+</w:t>
      </w:r>
      <w:r>
        <w:t xml:space="preserve"> includes the named line (from any MICA or hierarchy level), </w:t>
      </w:r>
      <w:r>
        <w:rPr>
          <w:rFonts w:ascii="Consolas" w:cs="Consolas" w:eastAsia="Consolas" w:hAnsi="Consolas"/>
          <w:shd w:fill="F2F1ED" w:val="clear"/>
        </w:rPr>
        <w:t xml:space="preserve">−</w:t>
      </w:r>
      <w:r>
        <w:t xml:space="preserve"> carves it out, blank Business covers every business that wrote none. What the tab reads is exactly what the tile computes — the tile's tooltip reads the lineage back word for word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2026-08-15T14:51:21.794Z</dcterms:created>
  <dcterms:modified xsi:type="dcterms:W3CDTF">2026-08-15T14:51:21.795Z</dcterms:modified>
</cp:coreProperties>
</file>

<file path=docProps/custom.xml><?xml version="1.0" encoding="utf-8"?>
<Properties xmlns="http://schemas.openxmlformats.org/officeDocument/2006/custom-properties" xmlns:vt="http://schemas.openxmlformats.org/officeDocument/2006/docPropsVTypes"/>
</file>