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A subtotal that also carries its own detail rows, under one MICA parent.</w:t>
      </w:r>
      <w:r>
        <w:t xml:space="preserve"> </w:t>
      </w:r>
      <w:r>
        <w:rPr>
          <w:rFonts w:ascii="Consolas" w:cs="Consolas" w:eastAsia="Consolas" w:hAnsi="Consolas"/>
          <w:shd w:fill="F2F1ED" w:val="clear"/>
        </w:rPr>
        <w:t xml:space="preserve">totMix</w:t>
      </w:r>
      <w:r>
        <w:t xml:space="preserve"> (above) catches a value literally named </w:t>
      </w:r>
      <w:r>
        <w:rPr>
          <w:i/>
          <w:iCs/>
        </w:rPr>
        <w:t xml:space="preserve">"Total …"</w:t>
      </w:r>
      <w:r>
        <w:t xml:space="preserve"> that weighs about as much as the rest of the WHOLE file — built for a Level 1-style grand total sitting beside everything else. It does nothing for a smaller, more local shape: one MICA_Level_2 parent whose own detail already includes a row that speaks for the parent in full — no further breakdown, or its Level_3 simply repeating the Level_2 name — sitting beside OTHER rows that genuinely break that same parent down. Every tile groups by the parent, so the whole and its own pieces add together.</w:t>
      </w:r>
    </w:p>
    <w:p>
      <w:pPr>
        <w:spacing w:after="140"/>
        <w:ind w:left="360"/>
      </w:pPr>
      <w:r>
        <w:t xml:space="preserve">The name proves nothing on its own — </w:t>
      </w:r>
      <w:r>
        <w:rPr>
          <w:i/>
          <w:iCs/>
        </w:rPr>
        <w:t xml:space="preserve">"Total Indirect Costs"</w:t>
      </w:r>
      <w:r>
        <w:t xml:space="preserve"> is an ordinary P&amp;L line, not a marker, and an earlier version of this check treated any line starting with "Total" as one, which is exactly the mistake </w:t>
      </w:r>
      <w:r>
        <w:rPr>
          <w:rFonts w:ascii="Consolas" w:cs="Consolas" w:eastAsia="Consolas" w:hAnsi="Consolas"/>
          <w:shd w:fill="F2F1ED" w:val="clear"/>
        </w:rPr>
        <w:t xml:space="preserve">totMix</w:t>
      </w:r>
      <w:r>
        <w:t xml:space="preserve">'s own comment warns against. What proves it is the arithmetic: a genuine subtotal's own value is close to what its children sum to (within 5%, in practice); a coincidence is not. Where it holds, the ingest report names the line and both sides' row counts, and the tile itself carries the warning — the report alone is too easy to miss:</w:t>
      </w:r>
    </w:p>
    <w:p>
      <w:pPr>
        <w:pBdr>
          <w:left w:val="single" w:color="DB0011" w:sz="12" w:space="12"/>
        </w:pBdr>
        <w:spacing w:after="160" w:before="60"/>
        <w:ind w:left="360"/>
      </w:pPr>
      <w:r>
        <w:rPr>
          <w:i/>
          <w:iCs/>
        </w:rPr>
        <w:t xml:space="preserve">⚠ counted twice — 1 row already speaks for the whole; 2 more break it down again — see the ingest report</w:t>
      </w:r>
    </w:p>
    <w:p>
      <w:pPr>
        <w:spacing w:after="140"/>
        <w:ind w:left="360"/>
      </w:pPr>
      <w:r>
        <w:t xml:space="preserve">This is reported, not silently corrected — the reader chooses which side to keep, or fixes it in the extract mapping. Six shipped sample files were swept for false positives before this shipped; none raised anything.</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2026-08-18T19:22:08.759Z</dcterms:created>
  <dcterms:modified xsi:type="dcterms:W3CDTF">2026-08-18T19:22:08.759Z</dcterms:modified>
</cp:coreProperties>
</file>

<file path=docProps/custom.xml><?xml version="1.0" encoding="utf-8"?>
<Properties xmlns="http://schemas.openxmlformats.org/officeDocument/2006/custom-properties" xmlns:vt="http://schemas.openxmlformats.org/officeDocument/2006/docPropsVTypes"/>
</file>