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IWPB Singapore — June 2026 business commentary (sample)</w:t>
      </w:r>
    </w:p>
    <w:p>
      <w:r>
        <w:t>The half closed ahead of plan on revenue, with costs the watch item into the second half.</w:t>
      </w:r>
    </w:p>
    <w:p>
      <w:r>
        <w:t>NII carried the half. Deposit margin held better than the plan assumed as the pass-through on time deposits was slower than expected, and the book repriced through May and June.</w:t>
      </w:r>
    </w:p>
    <w:p>
      <w:r>
        <w:t>Net Fee Income was the softer line. Investment activity thinned after the March rally and brokerage volumes have not come back, though the recurring wealth fee base is unchanged.</w:t>
      </w:r>
    </w:p>
    <w:p>
      <w:r>
        <w:t>Deposits ended the half broadly flat. The migration from current accounts into time deposits continued at much the same pace as the first quarter.</w:t>
      </w:r>
    </w:p>
    <w:p>
      <w:r>
        <w:t>Loans grew on mortgage completions that had been sitting in the pipeline since February; there is no change to the underlying demand picture.</w:t>
      </w:r>
    </w:p>
    <w:p>
      <w:r>
        <w:t>Cards spend was seasonally strong in June but the balance build is behind where the plan had it.</w:t>
      </w:r>
    </w:p>
    <w:p>
      <w:r>
        <w:t>Insurance new business held up against a soft market, helped by the bancassurance push in the second quarter.</w:t>
      </w:r>
    </w:p>
    <w:p>
      <w:r>
        <w:t>Trading Income was flat and is not expected to move materially in the second half.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