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A1A19"/>
        </w:rPr>
        <w:t xml:space="preserve">IWPB Singapore Driller — KPI Dashboard</w:t>
      </w:r>
    </w:p>
    <w:p>
      <w:pPr>
        <w:pBdr>
          <w:bottom w:val="single" w:color="DB0011" w:sz="24"/>
        </w:pBdr>
        <w:spacing w:after="240"/>
      </w:pPr>
    </w:p>
    <w:p>
      <w:pPr>
        <w:spacing w:after="120" w:before="120"/>
      </w:pPr>
      <w:r>
        <w:rPr>
          <w:b/>
          <w:bCs/>
          <w:color w:val="1A1A19"/>
          <w:sz w:val="26"/>
          <w:szCs w:val="2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after="140"/>
      </w:pPr>
      <w:r>
        <w:t xml:space="preserve">A self-contained, single-file web app that ingests the IWPB Singapore TM1 extract and shows a </w:t>
      </w:r>
      <w:r>
        <w:rPr>
          <w:b/>
          <w:bCs/>
        </w:rPr>
        <w:t xml:space="preserve">RAG-rated KPI summary at MICA Level 2</w:t>
      </w:r>
      <w:r>
        <w:t xml:space="preserve"> with full drill-down. No server, no build step, no network calls — open </w:t>
      </w:r>
      <w:r>
        <w:rPr>
          <w:rFonts w:ascii="Consolas" w:cs="Consolas" w:eastAsia="Consolas" w:hAnsi="Consolas"/>
          <w:shd w:fill="F2F1ED" w:val="clear"/>
        </w:rPr>
        <w:t xml:space="preserve">index.html</w:t>
      </w:r>
      <w:r>
        <w:t xml:space="preserve"> in any modern browser and everything (including XLSX parsing via an embedded copy of SheetJS) runs locally.</w:t>
      </w:r>
    </w:p>
    <w:p>
      <w:pPr>
        <w:pStyle w:val="Heading1"/>
        <w:spacing w:after="140" w:before="320"/>
      </w:pPr>
      <w:r>
        <w:rPr>
          <w:b/>
          <w:bCs/>
          <w:color w:val="DB0011"/>
        </w:rPr>
        <w:t xml:space="preserve">Using it</w:t>
      </w:r>
    </w:p>
    <w:p>
      <w:pPr>
        <w:pStyle w:val="ListParagraph"/>
        <w:numPr>
          <w:ilvl w:val="0"/>
          <w:numId w:val="2"/>
        </w:numPr>
        <w:spacing w:after="80"/>
      </w:pPr>
      <w:r>
        <w:t xml:space="preserve">Open </w:t>
      </w:r>
      <w:r>
        <w:rPr>
          <w:rFonts w:ascii="Consolas" w:cs="Consolas" w:eastAsia="Consolas" w:hAnsi="Consolas"/>
          <w:shd w:fill="F2F1ED" w:val="clear"/>
        </w:rPr>
        <w:t xml:space="preserve">index.html</w:t>
      </w:r>
      <w:r>
        <w:t xml:space="preserve"> in a browser (double-click works).</w:t>
      </w:r>
    </w:p>
    <w:p>
      <w:pPr>
        <w:pStyle w:val="ListParagraph"/>
        <w:numPr>
          <w:ilvl w:val="0"/>
          <w:numId w:val="2"/>
        </w:numPr>
        <w:spacing w:after="80"/>
      </w:pPr>
      <w:r>
        <w:t xml:space="preserve">Drop the TM1 extract (</w:t>
      </w:r>
      <w:r>
        <w:rPr>
          <w:rFonts w:ascii="Consolas" w:cs="Consolas" w:eastAsia="Consolas" w:hAnsi="Consolas"/>
          <w:shd w:fill="F2F1ED" w:val="clear"/>
        </w:rPr>
        <w:t xml:space="preserve">.xlsx</w:t>
      </w:r>
      <w:r>
        <w:t xml:space="preserve"> or </w:t>
      </w:r>
      <w:r>
        <w:rPr>
          <w:rFonts w:ascii="Consolas" w:cs="Consolas" w:eastAsia="Consolas" w:hAnsi="Consolas"/>
          <w:shd w:fill="F2F1ED" w:val="clear"/>
        </w:rPr>
        <w:t xml:space="preserve">.csv</w:t>
      </w:r>
      <w:r>
        <w:t xml:space="preserve">) onto the upload zone. The ingest report confirms the detected columns, KPI count and period coverage.</w:t>
      </w:r>
    </w:p>
    <w:p>
      <w:pPr>
        <w:pStyle w:val="ListParagraph"/>
        <w:numPr>
          <w:ilvl w:val="0"/>
          <w:numId w:val="2"/>
        </w:numPr>
        <w:spacing w:after="80"/>
      </w:pPr>
      <w:r>
        <w:t xml:space="preserve">The dashboard opens on the </w:t>
      </w:r>
      <w:r>
        <w:rPr>
          <w:b/>
          <w:bCs/>
        </w:rPr>
        <w:t xml:space="preserve">KPI summary</w:t>
      </w:r>
      <w:r>
        <w:t xml:space="preserve">.</w:t>
      </w:r>
    </w:p>
    <w:p>
      <w:pPr>
        <w:spacing w:after="140"/>
      </w:pPr>
      <w:r>
        <w:rPr>
          <w:b/>
          <w:bCs/>
        </w:rPr>
        <w:t xml:space="preserve">Two files, and nothing else.</w:t>
      </w:r>
      <w:r>
        <w:t xml:space="preserve"> The app reads the </w:t>
      </w:r>
      <w:r>
        <w:rPr>
          <w:b/>
          <w:bCs/>
        </w:rPr>
        <w:t xml:space="preserve">TM1 data extract</w:t>
      </w:r>
      <w:r>
        <w:t xml:space="preserve"> and the </w:t>
      </w:r>
      <w:r>
        <w:rPr>
          <w:b/>
          <w:bCs/>
        </w:rPr>
        <w:t xml:space="preserve">configuration pack</w:t>
      </w:r>
      <w:r>
        <w:t xml:space="preserve"> — no other file is ingested. Each is recognised by what is inside it rather than by where it was dropped: the pack dropped on the ingest page is named and refused, with a pointer to </w:t>
      </w:r>
      <w:r>
        <w:rPr>
          <w:i/>
          <w:iCs/>
        </w:rPr>
        <w:t xml:space="preserve">Configuration → Upload config</w:t>
      </w:r>
      <w:r>
        <w:t xml:space="preserve">, instead of being parsed as data; an extract picked at Upload config is refused instead of replacing every rule with nothing, and the configuration in force is left untouched. Anything that is neither — a Word document, a PDF, a workbook of notes — is turned away by name before a byte of it is parsed, and more than one file at a time is refused rather than half-read.</w:t>
      </w:r>
    </w:p>
    <w:p>
      <w:pPr>
        <w:pStyle w:val="Heading1"/>
        <w:spacing w:after="140" w:before="320"/>
      </w:pPr>
      <w:r>
        <w:rPr>
          <w:b/>
          <w:bCs/>
          <w:color w:val="DB0011"/>
        </w:rPr>
        <w:t xml:space="preserve">What it expects in the file</w:t>
      </w:r>
    </w:p>
    <w:p>
      <w:pPr>
        <w:spacing w:after="140"/>
      </w:pPr>
      <w:r>
        <w:t xml:space="preserve">A single header row with:</w:t>
      </w:r>
    </w:p>
    <w:p>
      <w:pPr>
        <w:pStyle w:val="ListParagraph"/>
        <w:numPr>
          <w:ilvl w:val="0"/>
          <w:numId w:val="3"/>
        </w:numPr>
        <w:spacing w:after="80"/>
      </w:pPr>
      <w:r>
        <w:rPr>
          <w:b/>
          <w:bCs/>
        </w:rPr>
        <w:t xml:space="preserve">Dimensions</w:t>
      </w:r>
      <w:r>
        <w:t xml:space="preserve"> — </w:t>
      </w:r>
      <w:r>
        <w:rPr>
          <w:rFonts w:ascii="Consolas" w:cs="Consolas" w:eastAsia="Consolas" w:hAnsi="Consolas"/>
          <w:shd w:fill="F2F1ED" w:val="clear"/>
        </w:rPr>
        <w:t xml:space="preserve">MICA</w:t>
      </w:r>
      <w:r>
        <w:t xml:space="preserve">, </w:t>
      </w:r>
      <w:r>
        <w:rPr>
          <w:rFonts w:ascii="Consolas" w:cs="Consolas" w:eastAsia="Consolas" w:hAnsi="Consolas"/>
          <w:shd w:fill="F2F1ED" w:val="clear"/>
        </w:rPr>
        <w:t xml:space="preserve">MICA_Level_5/4/3/2/1</w:t>
      </w:r>
      <w:r>
        <w:t xml:space="preserve">, </w:t>
      </w:r>
      <w:r>
        <w:rPr>
          <w:rFonts w:ascii="Consolas" w:cs="Consolas" w:eastAsia="Consolas" w:hAnsi="Consolas"/>
          <w:shd w:fill="F2F1ED" w:val="clear"/>
        </w:rPr>
        <w:t xml:space="preserve">Product_code</w:t>
      </w:r>
      <w:r>
        <w:t xml:space="preserve">, </w:t>
      </w:r>
      <w:r>
        <w:rPr>
          <w:rFonts w:ascii="Consolas" w:cs="Consolas" w:eastAsia="Consolas" w:hAnsi="Consolas"/>
          <w:shd w:fill="F2F1ED" w:val="clear"/>
        </w:rPr>
        <w:t xml:space="preserve">Product_Level_3/2/1</w:t>
      </w:r>
      <w:r>
        <w:t xml:space="preserve">, </w:t>
      </w:r>
      <w:r>
        <w:rPr>
          <w:rFonts w:ascii="Consolas" w:cs="Consolas" w:eastAsia="Consolas" w:hAnsi="Consolas"/>
          <w:shd w:fill="F2F1ED" w:val="clear"/>
        </w:rPr>
        <w:t xml:space="preserve">Segment_code</w:t>
      </w:r>
      <w:r>
        <w:t xml:space="preserve">, </w:t>
      </w:r>
      <w:r>
        <w:rPr>
          <w:rFonts w:ascii="Consolas" w:cs="Consolas" w:eastAsia="Consolas" w:hAnsi="Consolas"/>
          <w:shd w:fill="F2F1ED" w:val="clear"/>
        </w:rPr>
        <w:t xml:space="preserve">CG_Level_2/1</w:t>
      </w:r>
      <w:r>
        <w:t xml:space="preserve">, </w:t>
      </w:r>
      <w:r>
        <w:rPr>
          <w:rFonts w:ascii="Consolas" w:cs="Consolas" w:eastAsia="Consolas" w:hAnsi="Consolas"/>
          <w:shd w:fill="F2F1ED" w:val="clear"/>
        </w:rPr>
        <w:t xml:space="preserve">Function_code</w:t>
      </w:r>
      <w:r>
        <w:t xml:space="preserve">, </w:t>
      </w:r>
      <w:r>
        <w:rPr>
          <w:rFonts w:ascii="Consolas" w:cs="Consolas" w:eastAsia="Consolas" w:hAnsi="Consolas"/>
          <w:shd w:fill="F2F1ED" w:val="clear"/>
        </w:rPr>
        <w:t xml:space="preserve">Function_Level_2/1</w:t>
      </w:r>
      <w:r>
        <w:t xml:space="preserve">, </w:t>
      </w:r>
      <w:r>
        <w:rPr>
          <w:rFonts w:ascii="Consolas" w:cs="Consolas" w:eastAsia="Consolas" w:hAnsi="Consolas"/>
          <w:shd w:fill="F2F1ED" w:val="clear"/>
        </w:rPr>
        <w:t xml:space="preserve">Entity code</w:t>
      </w:r>
      <w:r>
        <w:t xml:space="preserve">. Header matching is tolerant of case/underscore/spacing differences; missing optional columns just disable the related filter. Beyond the built-in list, </w:t>
      </w:r>
      <w:r>
        <w:rPr>
          <w:b/>
          <w:bCs/>
        </w:rPr>
        <w:t xml:space="preserve">any other column in the TM1 extract can be declared as a dimension</w:t>
      </w:r>
      <w:r>
        <w:t xml:space="preserve"> through the config's Dimensions section (see below) and then behaves like the rest everywhere — filters, Financial Summary cascade, drag &amp; drop charts, dashboards, commentary.</w:t>
      </w:r>
    </w:p>
    <w:p>
      <w:pPr>
        <w:pStyle w:val="ListParagraph"/>
        <w:numPr>
          <w:ilvl w:val="0"/>
          <w:numId w:val="3"/>
        </w:numPr>
        <w:spacing w:after="100"/>
      </w:pPr>
      <w:r>
        <w:rPr>
          <w:b/>
          <w:bCs/>
        </w:rPr>
        <w:t xml:space="preserve">Periods</w:t>
      </w:r>
      <w:r>
        <w:t xml:space="preserve"> — either of two layouts: 1. Monthly columns for the prior and current year. When the labels name their year (</w:t>
      </w:r>
      <w:r>
        <w:rPr>
          <w:rFonts w:ascii="Consolas" w:cs="Consolas" w:eastAsia="Consolas" w:hAnsi="Consolas"/>
          <w:shd w:fill="F2F1ED" w:val="clear"/>
        </w:rPr>
        <w:t xml:space="preserve">Jan-25</w:t>
      </w:r>
      <w:r>
        <w:t xml:space="preserve">, </w:t>
      </w:r>
      <w:r>
        <w:rPr>
          <w:rFonts w:ascii="Consolas" w:cs="Consolas" w:eastAsia="Consolas" w:hAnsi="Consolas"/>
          <w:shd w:fill="F2F1ED" w:val="clear"/>
        </w:rPr>
        <w:t xml:space="preserve">Jan 2026</w:t>
      </w:r>
      <w:r>
        <w:t xml:space="preserve">) the columns can sit </w:t>
      </w:r>
      <w:r>
        <w:rPr>
          <w:b/>
          <w:bCs/>
        </w:rPr>
        <w:t xml:space="preserve">anywhere in the file in any order</w:t>
      </w:r>
      <w:r>
        <w:t xml:space="preserve"> — the year on the label assigns them. Yearless labels (</w:t>
      </w:r>
      <w:r>
        <w:rPr>
          <w:rFonts w:ascii="Consolas" w:cs="Consolas" w:eastAsia="Consolas" w:hAnsi="Consolas"/>
          <w:shd w:fill="F2F1ED" w:val="clear"/>
        </w:rPr>
        <w:t xml:space="preserve">Jan Actual</w:t>
      </w:r>
      <w:r>
        <w:t xml:space="preserve">) fall back to the sequence rule: two blocks in calendar order, prior year first. Quarterly columns (</w:t>
      </w:r>
      <w:r>
        <w:rPr>
          <w:rFonts w:ascii="Consolas" w:cs="Consolas" w:eastAsia="Consolas" w:hAnsi="Consolas"/>
          <w:shd w:fill="F2F1ED" w:val="clear"/>
        </w:rPr>
        <w:t xml:space="preserve">1Q25 Actual</w:t>
      </w:r>
      <w:r>
        <w:t xml:space="preserve">, </w:t>
      </w:r>
      <w:r>
        <w:rPr>
          <w:rFonts w:ascii="Consolas" w:cs="Consolas" w:eastAsia="Consolas" w:hAnsi="Consolas"/>
          <w:shd w:fill="F2F1ED" w:val="clear"/>
        </w:rPr>
        <w:t xml:space="preserve">1Q26 Actual</w:t>
      </w:r>
      <w:r>
        <w:t xml:space="preserve">, …) whose 2-digit years label the blocks, plus optional </w:t>
      </w:r>
      <w:r>
        <w:rPr>
          <w:rFonts w:ascii="Consolas" w:cs="Consolas" w:eastAsia="Consolas" w:hAnsi="Consolas"/>
          <w:shd w:fill="F2F1ED" w:val="clear"/>
        </w:rPr>
        <w:t xml:space="preserve">… FC</w:t>
      </w:r>
      <w:r>
        <w:t xml:space="preserve"> forecast months and YTD columns. 2.</w:t>
      </w:r>
    </w:p>
    <w:p>
      <w:pPr>
        <w:spacing w:after="100"/>
        <w:ind w:left="360"/>
      </w:pPr>
      <w:r>
        <w:t xml:space="preserve">CIB-style: title rows above the table, an </w:t>
      </w:r>
      <w:r>
        <w:rPr>
          <w:b/>
          <w:bCs/>
        </w:rPr>
        <w:t xml:space="preserve">Actuals / Forecast / Target band row</w:t>
      </w:r>
      <w:r>
        <w:t xml:space="preserve"> above the headers, a single year of months (</w:t>
      </w:r>
      <w:r>
        <w:rPr>
          <w:rFonts w:ascii="Consolas" w:cs="Consolas" w:eastAsia="Consolas" w:hAnsi="Consolas"/>
          <w:shd w:fill="F2F1ED" w:val="clear"/>
        </w:rPr>
        <w:t xml:space="preserve">Jan-26 … Dec-26</w:t>
      </w:r>
      <w:r>
        <w:t xml:space="preserve">) whose actual-vs-forecast split comes from the band, quarters without year digits, YTD, FY and FY-Target columns. The data sheet may sit behind Control/notes tabs — every sheet is tried until one matches.</w:t>
      </w:r>
    </w:p>
    <w:p>
      <w:pPr>
        <w:spacing w:after="100"/>
        <w:ind w:left="360"/>
      </w:pPr>
      <w:r>
        <w:t xml:space="preserve">With no prior-year months, the primary comparison becomes </w:t>
      </w:r>
      <w:r>
        <w:rPr>
          <w:b/>
          <w:bCs/>
        </w:rPr>
        <w:t xml:space="preserve">YTD actuals vs YTD forecast</w:t>
      </w:r>
      <w:r>
        <w:t xml:space="preserve"> — the FY forecast column phased over the elapsed months (FY forecast × months ÷ 12) — with the FY outlook (Jan–Dec months), FY target and FY prior-year actuals shown alongside in the trajectory panel. The forecast comparison applies to every KPI, costs and ECL included, with direction-aware ratings.</w:t>
      </w:r>
    </w:p>
    <w:p>
      <w:pPr>
        <w:spacing w:after="140"/>
        <w:ind w:left="360"/>
      </w:pPr>
      <w:r>
        <w:t xml:space="preserve">Values may be numbers, </w:t>
      </w:r>
      <w:r>
        <w:rPr>
          <w:rFonts w:ascii="Consolas" w:cs="Consolas" w:eastAsia="Consolas" w:hAnsi="Consolas"/>
          <w:shd w:fill="F2F1ED" w:val="clear"/>
        </w:rPr>
        <w:t xml:space="preserve">1,234</w:t>
      </w:r>
      <w:r>
        <w:t xml:space="preserve"> text, </w:t>
      </w:r>
      <w:r>
        <w:rPr>
          <w:rFonts w:ascii="Consolas" w:cs="Consolas" w:eastAsia="Consolas" w:hAnsi="Consolas"/>
          <w:shd w:fill="F2F1ED" w:val="clear"/>
        </w:rPr>
        <w:t xml:space="preserve">(1,234)</w:t>
      </w:r>
      <w:r>
        <w:t xml:space="preserve"> bracket negatives, </w:t>
      </w:r>
      <w:r>
        <w:rPr>
          <w:rFonts w:ascii="Consolas" w:cs="Consolas" w:eastAsia="Consolas" w:hAnsi="Consolas"/>
          <w:shd w:fill="F2F1ED" w:val="clear"/>
        </w:rPr>
        <w:t xml:space="preserve">-</w:t>
      </w:r>
      <w:r>
        <w:t xml:space="preserve">, or blank.</w:t>
      </w:r>
    </w:p>
    <w:p>
      <w:pPr>
        <w:spacing w:after="140"/>
      </w:pPr>
      <w:r>
        <w:rPr>
          <w:b/>
          <w:bCs/>
        </w:rPr>
        <w:t xml:space="preserve">Multi-country workbooks</w:t>
      </w:r>
      <w:r>
        <w:t xml:space="preserve"> — a regional TM1 extract can carry </w:t>
      </w:r>
      <w:r>
        <w:rPr>
          <w:b/>
          <w:bCs/>
        </w:rPr>
        <w:t xml:space="preserve">one country per tab</w:t>
      </w:r>
      <w:r>
        <w:t xml:space="preserve">: every tab that parses as a TM1 extract becomes a country (named after its tab), while Control/Mapping/notes tabs are skipped as before. The countries merge into one model with a </w:t>
      </w:r>
      <w:r>
        <w:rPr>
          <w:rFonts w:ascii="Consolas" w:cs="Consolas" w:eastAsia="Consolas" w:hAnsi="Consolas"/>
          <w:shd w:fill="F2F1ED" w:val="clear"/>
        </w:rPr>
        <w:t xml:space="preserve">Country</w:t>
      </w:r>
      <w:r>
        <w:t xml:space="preserve"> dimension, aligned by column label so tabs may lay their columns out in any order; any tab missing columns of the first data tab is reported in the ingest summary.</w:t>
      </w:r>
    </w:p>
    <w:p>
      <w:pPr>
        <w:spacing w:after="140"/>
      </w:pPr>
      <w:r>
        <w:rPr>
          <w:b/>
          <w:bCs/>
        </w:rPr>
        <w:t xml:space="preserve">The consolidated Group.</w:t>
      </w:r>
      <w:r>
        <w:t xml:space="preserve"> A regional workbook often carries the Group on its own tab, and the Group is </w:t>
      </w:r>
      <w:r>
        <w:rPr>
          <w:i/>
          <w:iCs/>
        </w:rPr>
        <w:t xml:space="preserve">not</w:t>
      </w:r>
      <w:r>
        <w:t xml:space="preserve"> the sum of the countries — eliminations and central items live only in the consolidation. A tab whose name matches </w:t>
      </w:r>
      <w:r>
        <w:rPr>
          <w:rFonts w:ascii="Consolas" w:cs="Consolas" w:eastAsia="Consolas" w:hAnsi="Consolas"/>
          <w:shd w:fill="F2F1ED" w:val="clear"/>
        </w:rPr>
        <w:t xml:space="preserve">group_tab_patterns</w:t>
      </w:r>
      <w:r>
        <w:t xml:space="preserve"> (</w:t>
      </w:r>
      <w:r>
        <w:rPr>
          <w:rFonts w:ascii="Consolas" w:cs="Consolas" w:eastAsia="Consolas" w:hAnsi="Consolas"/>
          <w:shd w:fill="F2F1ED" w:val="clear"/>
        </w:rPr>
        <w:t xml:space="preserve">Group</w:t>
      </w:r>
      <w:r>
        <w:t xml:space="preserve">, </w:t>
      </w:r>
      <w:r>
        <w:rPr>
          <w:rFonts w:ascii="Consolas" w:cs="Consolas" w:eastAsia="Consolas" w:hAnsi="Consolas"/>
          <w:shd w:fill="F2F1ED" w:val="clear"/>
        </w:rPr>
        <w:t xml:space="preserve">Consol…</w:t>
      </w:r>
      <w:r>
        <w:t xml:space="preserve">, </w:t>
      </w:r>
      <w:r>
        <w:rPr>
          <w:rFonts w:ascii="Consolas" w:cs="Consolas" w:eastAsia="Consolas" w:hAnsi="Consolas"/>
          <w:shd w:fill="F2F1ED" w:val="clear"/>
        </w:rPr>
        <w:t xml:space="preserve">Group Total</w:t>
      </w:r>
      <w:r>
        <w:t xml:space="preserve"> by default) is therefore </w:t>
      </w:r>
      <w:r>
        <w:rPr>
          <w:b/>
          <w:bCs/>
        </w:rPr>
        <w:t xml:space="preserve">never merged as one more country</w:t>
      </w:r>
      <w:r>
        <w:t xml:space="preserve">, so nothing ever double counts. What happens instead is </w:t>
      </w:r>
      <w:r>
        <w:rPr>
          <w:rFonts w:ascii="Consolas" w:cs="Consolas" w:eastAsia="Consolas" w:hAnsi="Consolas"/>
          <w:shd w:fill="F2F1ED" w:val="clear"/>
        </w:rPr>
        <w:t xml:space="preserve">group_consolidation</w:t>
      </w:r>
      <w:r>
        <w:t xml:space="preserve">'s choice:</w:t>
      </w:r>
    </w:p>
    <w:p>
      <w:pPr>
        <w:spacing w:after="140"/>
        <w:ind w:left="360"/>
      </w:pPr>
      <w:r>
        <w:t xml:space="preserve">- </w:t>
      </w:r>
      <w:r>
        <w:rPr>
          <w:b/>
          <w:bCs/>
        </w:rPr>
        <w:t xml:space="preserve">`auto`</w:t>
      </w:r>
      <w:r>
        <w:t xml:space="preserve"> (default) — if the tab is present its figures speak for the Group: the unscoped page (tiles, Financial Summary, commentary, exports) and the strip's top row read the consolidation, while scoping to any country, region or business — or cutting a chart by geography — reads the country tabs, because the consolidation has no geography inside it. If no such tab exists, the Group is the roll-up of the country tabs, exactly as before. - </w:t>
      </w:r>
      <w:r>
        <w:rPr>
          <w:b/>
          <w:bCs/>
        </w:rPr>
        <w:t xml:space="preserve">`rollup`</w:t>
      </w:r>
      <w:r>
        <w:t xml:space="preserve"> — the tab is set aside and the Group is always the roll-up, for workbooks whose Group tab is stale or unwanted.</w:t>
      </w:r>
    </w:p>
    <w:p>
      <w:pPr>
        <w:spacing w:after="140"/>
        <w:ind w:left="360"/>
      </w:pPr>
      <w:r>
        <w:t xml:space="preserve">The ingest report says which way the Group was made — </w:t>
      </w:r>
      <w:r>
        <w:rPr>
          <w:i/>
          <w:iCs/>
        </w:rPr>
        <w:t xml:space="preserve">"read from the Group tab — the consolidated figures speak for the Group, and the tab is never added to the countries"</w:t>
      </w:r>
      <w:r>
        <w:t xml:space="preserve"> — so the source is never a guess.</w:t>
      </w:r>
    </w:p>
    <w:p>
      <w:pPr>
        <w:spacing w:after="140"/>
      </w:pPr>
      <w:r>
        <w:rPr>
          <w:b/>
          <w:bCs/>
        </w:rPr>
        <w:t xml:space="preserve">The tiers read as the organisation reads them.</w:t>
      </w:r>
      <w:r>
        <w:t xml:space="preserve"> Countries make a region, regions make the global business, global businesses make the Group: tabs named </w:t>
      </w:r>
      <w:r>
        <w:rPr>
          <w:rFonts w:ascii="Consolas" w:cs="Consolas" w:eastAsia="Consolas" w:hAnsi="Consolas"/>
          <w:shd w:fill="F2F1ED" w:val="clear"/>
        </w:rPr>
        <w:t xml:space="preserve">IWPB Singapore</w:t>
      </w:r>
      <w:r>
        <w:t xml:space="preserve"> and </w:t>
      </w:r>
      <w:r>
        <w:rPr>
          <w:rFonts w:ascii="Consolas" w:cs="Consolas" w:eastAsia="Consolas" w:hAnsi="Consolas"/>
          <w:shd w:fill="F2F1ED" w:val="clear"/>
        </w:rPr>
        <w:t xml:space="preserve">CIB Singapore</w:t>
      </w:r>
      <w:r>
        <w:t xml:space="preserve"> resolve through the CountryHierarchy's Level 0, the strip shows </w:t>
      </w:r>
      <w:r>
        <w:rPr>
          <w:b/>
          <w:bCs/>
        </w:rPr>
        <w:t xml:space="preserve">Group</w:t>
      </w:r>
      <w:r>
        <w:t xml:space="preserve"> on top (the consolidation where the file carries one, tagged </w:t>
      </w:r>
      <w:r>
        <w:rPr>
          <w:rFonts w:ascii="Consolas" w:cs="Consolas" w:eastAsia="Consolas" w:hAnsi="Consolas"/>
          <w:shd w:fill="F2F1ED" w:val="clear"/>
        </w:rPr>
        <w:t xml:space="preserve">CONSOL</w:t>
      </w:r>
      <w:r>
        <w:t xml:space="preserve">; the sum of the global businesses otherwise), then </w:t>
      </w:r>
      <w:r>
        <w:rPr>
          <w:b/>
          <w:bCs/>
        </w:rPr>
        <w:t xml:space="preserve">Global IWPB</w:t>
      </w:r>
      <w:r>
        <w:t xml:space="preserve"> and </w:t>
      </w:r>
      <w:r>
        <w:rPr>
          <w:b/>
          <w:bCs/>
        </w:rPr>
        <w:t xml:space="preserve">Global CIB</w:t>
      </w:r>
      <w:r>
        <w:t xml:space="preserve"> — the business rows carry the </w:t>
      </w:r>
      <w:r>
        <w:rPr>
          <w:rFonts w:ascii="Consolas" w:cs="Consolas" w:eastAsia="Consolas" w:hAnsi="Consolas"/>
          <w:shd w:fill="F2F1ED" w:val="clear"/>
        </w:rPr>
        <w:t xml:space="preserve">global_business_prefix</w:t>
      </w:r>
      <w:r>
        <w:t xml:space="preserve"> (</w:t>
      </w:r>
      <w:r>
        <w:rPr>
          <w:rFonts w:ascii="Consolas" w:cs="Consolas" w:eastAsia="Consolas" w:hAnsi="Consolas"/>
          <w:shd w:fill="F2F1ED" w:val="clear"/>
        </w:rPr>
        <w:t xml:space="preserve">Global</w:t>
      </w:r>
      <w:r>
        <w:t xml:space="preserve"> by default, blank switches it off, and the scope-bar dropdown reads the same) — each opening into its regions (tagged </w:t>
      </w:r>
      <w:r>
        <w:rPr>
          <w:rFonts w:ascii="Consolas" w:cs="Consolas" w:eastAsia="Consolas" w:hAnsi="Consolas"/>
          <w:shd w:fill="F2F1ED" w:val="clear"/>
        </w:rPr>
        <w:t xml:space="preserve">REGION</w:t>
      </w:r>
      <w:r>
        <w:t xml:space="preserve">, each the sum of its countries), with the countries in the picker beneath.</w:t>
      </w:r>
    </w:p>
    <w:p>
      <w:pPr>
        <w:spacing w:after="140"/>
      </w:pPr>
      <w:r>
        <w:t xml:space="preserve">The scope bar's </w:t>
      </w:r>
      <w:r>
        <w:rPr>
          <w:b/>
          <w:bCs/>
        </w:rPr>
        <w:t xml:space="preserve">country dropdown keeps the same association</w:t>
      </w:r>
      <w:r>
        <w:t xml:space="preserve">: countries are grouped under their </w:t>
      </w:r>
      <w:r>
        <w:rPr>
          <w:rFonts w:ascii="Consolas" w:cs="Consolas" w:eastAsia="Consolas" w:hAnsi="Consolas"/>
          <w:shd w:fill="F2F1ED" w:val="clear"/>
        </w:rPr>
        <w:t xml:space="preserve">Business · Region</w:t>
      </w:r>
      <w:r>
        <w:t xml:space="preserve"> headings rather than listed flat, and picking Singapore under </w:t>
      </w:r>
      <w:r>
        <w:rPr>
          <w:rFonts w:ascii="Consolas" w:cs="Consolas" w:eastAsia="Consolas" w:hAnsi="Consolas"/>
          <w:shd w:fill="F2F1ED" w:val="clear"/>
        </w:rPr>
        <w:t xml:space="preserve">CIB · Asia</w:t>
      </w:r>
      <w:r>
        <w:t xml:space="preserve"> scopes to CIB's Singapore, not to every Singapore. And wherever the file carries a Group consolidation, the top of the tree and the dropdowns' everything-option are named </w:t>
      </w:r>
      <w:r>
        <w:rPr>
          <w:b/>
          <w:bCs/>
        </w:rPr>
        <w:t xml:space="preserve">Group</w:t>
      </w:r>
      <w:r>
        <w:t xml:space="preserve"> — choosing it reads the consolidation, so it says so, rather than whatever the CountryHierarchy calls its Level 1.</w:t>
      </w:r>
    </w:p>
    <w:p>
      <w:pPr>
        <w:spacing w:after="140"/>
      </w:pPr>
      <w:r>
        <w:t xml:space="preserve">The hierarchy never leaks the other way: an entry with no tab in the loaded file — a country or a whole region the CountryHierarchy knows but this month's TM1 extract does not carry — is not offered in any dropdown, strip row or picker. The hierarchy places what is loaded; it never invents entries.</w:t>
      </w:r>
    </w:p>
    <w:p>
      <w:pPr>
        <w:spacing w:after="140"/>
      </w:pPr>
      <w:r>
        <w:rPr>
          <w:b/>
          <w:bCs/>
        </w:rPr>
        <w:t xml:space="preserve">Group and Global are different words for different things.</w:t>
      </w:r>
      <w:r>
        <w:t xml:space="preserve"> The </w:t>
      </w:r>
      <w:r>
        <w:rPr>
          <w:b/>
          <w:bCs/>
        </w:rPr>
        <w:t xml:space="preserve">Group</w:t>
      </w:r>
      <w:r>
        <w:t xml:space="preserve"> is every business together — summed, or read from the Group tab — so the top of a multi-business file, and of any file carrying a Group tab, is named Group. A </w:t>
      </w:r>
      <w:r>
        <w:rPr>
          <w:b/>
          <w:bCs/>
        </w:rPr>
        <w:t xml:space="preserve">Global business</w:t>
      </w:r>
      <w:r>
        <w:t xml:space="preserve"> is one business consolidated across its regions, so a single-business file with no Group tab is headed </w:t>
      </w:r>
      <w:r>
        <w:rPr>
          <w:b/>
          <w:bCs/>
        </w:rPr>
        <w:t xml:space="preserve">Global IWPB</w:t>
      </w:r>
      <w:r>
        <w:t xml:space="preserve">, never Group.</w:t>
      </w:r>
    </w:p>
    <w:p>
      <w:pPr>
        <w:spacing w:after="140"/>
      </w:pPr>
      <w:r>
        <w:rPr>
          <w:b/>
          <w:bCs/>
        </w:rPr>
        <w:t xml:space="preserve">Business groups are whatever the CountryHierarchy declares</w:t>
      </w:r>
      <w:r>
        <w:t xml:space="preserve"> — its Level 0 values. IWPB and CIB are the classic global businesses, and entity groups sit beside them as peers: the Group pack declares </w:t>
      </w:r>
      <w:r>
        <w:rPr>
          <w:b/>
          <w:bCs/>
        </w:rPr>
        <w:t xml:space="preserve">HK</w:t>
      </w:r>
      <w:r>
        <w:t xml:space="preserve">, </w:t>
      </w:r>
      <w:r>
        <w:rPr>
          <w:b/>
          <w:bCs/>
        </w:rPr>
        <w:t xml:space="preserve">UK</w:t>
      </w:r>
      <w:r>
        <w:t xml:space="preserve"> and </w:t>
      </w:r>
      <w:r>
        <w:rPr>
          <w:b/>
          <w:bCs/>
        </w:rPr>
        <w:t xml:space="preserve">Corp Centre</w:t>
      </w:r>
      <w:r>
        <w:t xml:space="preserve">, each consolidating exactly the same way — the Group is the sum of all five (Corp Centre negative and all), each group scopes every page, and per-group Definitions read each group its own way with a </w:t>
      </w:r>
      <w:r>
        <w:rPr>
          <w:rFonts w:ascii="Consolas" w:cs="Consolas" w:eastAsia="Consolas" w:hAnsi="Consolas"/>
          <w:shd w:fill="F2F1ED" w:val="clear"/>
        </w:rPr>
        <w:t xml:space="preserve">GROUP</w:t>
      </w:r>
      <w:r>
        <w:t xml:space="preserve"> row as the fallback. A bare tab named after an entity group (a tab called </w:t>
      </w:r>
      <w:r>
        <w:rPr>
          <w:rFonts w:ascii="Consolas" w:cs="Consolas" w:eastAsia="Consolas" w:hAnsi="Consolas"/>
          <w:shd w:fill="F2F1ED" w:val="clear"/>
        </w:rPr>
        <w:t xml:space="preserve">UK</w:t>
      </w:r>
      <w:r>
        <w:t xml:space="preserve">) resolves to that group even where the same name exists as a country inside another business — the country tab inside a business carries the business in its name (</w:t>
      </w:r>
      <w:r>
        <w:rPr>
          <w:rFonts w:ascii="Consolas" w:cs="Consolas" w:eastAsia="Consolas" w:hAnsi="Consolas"/>
          <w:shd w:fill="F2F1ED" w:val="clear"/>
        </w:rPr>
        <w:t xml:space="preserve">IWPB UK</w:t>
      </w:r>
      <w:r>
        <w:t xml:space="preserve">).</w:t>
      </w:r>
    </w:p>
    <w:p>
      <w:pPr>
        <w:spacing w:after="140"/>
      </w:pPr>
      <w:r>
        <w:rPr>
          <w:b/>
          <w:bCs/>
        </w:rPr>
        <w:t xml:space="preserve">Business performance</w:t>
      </w:r>
      <w:r>
        <w:t xml:space="preserve"> is its own page off the left-hand nav, beside the Financial Summary — the consolidation shown as evidence: one column per KPI tile on the grid (Revenue, ECL, the cost lines…, the same names and the same netting), one row per business / region / country with a Global subtotal per business and the Group at the foot. Every column casts exactly as displayed — the rounding point lands on the largest row of each block, and the Group line reads exactly what its tile reads. A lone country that would just rename its region is skipped.</w:t>
      </w:r>
    </w:p>
    <w:p>
      <w:pPr>
        <w:spacing w:after="140"/>
      </w:pPr>
      <w:r>
        <w:rPr>
          <w:b/>
          <w:bCs/>
        </w:rPr>
        <w:t xml:space="preserve">Every cell reads through the same scope machinery the tiles read</w:t>
      </w:r>
      <w:r>
        <w:t xml:space="preserve"> — a row's figure is exactly what the scope bar would show for that business / region / country, never a private row-selection of the page's own, so the page and the tiles cannot disagree. The Group line is what the unscoped tiles show: the file's own Group consolidation tab where it carries one, and any gap against the roll-up stands as an explicit </w:t>
      </w:r>
      <w:r>
        <w:rPr>
          <w:rFonts w:ascii="Consolas" w:cs="Consolas" w:eastAsia="Consolas" w:hAnsi="Consolas"/>
          <w:shd w:fill="F2F1ED" w:val="clear"/>
        </w:rPr>
        <w:t xml:space="preserve">Consolidation &amp; eliminations</w:t>
      </w:r>
      <w:r>
        <w:t xml:space="preserve"> line so the column still casts in plain sight.</w:t>
      </w:r>
    </w:p>
    <w:p>
      <w:pPr>
        <w:spacing w:after="140"/>
      </w:pPr>
      <w:r>
        <w:rPr>
          <w:b/>
          <w:bCs/>
        </w:rPr>
        <w:t xml:space="preserve">The rollup counts only rows the hierarchy maps</w:t>
      </w:r>
      <w:r>
        <w:t xml:space="preserve"> — the same rows the scope bar can reach. Rows without a business mapping (an </w:t>
      </w:r>
      <w:r>
        <w:rPr>
          <w:rFonts w:ascii="Consolas" w:cs="Consolas" w:eastAsia="Consolas" w:hAnsi="Consolas"/>
          <w:shd w:fill="F2F1ED" w:val="clear"/>
        </w:rPr>
        <w:t xml:space="preserve">Unallocated</w:t>
      </w:r>
      <w:r>
        <w:t xml:space="preserve"> line) and rows whose region the hierarchy never mapped — an empty region cell or the literal </w:t>
      </w:r>
      <w:r>
        <w:rPr>
          <w:rFonts w:ascii="Consolas" w:cs="Consolas" w:eastAsia="Consolas" w:hAnsi="Consolas"/>
          <w:shd w:fill="F2F1ED" w:val="clear"/>
        </w:rPr>
        <w:t xml:space="preserve">Unmapped</w:t>
      </w:r>
      <w:r>
        <w:t xml:space="preserve"> the merge stamps on a tab the CountryHierarchy cannot place (an </w:t>
      </w:r>
      <w:r>
        <w:rPr>
          <w:rFonts w:ascii="Consolas" w:cs="Consolas" w:eastAsia="Consolas" w:hAnsi="Consolas"/>
          <w:shd w:fill="F2F1ED" w:val="clear"/>
        </w:rPr>
        <w:t xml:space="preserve">(unmapped)</w:t>
      </w:r>
      <w:r>
        <w:t xml:space="preserve"> tier beside the named regions) stay visible as grey memo lines that never join the sums, so a mapping gap shows itself instead of silently inflating a Global line; setting </w:t>
      </w:r>
      <w:r>
        <w:rPr>
          <w:rFonts w:ascii="Consolas" w:cs="Consolas" w:eastAsia="Consolas" w:hAnsi="Consolas"/>
          <w:shd w:fill="F2F1ED" w:val="clear"/>
        </w:rPr>
        <w:t xml:space="preserve">bizperf_unmapped=add</w:t>
      </w:r>
      <w:r>
        <w:t xml:space="preserve"> restores adding them. Note the scope bar and this page read differently by design: the tiles obey the full geographic scope, while this page always shows the whole tree. A line a group defines no reading for (a per-business Definition it never wrote) shows a dash rather than borrowing a figure; a line that sits wholly inside another (Banking NII inside Revenue) is headed </w:t>
      </w:r>
      <w:r>
        <w:rPr>
          <w:rFonts w:ascii="Consolas" w:cs="Consolas" w:eastAsia="Consolas" w:hAnsi="Consolas"/>
          <w:shd w:fill="F2F1ED" w:val="clear"/>
        </w:rPr>
        <w:t xml:space="preserve">within Revenue</w:t>
      </w:r>
      <w:r>
        <w:t xml:space="preserve"> so nobody adds the two; balance-sheet tiles keep their own column in the balance unit as closing positions — never added into a P&amp;L column.</w:t>
      </w:r>
    </w:p>
    <w:p>
      <w:pPr>
        <w:spacing w:after="140"/>
      </w:pPr>
      <w:r>
        <w:rPr>
          <w:b/>
          <w:bCs/>
        </w:rPr>
        <w:t xml:space="preserve">Export to Excel</w:t>
      </w:r>
      <w:r>
        <w:t xml:space="preserve"> writes the same table as a workbook. The page reads the whole tree whatever geography is scoped elsewhere, and the nav link only appears on a file that carries more than one business group.</w:t>
      </w:r>
    </w:p>
    <w:p>
      <w:pPr>
        <w:spacing w:after="140"/>
      </w:pPr>
      <w:r>
        <w:t xml:space="preserve">Scoping lives in the </w:t>
      </w:r>
      <w:r>
        <w:rPr>
          <w:b/>
          <w:bCs/>
        </w:rPr>
        <w:t xml:space="preserve">top scope bar</w:t>
      </w:r>
      <w:r>
        <w:t xml:space="preserve">: the business line, region and country dropdowns beside Units (each narrowed to the level above it), with the active scope shown as removable chips on the Summary. Picking a scope there drives every page, chart, export and simulation, and clearing a chip restores the wider view.</w:t>
      </w:r>
    </w:p>
    <w:p>
      <w:pPr>
        <w:spacing w:after="140"/>
      </w:pPr>
      <w:r>
        <w:t xml:space="preserve">Region consolidation keeps all the standing rules: YTD from YTD columns, balances as closing positions in </w:t>
      </w:r>
      <w:r>
        <w:rPr>
          <w:rFonts w:ascii="Consolas" w:cs="Consolas" w:eastAsia="Consolas" w:hAnsi="Consolas"/>
          <w:shd w:fill="F2F1ED" w:val="clear"/>
        </w:rPr>
        <w:t xml:space="preserve">US$bn</w:t>
      </w:r>
      <w:r>
        <w:t xml:space="preserve">, P&amp;L in </w:t>
      </w:r>
      <w:r>
        <w:rPr>
          <w:rFonts w:ascii="Consolas" w:cs="Consolas" w:eastAsia="Consolas" w:hAnsi="Consolas"/>
          <w:shd w:fill="F2F1ED" w:val="clear"/>
        </w:rPr>
        <w:t xml:space="preserve">US$m</w:t>
      </w:r>
      <w:r>
        <w:t xml:space="preserve">, and P&amp;L and balance sheet never totalled together. Country also works as an ordinary column (</w:t>
      </w:r>
      <w:r>
        <w:rPr>
          <w:rFonts w:ascii="Consolas" w:cs="Consolas" w:eastAsia="Consolas" w:hAnsi="Consolas"/>
          <w:shd w:fill="F2F1ED" w:val="clear"/>
        </w:rPr>
        <w:t xml:space="preserve">Country</w:t>
      </w:r>
      <w:r>
        <w:t xml:space="preserve">/</w:t>
      </w:r>
      <w:r>
        <w:rPr>
          <w:rFonts w:ascii="Consolas" w:cs="Consolas" w:eastAsia="Consolas" w:hAnsi="Consolas"/>
          <w:shd w:fill="F2F1ED" w:val="clear"/>
        </w:rPr>
        <w:t xml:space="preserve">Country_Name</w:t>
      </w:r>
      <w:r>
        <w:t xml:space="preserve">/</w:t>
      </w:r>
      <w:r>
        <w:rPr>
          <w:rFonts w:ascii="Consolas" w:cs="Consolas" w:eastAsia="Consolas" w:hAnsi="Consolas"/>
          <w:shd w:fill="F2F1ED" w:val="clear"/>
        </w:rPr>
        <w:t xml:space="preserve">Country_Code</w:t>
      </w:r>
      <w:r>
        <w:t xml:space="preserve">) in a single-tab file. Settings: </w:t>
      </w:r>
      <w:r>
        <w:rPr>
          <w:rFonts w:ascii="Consolas" w:cs="Consolas" w:eastAsia="Consolas" w:hAnsi="Consolas"/>
          <w:shd w:fill="F2F1ED" w:val="clear"/>
        </w:rPr>
        <w:t xml:space="preserve">country_tabs</w:t>
      </w:r>
      <w:r>
        <w:t xml:space="preserve"> (</w:t>
      </w:r>
      <w:r>
        <w:rPr>
          <w:rFonts w:ascii="Consolas" w:cs="Consolas" w:eastAsia="Consolas" w:hAnsi="Consolas"/>
          <w:shd w:fill="F2F1ED" w:val="clear"/>
        </w:rPr>
        <w:t xml:space="preserve">auto</w:t>
      </w:r>
      <w:r>
        <w:t xml:space="preserve"> merges all parsing tabs, </w:t>
      </w:r>
      <w:r>
        <w:rPr>
          <w:rFonts w:ascii="Consolas" w:cs="Consolas" w:eastAsia="Consolas" w:hAnsi="Consolas"/>
          <w:shd w:fill="F2F1ED" w:val="clear"/>
        </w:rPr>
        <w:t xml:space="preserve">first</w:t>
      </w:r>
      <w:r>
        <w:t xml:space="preserve"> restores the old first-tab-only behaviour) and </w:t>
      </w:r>
      <w:r>
        <w:rPr>
          <w:rFonts w:ascii="Consolas" w:cs="Consolas" w:eastAsia="Consolas" w:hAnsi="Consolas"/>
          <w:shd w:fill="F2F1ED" w:val="clear"/>
        </w:rPr>
        <w:t xml:space="preserve">region_label</w:t>
      </w:r>
      <w:r>
        <w:t xml:space="preserve"> (the Region row's caption).</w:t>
      </w:r>
    </w:p>
    <w:p>
      <w:pPr>
        <w:spacing w:after="140"/>
      </w:pPr>
      <w:r>
        <w:rPr>
          <w:b/>
          <w:bCs/>
        </w:rPr>
        <w:t xml:space="preserve">Country hierarchy (multi-region)</w:t>
      </w:r>
      <w:r>
        <w:t xml:space="preserve"> — a </w:t>
      </w:r>
      <w:r>
        <w:rPr>
          <w:rFonts w:ascii="Consolas" w:cs="Consolas" w:eastAsia="Consolas" w:hAnsi="Consolas"/>
          <w:shd w:fill="F2F1ED" w:val="clear"/>
        </w:rPr>
        <w:t xml:space="preserve">CountryHierarchy</w:t>
      </w:r>
      <w:r>
        <w:t xml:space="preserve"> config section defines the roll-up; nothing is hard-coded. Paste the group sheet in verbatim: a header row then </w:t>
      </w:r>
      <w:r>
        <w:rPr>
          <w:rFonts w:ascii="Consolas" w:cs="Consolas" w:eastAsia="Consolas" w:hAnsi="Consolas"/>
          <w:shd w:fill="F2F1ED" w:val="clear"/>
        </w:rPr>
        <w:t xml:space="preserve">ID | Level 1 | Level 2 | Level 3</w:t>
      </w:r>
      <w:r>
        <w:t xml:space="preserve"> — or the five-column form with </w:t>
      </w:r>
      <w:r>
        <w:rPr>
          <w:rFonts w:ascii="Consolas" w:cs="Consolas" w:eastAsia="Consolas" w:hAnsi="Consolas"/>
          <w:shd w:fill="F2F1ED" w:val="clear"/>
        </w:rPr>
        <w:t xml:space="preserve">Level 0</w:t>
      </w:r>
      <w:r>
        <w:t xml:space="preserve"> (IWPB / CIB / GROUP), which is retained per entry (e.g. </w:t>
      </w:r>
      <w:r>
        <w:rPr>
          <w:rFonts w:ascii="Consolas" w:cs="Consolas" w:eastAsia="Consolas" w:hAnsi="Consolas"/>
          <w:shd w:fill="F2F1ED" w:val="clear"/>
        </w:rPr>
        <w:t xml:space="preserve">C14 | IWPB | Global | Asia | Singapore</w:t>
      </w:r>
      <w:r>
        <w:t xml:space="preserve">; a Level-2-only row such as Holdings becomes its own region; flat </w:t>
      </w:r>
      <w:r>
        <w:rPr>
          <w:rFonts w:ascii="Consolas" w:cs="Consolas" w:eastAsia="Consolas" w:hAnsi="Consolas"/>
          <w:shd w:fill="F2F1ED" w:val="clear"/>
        </w:rPr>
        <w:t xml:space="preserve">Key=country, Value=region</w:t>
      </w:r>
      <w:r>
        <w:t xml:space="preserve"> rows also work). Without the section, a multi-tab file shows the flat Region → Country strip.</w:t>
      </w:r>
    </w:p>
    <w:p>
      <w:pPr>
        <w:spacing w:after="140"/>
      </w:pPr>
      <w:r>
        <w:rPr>
          <w:b/>
          <w:bCs/>
        </w:rPr>
        <w:t xml:space="preserve">Business lines (Level 0 / group roll-up)</w:t>
      </w:r>
      <w:r>
        <w:t xml:space="preserve"> — when tabs are named </w:t>
      </w:r>
      <w:r>
        <w:rPr>
          <w:rFonts w:ascii="Consolas" w:cs="Consolas" w:eastAsia="Consolas" w:hAnsi="Consolas"/>
          <w:shd w:fill="F2F1ED" w:val="clear"/>
        </w:rPr>
        <w:t xml:space="preserve">&lt;business&gt; &lt;country&gt;</w:t>
      </w:r>
      <w:r>
        <w:t xml:space="preserve"> (</w:t>
      </w:r>
      <w:r>
        <w:rPr>
          <w:rFonts w:ascii="Consolas" w:cs="Consolas" w:eastAsia="Consolas" w:hAnsi="Consolas"/>
          <w:shd w:fill="F2F1ED" w:val="clear"/>
        </w:rPr>
        <w:t xml:space="preserve">IWPB Singapore</w:t>
      </w:r>
      <w:r>
        <w:t xml:space="preserve">, </w:t>
      </w:r>
      <w:r>
        <w:rPr>
          <w:rFonts w:ascii="Consolas" w:cs="Consolas" w:eastAsia="Consolas" w:hAnsi="Consolas"/>
          <w:shd w:fill="F2F1ED" w:val="clear"/>
        </w:rPr>
        <w:t xml:space="preserve">CIB Singapore</w:t>
      </w:r>
      <w:r>
        <w:t xml:space="preserve">) and the hierarchy carries </w:t>
      </w:r>
      <w:r>
        <w:rPr>
          <w:rFonts w:ascii="Consolas" w:cs="Consolas" w:eastAsia="Consolas" w:hAnsi="Consolas"/>
          <w:shd w:fill="F2F1ED" w:val="clear"/>
        </w:rPr>
        <w:t xml:space="preserve">Level 0</w:t>
      </w:r>
      <w:r>
        <w:t xml:space="preserve">, the same country may appear once per business line and the roll-up gains a tier: </w:t>
      </w:r>
      <w:r>
        <w:rPr>
          <w:b/>
          <w:bCs/>
        </w:rPr>
        <w:t xml:space="preserve">Group — all business lines → business line → region → country</w:t>
      </w:r>
      <w:r>
        <w:t xml:space="preserve">, with the group total the sum across business lines and a group-level country (business line "All" + the country in the top bar) summing that country across businesses. </w:t>
      </w:r>
      <w:r>
        <w:rPr>
          <w:rFonts w:ascii="Consolas" w:cs="Consolas" w:eastAsia="Consolas" w:hAnsi="Consolas"/>
          <w:shd w:fill="F2F1ED" w:val="clear"/>
        </w:rPr>
        <w:t xml:space="preserve">Business line</w:t>
      </w:r>
      <w:r>
        <w:t xml:space="preserve"> is a full dimension — filters, chart axes, simulation scopes — and the top bar gains a business dropdown, with region and country lists narrowing to the selection.</w:t>
      </w:r>
    </w:p>
    <w:p>
      <w:pPr>
        <w:spacing w:after="140"/>
      </w:pPr>
      <w:r>
        <w:t xml:space="preserve">A plain country tab name resolves to its (single) hierarchy entry as before, and </w:t>
      </w:r>
      <w:r>
        <w:rPr>
          <w:rFonts w:ascii="Consolas" w:cs="Consolas" w:eastAsia="Consolas" w:hAnsi="Consolas"/>
          <w:shd w:fill="F2F1ED" w:val="clear"/>
        </w:rPr>
        <w:t xml:space="preserve">group_label</w:t>
      </w:r>
      <w:r>
        <w:t xml:space="preserve"> renames the top row. With the map uploaded, the left-pane strip becomes three levels — the Level 1 name (Global) on top, each region in bold with its consolidated P&amp;L YTD, and its countries indented beneath — and clicking any row scopes the whole app to that node.</w:t>
      </w:r>
    </w:p>
    <w:p>
      <w:pPr>
        <w:spacing w:after="140"/>
      </w:pPr>
      <w:r>
        <w:rPr>
          <w:rFonts w:ascii="Consolas" w:cs="Consolas" w:eastAsia="Consolas" w:hAnsi="Consolas"/>
          <w:shd w:fill="F2F1ED" w:val="clear"/>
        </w:rPr>
        <w:t xml:space="preserve">Region</w:t>
      </w:r>
      <w:r>
        <w:t xml:space="preserve"> becomes a full dimension everywhere: filters, chart axes, query builder, simulation scopes and "View impact by". Countries not in the map group under "Unmapped" so nothing silently drops out of the consolidation. The top bar (next to Units) carries the same scope as two compact dropdowns — Global/region and country, the country list narrowing to the chosen region — always in sync with the left-pane strip and the Filters pane.</w:t>
      </w:r>
    </w:p>
    <w:p>
      <w:pPr>
        <w:pStyle w:val="Heading1"/>
        <w:spacing w:after="140" w:before="320"/>
      </w:pPr>
      <w:r>
        <w:rPr>
          <w:b/>
          <w:bCs/>
          <w:color w:val="DB0011"/>
        </w:rPr>
        <w:t xml:space="preserve">Views</w:t>
      </w:r>
    </w:p>
    <w:p>
      <w:pPr>
        <w:pStyle w:val="ListParagraph"/>
        <w:numPr>
          <w:ilvl w:val="0"/>
          <w:numId w:val="3"/>
        </w:numPr>
        <w:spacing w:after="100"/>
      </w:pPr>
      <w:r>
        <w:rPr>
          <w:b/>
          <w:bCs/>
        </w:rPr>
        <w:t xml:space="preserve">KPI summary</w:t>
      </w:r>
      <w:r>
        <w:t xml:space="preserve"> — financial-dashboard tiles: one per MICA Level 1 rollup (Revenue, Costs, ECL, …) plus a Total P&amp;L tile (files with a single Level 1 value fall back to Level 2 tiles), each with the KPI name and headline YTD value, then compact comparison rows (</w:t>
      </w:r>
      <w:r>
        <w:rPr>
          <w:rFonts w:ascii="Consolas" w:cs="Consolas" w:eastAsia="Consolas" w:hAnsi="Consolas"/>
          <w:shd w:fill="F2F1ED" w:val="clear"/>
        </w:rPr>
        <w:t xml:space="preserve">vs PY</w:t>
      </w:r>
      <w:r>
        <w:t xml:space="preserve">, </w:t>
      </w:r>
      <w:r>
        <w:rPr>
          <w:rFonts w:ascii="Consolas" w:cs="Consolas" w:eastAsia="Consolas" w:hAnsi="Consolas"/>
          <w:shd w:fill="F2F1ED" w:val="clear"/>
        </w:rPr>
        <w:t xml:space="preserve">vs Fcst</w:t>
      </w:r>
      <w:r>
        <w:t xml:space="preserve">, </w:t>
      </w:r>
      <w:r>
        <w:rPr>
          <w:rFonts w:ascii="Consolas" w:cs="Consolas" w:eastAsia="Consolas" w:hAnsi="Consolas"/>
          <w:shd w:fill="F2F1ED" w:val="clear"/>
        </w:rPr>
        <w:t xml:space="preserve">vs Target</w:t>
      </w:r>
      <w:r>
        <w:t xml:space="preserve">) showing the variance amount and % with direction triangles — the triangle tracks the business movement (revenue up ▲, cost up ▲) and the colour the favourability (green favourable, red unfavourable). The </w:t>
      </w:r>
      <w:r>
        <w:rPr>
          <w:b/>
          <w:bCs/>
        </w:rPr>
        <w:t xml:space="preserve">⤓ PPT</w:t>
      </w:r>
      <w:r>
        <w:t xml:space="preserve"> button beside Export to Excel produces the same tile grid as a single widescreen slide, built natively in PowerPoint.</w:t>
      </w:r>
    </w:p>
    <w:p>
      <w:pPr>
        <w:spacing w:after="100"/>
        <w:ind w:left="360"/>
      </w:pPr>
      <w:r>
        <w:t xml:space="preserve">The deck mirrors the screen exactly: the tiles the summary is showing right now, in their rendered order — a tile behind "Show all" or parked stays off the deck, and a panel the screen hides never becomes a slide — followed by the page's own commentary: the hero line, the trajectory and Mix notes where those panels are visible, and the Management Commentary on its own slides. The trajectory's note is written under the chart on the page itself — the selected line's movement against its baseline, its strongest actual month and the outlook against target — so what the deck prints is what the screen already shows, and it can be edited and kept like any other commentary block before exporting.</w:t>
      </w:r>
    </w:p>
    <w:p>
      <w:pPr>
        <w:pStyle w:val="ListParagraph"/>
        <w:numPr>
          <w:ilvl w:val="0"/>
          <w:numId w:val="3"/>
        </w:numPr>
        <w:spacing w:after="100"/>
      </w:pPr>
      <w:r>
        <w:rPr>
          <w:b/>
          <w:bCs/>
        </w:rPr>
        <w:t xml:space="preserve">One way of writing a movement, in every view.</w:t>
      </w:r>
      <w:r>
        <w:t xml:space="preserve"> The KPI tiles and their trajectory strip, the KPI scorecard, the auto-written commentary, the executive decisions, the attention chips, the management commentary, every breakdown and chart data table, chart annotations and labels, the simulation's impact table and headline, and every MI Assistant answer all render variances through the same pair of rules: the </w:t>
      </w:r>
      <w:r>
        <w:rPr>
          <w:b/>
          <w:bCs/>
        </w:rPr>
        <w:t xml:space="preserve">triangle is the direction the line actually moved</w:t>
      </w:r>
      <w:r>
        <w:t xml:space="preserve">, and the </w:t>
      </w:r>
      <w:r>
        <w:rPr>
          <w:b/>
          <w:bCs/>
        </w:rPr>
        <w:t xml:space="preserve">colour is what that movement means</w:t>
      </w:r>
      <w:r>
        <w:t xml:space="preserve"> — a cost or ECL going up is ▲ red, revenue or a balance going up is ▲ green, a cost coming down is ▼ green. Percentages are written as magnitudes (</w:t>
      </w:r>
      <w:r>
        <w:rPr>
          <w:rFonts w:ascii="Consolas" w:cs="Consolas" w:eastAsia="Consolas" w:hAnsi="Consolas"/>
          <w:shd w:fill="F2F1ED" w:val="clear"/>
        </w:rPr>
        <w:t xml:space="preserve">▲15.6%</w:t>
      </w:r>
      <w:r>
        <w:t xml:space="preserve">), never as a signed number that flips meaning between a file storing costs as negatives and one storing them as positives, so the text and the legend can never disagree with each other or with the tile they sit beside. The management commentary keeps the pack's F/A wording with the triangle joining the letter — </w:t>
      </w:r>
      <w:r>
        <w:rPr>
          <w:rFonts w:ascii="Consolas" w:cs="Consolas" w:eastAsia="Consolas" w:hAnsi="Consolas"/>
          <w:shd w:fill="F2F1ED" w:val="clear"/>
        </w:rPr>
        <w:t xml:space="preserve">▲346A</w:t>
      </w:r>
      <w:r>
        <w:t xml:space="preserve"> / </w:t>
      </w:r>
      <w:r>
        <w:rPr>
          <w:rFonts w:ascii="Consolas" w:cs="Consolas" w:eastAsia="Consolas" w:hAnsi="Consolas"/>
          <w:shd w:fill="F2F1ED" w:val="clear"/>
        </w:rPr>
        <w:t xml:space="preserve">▼18F</w:t>
      </w:r>
      <w:r>
        <w:t xml:space="preserve">.</w:t>
      </w:r>
    </w:p>
    <w:p>
      <w:pPr>
        <w:spacing w:after="100"/>
        <w:ind w:left="360"/>
      </w:pPr>
      <w:r>
        <w:rPr>
          <w:b/>
          <w:bCs/>
        </w:rPr>
        <w:t xml:space="preserve">The Financial Summary is the one view without arrows</w:t>
      </w:r>
      <w:r>
        <w:t xml:space="preserve">: it replicates the reporting pack, where fifteen variance columns sit on every line and a triangle in each one is clutter rather than signal. There the pack's own reading stands — the colour carries favourability (a cost underspend green, an ECL overshoot red) and the bracket carries the sign — in the grid, in its narrative's F/A wording and on its PowerPoint slide alike. The favourability test itself lives in one place (</w:t>
      </w:r>
      <w:r>
        <w:rPr>
          <w:rFonts w:ascii="Consolas" w:cs="Consolas" w:eastAsia="Consolas" w:hAnsi="Consolas"/>
          <w:shd w:fill="F2F1ED" w:val="clear"/>
        </w:rPr>
        <w:t xml:space="preserve">movFav</w:t>
      </w:r>
      <w:r>
        <w:t xml:space="preserve"> / </w:t>
      </w:r>
      <w:r>
        <w:rPr>
          <w:rFonts w:ascii="Consolas" w:cs="Consolas" w:eastAsia="Consolas" w:hAnsi="Consolas"/>
          <w:shd w:fill="F2F1ED" w:val="clear"/>
        </w:rPr>
        <w:t xml:space="preserve">movUp</w:t>
      </w:r>
      <w:r>
        <w:t xml:space="preserve">), which every one of those surfaces calls, so they cannot drift apart again; a chart category or a simulation line, which has rows but no KPI record, derives the same flags from its own rows.</w:t>
      </w:r>
    </w:p>
    <w:p>
      <w:pPr>
        <w:pStyle w:val="ListParagraph"/>
        <w:numPr>
          <w:ilvl w:val="0"/>
          <w:numId w:val="3"/>
        </w:numPr>
        <w:spacing w:after="80"/>
      </w:pPr>
      <w:r>
        <w:rPr>
          <w:b/>
          <w:bCs/>
        </w:rPr>
        <w:t xml:space="preserve">The result line is opened up</w:t>
      </w:r>
      <w:r>
        <w:t xml:space="preserve"> — on a TM1 extract whose only P&amp;L rollup is a single Level 1 line (a PBT beside Deposits and Loans), the tile grid would otherwise show that one result and the balance sheet, and nothing of what drove it. Its Level 2 lines lead the grid in statement order — revenue, the cost lines, the charge — with the result behind them and the balance-sheet lines last. Files with several P&amp;L rollups are unaffected. Switch it off with </w:t>
      </w:r>
      <w:r>
        <w:rPr>
          <w:rFonts w:ascii="Consolas" w:cs="Consolas" w:eastAsia="Consolas" w:hAnsi="Consolas"/>
          <w:shd w:fill="F2F1ED" w:val="clear"/>
        </w:rPr>
        <w:t xml:space="preserve">tile_expand_result</w:t>
      </w:r>
      <w:r>
        <w:t xml:space="preserve">.</w:t>
      </w:r>
    </w:p>
    <w:p>
      <w:pPr>
        <w:pStyle w:val="ListParagraph"/>
        <w:numPr>
          <w:ilvl w:val="0"/>
          <w:numId w:val="3"/>
        </w:numPr>
        <w:spacing w:after="100"/>
      </w:pPr>
      <w:r>
        <w:rPr>
          <w:b/>
          <w:bCs/>
        </w:rPr>
        <w:t xml:space="preserve">Naming the tiles</w:t>
      </w:r>
      <w:r>
        <w:t xml:space="preserve"> — </w:t>
      </w:r>
      <w:r>
        <w:rPr>
          <w:rFonts w:ascii="Consolas" w:cs="Consolas" w:eastAsia="Consolas" w:hAnsi="Consolas"/>
          <w:shd w:fill="F2F1ED" w:val="clear"/>
        </w:rPr>
        <w:t xml:space="preserve">tile_lines</w:t>
      </w:r>
      <w:r>
        <w:t xml:space="preserve"> lists exactly which lines become KPI tiles, in the order given: </w:t>
      </w:r>
      <w:r>
        <w:rPr>
          <w:rFonts w:ascii="Consolas" w:cs="Consolas" w:eastAsia="Consolas" w:hAnsi="Consolas"/>
          <w:shd w:fill="F2F1ED" w:val="clear"/>
        </w:rPr>
        <w:t xml:space="preserve">Revenue,PBT,Loans,Deposits,Costs</w:t>
      </w:r>
      <w:r>
        <w:t xml:space="preserve">. Each name is looked up in the MICA hierarchy — Level 1 first, then Level 2 (</w:t>
      </w:r>
      <w:r>
        <w:rPr>
          <w:rFonts w:ascii="Consolas" w:cs="Consolas" w:eastAsia="Consolas" w:hAnsi="Consolas"/>
          <w:shd w:fill="F2F1ED" w:val="clear"/>
        </w:rPr>
        <w:t xml:space="preserve">tile_line_levels</w:t>
      </w:r>
      <w:r>
        <w:t xml:space="preserve">) — and taken from the first level that carries it, so a summary can mix a Level 1 rollup with Level 2 lines inside it without forcing everything to one level.</w:t>
      </w:r>
    </w:p>
    <w:p>
      <w:pPr>
        <w:spacing w:after="100"/>
        <w:ind w:left="360"/>
      </w:pPr>
      <w:r>
        <w:t xml:space="preserve">Nothing resolves against a product, segment or function that happens to share a line's name. The list is shown as given — no priority reordering, no collapsing behind "show all" — a name the file does not carry is called out rather than silently dropped, and the grand-total tile is left off because the lines were chosen by hand. The PowerPoint tile grid and the landing narrative follow the same list. Leave it blank for the default behaviour (</w:t>
      </w:r>
      <w:r>
        <w:rPr>
          <w:rFonts w:ascii="Consolas" w:cs="Consolas" w:eastAsia="Consolas" w:hAnsi="Consolas"/>
          <w:shd w:fill="F2F1ED" w:val="clear"/>
        </w:rPr>
        <w:t xml:space="preserve">tile_level</w:t>
      </w:r>
      <w:r>
        <w:t xml:space="preserve"> + </w:t>
      </w:r>
      <w:r>
        <w:rPr>
          <w:rFonts w:ascii="Consolas" w:cs="Consolas" w:eastAsia="Consolas" w:hAnsi="Consolas"/>
          <w:shd w:fill="F2F1ED" w:val="clear"/>
        </w:rPr>
        <w:t xml:space="preserve">tilePriority</w:t>
      </w:r>
      <w:r>
        <w:t xml:space="preserve">).</w:t>
      </w:r>
    </w:p>
    <w:p>
      <w:pPr>
        <w:pStyle w:val="ListParagraph"/>
        <w:numPr>
          <w:ilvl w:val="0"/>
          <w:numId w:val="3"/>
        </w:numPr>
        <w:spacing w:after="100"/>
      </w:pPr>
      <w:r>
        <w:rPr>
          <w:b/>
          <w:bCs/>
        </w:rPr>
        <w:t xml:space="preserve">Hide a tile you don't want on the page</w:t>
      </w:r>
      <w:r>
        <w:t xml:space="preserve"> — every KPI tile carries a small </w:t>
      </w:r>
      <w:r>
        <w:rPr>
          <w:b/>
          <w:bCs/>
        </w:rPr>
        <w:t xml:space="preserve">✕</w:t>
      </w:r>
      <w:r>
        <w:t xml:space="preserve"> in its top-right corner. Hiding parks the tile rather than deleting it: the grid ends with a dashed </w:t>
      </w:r>
      <w:r>
        <w:rPr>
          <w:i/>
          <w:iCs/>
        </w:rPr>
        <w:t xml:space="preserve">"N hidden tiles — show"</w:t>
      </w:r>
      <w:r>
        <w:t xml:space="preserve"> card, one click brings them back as dimmed tiles, and the </w:t>
      </w:r>
      <w:r>
        <w:rPr>
          <w:b/>
          <w:bCs/>
        </w:rPr>
        <w:t xml:space="preserve">↺</w:t>
      </w:r>
      <w:r>
        <w:t xml:space="preserve"> on a dimmed tile restores it to the grid. The choice is remembered in the browser (alongside the drag-to-reorder order) and the PowerPoint tile grid follows the page, so a parked line is off the one-pager too.</w:t>
      </w:r>
    </w:p>
    <w:p>
      <w:pPr>
        <w:spacing w:after="100"/>
        <w:ind w:left="360"/>
      </w:pPr>
      <w:r>
        <w:t xml:space="preserve">Nothing is recalculated by hiding — a parked tile is only out of view, and the reporting pack, the Financial Summary and the KPI scorecard still carry the line in full. Set </w:t>
      </w:r>
      <w:r>
        <w:rPr>
          <w:rFonts w:ascii="Consolas" w:cs="Consolas" w:eastAsia="Consolas" w:hAnsi="Consolas"/>
          <w:shd w:fill="F2F1ED" w:val="clear"/>
        </w:rPr>
        <w:t xml:space="preserve">tile_hidden</w:t>
      </w:r>
      <w:r>
        <w:t xml:space="preserve"> (a </w:t>
      </w:r>
      <w:r>
        <w:rPr>
          <w:rFonts w:ascii="Consolas" w:cs="Consolas" w:eastAsia="Consolas" w:hAnsi="Consolas"/>
          <w:shd w:fill="F2F1ED" w:val="clear"/>
        </w:rPr>
        <w:t xml:space="preserve">;</w:t>
      </w:r>
      <w:r>
        <w:t xml:space="preserve">- or </w:t>
      </w:r>
      <w:r>
        <w:rPr>
          <w:rFonts w:ascii="Consolas" w:cs="Consolas" w:eastAsia="Consolas" w:hAnsi="Consolas"/>
          <w:shd w:fill="F2F1ED" w:val="clear"/>
        </w:rPr>
        <w:t xml:space="preserve">,</w:t>
      </w:r>
      <w:r>
        <w:t xml:space="preserve">-separated list of tile names) to have a build open with those tiles parked out of the box; the reader's own first hide or restore takes over from then on. The plain-language form is the </w:t>
      </w:r>
      <w:r>
        <w:rPr>
          <w:b/>
          <w:bCs/>
        </w:rPr>
        <w:t xml:space="preserve">Tiles</w:t>
      </w:r>
      <w:r>
        <w:t xml:space="preserve"> tab of the configuration workbook, which puts each tile in one of </w:t>
      </w:r>
      <w:r>
        <w:rPr>
          <w:b/>
          <w:bCs/>
        </w:rPr>
        <w:t xml:space="preserve">three states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7E9EA" w:val="clear"/>
            <w:tcMar>
              <w:top w:type="dxa" w:w="60"/>
              <w:left w:type="dxa" w:w="100"/>
              <w:bottom w:type="dxa" w:w="60"/>
              <w:right w:type="dxa" w:w="100"/>
            </w:tcMar>
          </w:tcPr>
          <w:p>
            <w:r>
              <w:rPr>
                <w:rFonts w:ascii="Consolas" w:cs="Consolas" w:eastAsia="Consolas" w:hAnsi="Consolas"/>
                <w:b/>
                <w:bCs/>
                <w:color w:val="DB0011"/>
                <w:shd w:fill="F2F1ED" w:val="clear"/>
              </w:rPr>
              <w:t xml:space="preserve">Show</w:t>
            </w:r>
            <w:r>
              <w:rPr>
                <w:b/>
                <w:bCs/>
                <w:color w:val="DB0011"/>
              </w:rPr>
              <w:t xml:space="preserve"> cell</w:t>
            </w:r>
          </w:p>
        </w:tc>
        <w:tc>
          <w:tcPr>
            <w:shd w:fill="F7E9EA" w:val="clear"/>
            <w:tcMar>
              <w:top w:type="dxa" w:w="60"/>
              <w:left w:type="dxa" w:w="100"/>
              <w:bottom w:type="dxa" w:w="60"/>
              <w:right w:type="dxa" w:w="100"/>
            </w:tcMar>
          </w:tcPr>
          <w:p>
            <w:r>
              <w:rPr>
                <w:b/>
                <w:bCs/>
                <w:color w:val="DB0011"/>
              </w:rPr>
              <w:t xml:space="preserve">What happens</w:t>
            </w:r>
          </w:p>
        </w:tc>
      </w:tr>
      <w:tr>
        <w:tc>
          <w:tcPr>
            <w:tcMar>
              <w:top w:type="dxa" w:w="60"/>
              <w:left w:type="dxa" w:w="100"/>
              <w:bottom w:type="dxa" w:w="60"/>
              <w:right w:type="dxa" w:w="100"/>
            </w:tcMar>
          </w:tcPr>
          <w:p>
            <w:pPr>
              <w:spacing w:after="0"/>
            </w:pPr>
            <w:r>
              <w:rPr>
                <w:rFonts w:ascii="Consolas" w:cs="Consolas" w:eastAsia="Consolas" w:hAnsi="Consolas"/>
                <w:shd w:fill="F2F1ED" w:val="clear"/>
              </w:rPr>
              <w:t xml:space="preserve">Y</w:t>
            </w:r>
            <w:r>
              <w:t xml:space="preserve"> (also </w:t>
            </w:r>
            <w:r>
              <w:rPr>
                <w:rFonts w:ascii="Consolas" w:cs="Consolas" w:eastAsia="Consolas" w:hAnsi="Consolas"/>
                <w:shd w:fill="F2F1ED" w:val="clear"/>
              </w:rPr>
              <w:t xml:space="preserve">Yes</w:t>
            </w:r>
            <w:r>
              <w:t xml:space="preserve">, </w:t>
            </w:r>
            <w:r>
              <w:rPr>
                <w:rFonts w:ascii="Consolas" w:cs="Consolas" w:eastAsia="Consolas" w:hAnsi="Consolas"/>
                <w:shd w:fill="F2F1ED" w:val="clear"/>
              </w:rPr>
              <w:t xml:space="preserve">Show</w:t>
            </w:r>
            <w:r>
              <w:t xml:space="preserve">, or blank)</w:t>
            </w:r>
          </w:p>
        </w:tc>
        <w:tc>
          <w:tcPr>
            <w:tcMar>
              <w:top w:type="dxa" w:w="60"/>
              <w:left w:type="dxa" w:w="100"/>
              <w:bottom w:type="dxa" w:w="60"/>
              <w:right w:type="dxa" w:w="100"/>
            </w:tcMar>
          </w:tcPr>
          <w:p>
            <w:pPr>
              <w:spacing w:after="0"/>
            </w:pPr>
            <w:r>
              <w:t xml:space="preserve">the tile is on the grid</w:t>
            </w:r>
          </w:p>
        </w:tc>
      </w:tr>
      <w:tr>
        <w:tc>
          <w:tcPr>
            <w:tcMar>
              <w:top w:type="dxa" w:w="60"/>
              <w:left w:type="dxa" w:w="100"/>
              <w:bottom w:type="dxa" w:w="60"/>
              <w:right w:type="dxa" w:w="100"/>
            </w:tcMar>
          </w:tcPr>
          <w:p>
            <w:pPr>
              <w:spacing w:after="0"/>
            </w:pPr>
            <w:r>
              <w:rPr>
                <w:rFonts w:ascii="Consolas" w:cs="Consolas" w:eastAsia="Consolas" w:hAnsi="Consolas"/>
                <w:shd w:fill="F2F1ED" w:val="clear"/>
              </w:rPr>
              <w:t xml:space="preserve">N</w:t>
            </w:r>
            <w:r>
              <w:t xml:space="preserve"> (also </w:t>
            </w:r>
            <w:r>
              <w:rPr>
                <w:rFonts w:ascii="Consolas" w:cs="Consolas" w:eastAsia="Consolas" w:hAnsi="Consolas"/>
                <w:shd w:fill="F2F1ED" w:val="clear"/>
              </w:rPr>
              <w:t xml:space="preserve">No</w:t>
            </w:r>
            <w:r>
              <w:t xml:space="preserve">, </w:t>
            </w:r>
            <w:r>
              <w:rPr>
                <w:rFonts w:ascii="Consolas" w:cs="Consolas" w:eastAsia="Consolas" w:hAnsi="Consolas"/>
                <w:shd w:fill="F2F1ED" w:val="clear"/>
              </w:rPr>
              <w:t xml:space="preserve">Hide</w:t>
            </w:r>
            <w:r>
              <w:t xml:space="preserve">, </w:t>
            </w:r>
            <w:r>
              <w:rPr>
                <w:rFonts w:ascii="Consolas" w:cs="Consolas" w:eastAsia="Consolas" w:hAnsi="Consolas"/>
                <w:shd w:fill="F2F1ED" w:val="clear"/>
              </w:rPr>
              <w:t xml:space="preserve">Park</w:t>
            </w:r>
            <w:r>
              <w:t xml:space="preserve">)</w:t>
            </w:r>
          </w:p>
        </w:tc>
        <w:tc>
          <w:tcPr>
            <w:tcMar>
              <w:top w:type="dxa" w:w="60"/>
              <w:left w:type="dxa" w:w="100"/>
              <w:bottom w:type="dxa" w:w="60"/>
              <w:right w:type="dxa" w:w="100"/>
            </w:tcMar>
          </w:tcPr>
          <w:p>
            <w:pPr>
              <w:spacing w:after="0"/>
            </w:pPr>
            <w:r>
              <w:rPr>
                <w:b/>
                <w:bCs/>
              </w:rPr>
              <w:t xml:space="preserve">parked</w:t>
            </w:r>
            <w:r>
              <w:t xml:space="preserve"> — off the grid, but the page offers </w:t>
            </w:r>
            <w:r>
              <w:rPr>
                <w:i/>
                <w:iCs/>
              </w:rPr>
              <w:t xml:space="preserve">"N hidden tiles — show"</w:t>
            </w:r>
            <w:r>
              <w:t xml:space="preserve"> and the reader can bring it back</w:t>
            </w:r>
          </w:p>
        </w:tc>
      </w:tr>
      <w:tr>
        <w:tc>
          <w:tcPr>
            <w:tcMar>
              <w:top w:type="dxa" w:w="60"/>
              <w:left w:type="dxa" w:w="100"/>
              <w:bottom w:type="dxa" w:w="60"/>
              <w:right w:type="dxa" w:w="100"/>
            </w:tcMar>
          </w:tcPr>
          <w:p>
            <w:pPr>
              <w:spacing w:after="0"/>
            </w:pPr>
            <w:r>
              <w:rPr>
                <w:rFonts w:ascii="Consolas" w:cs="Consolas" w:eastAsia="Consolas" w:hAnsi="Consolas"/>
                <w:shd w:fill="F2F1ED" w:val="clear"/>
              </w:rPr>
              <w:t xml:space="preserve">X</w:t>
            </w:r>
            <w:r>
              <w:t xml:space="preserve"> (also </w:t>
            </w:r>
            <w:r>
              <w:rPr>
                <w:rFonts w:ascii="Consolas" w:cs="Consolas" w:eastAsia="Consolas" w:hAnsi="Consolas"/>
                <w:shd w:fill="F2F1ED" w:val="clear"/>
              </w:rPr>
              <w:t xml:space="preserve">Never</w:t>
            </w:r>
            <w:r>
              <w:t xml:space="preserve">, </w:t>
            </w:r>
            <w:r>
              <w:rPr>
                <w:rFonts w:ascii="Consolas" w:cs="Consolas" w:eastAsia="Consolas" w:hAnsi="Consolas"/>
                <w:shd w:fill="F2F1ED" w:val="clear"/>
              </w:rPr>
              <w:t xml:space="preserve">Off</w:t>
            </w:r>
            <w:r>
              <w:t xml:space="preserve">, </w:t>
            </w:r>
            <w:r>
              <w:rPr>
                <w:rFonts w:ascii="Consolas" w:cs="Consolas" w:eastAsia="Consolas" w:hAnsi="Consolas"/>
                <w:shd w:fill="F2F1ED" w:val="clear"/>
              </w:rPr>
              <w:t xml:space="preserve">Exclude</w:t>
            </w:r>
            <w:r>
              <w:t xml:space="preserve">, </w:t>
            </w:r>
            <w:r>
              <w:rPr>
                <w:rFonts w:ascii="Consolas" w:cs="Consolas" w:eastAsia="Consolas" w:hAnsi="Consolas"/>
                <w:shd w:fill="F2F1ED" w:val="clear"/>
              </w:rPr>
              <w:t xml:space="preserve">Remove</w:t>
            </w:r>
            <w:r>
              <w:t xml:space="preserve">, </w:t>
            </w:r>
            <w:r>
              <w:rPr>
                <w:rFonts w:ascii="Consolas" w:cs="Consolas" w:eastAsia="Consolas" w:hAnsi="Consolas"/>
                <w:shd w:fill="F2F1ED" w:val="clear"/>
              </w:rPr>
              <w:t xml:space="preserve">None</w:t>
            </w:r>
            <w:r>
              <w:t xml:space="preserve">)</w:t>
            </w:r>
          </w:p>
        </w:tc>
        <w:tc>
          <w:tcPr>
            <w:tcMar>
              <w:top w:type="dxa" w:w="60"/>
              <w:left w:type="dxa" w:w="100"/>
              <w:bottom w:type="dxa" w:w="60"/>
              <w:right w:type="dxa" w:w="100"/>
            </w:tcMar>
          </w:tcPr>
          <w:p>
            <w:pPr>
              <w:spacing w:after="0"/>
            </w:pPr>
            <w:r>
              <w:rPr>
                <w:b/>
                <w:bCs/>
              </w:rPr>
              <w:t xml:space="preserve">not on the page at all</w:t>
            </w:r>
            <w:r>
              <w:t xml:space="preserve"> — off the grid, out of the parked list, out of the left-rail KPI list, out of the PowerPoint deck and out of the Business performance columns, and no reader setting can bring it back</w:t>
            </w:r>
          </w:p>
        </w:tc>
      </w:tr>
    </w:tbl>
    <w:p>
      <w:pPr>
        <w:spacing w:after="160"/>
      </w:pPr>
    </w:p>
    <w:p>
      <w:pPr>
        <w:spacing w:after="140"/>
        <w:ind w:left="360"/>
      </w:pPr>
      <w:r>
        <w:t xml:space="preserve">A tab of only-</w:t>
      </w:r>
      <w:r>
        <w:rPr>
          <w:rFonts w:ascii="Consolas" w:cs="Consolas" w:eastAsia="Consolas" w:hAnsi="Consolas"/>
          <w:shd w:fill="F2F1ED" w:val="clear"/>
        </w:rPr>
        <w:t xml:space="preserve">Y</w:t>
      </w:r>
      <w:r>
        <w:t xml:space="preserve"> rows shows just those. </w:t>
      </w:r>
      <w:r>
        <w:rPr>
          <w:rFonts w:ascii="Consolas" w:cs="Consolas" w:eastAsia="Consolas" w:hAnsi="Consolas"/>
          <w:shd w:fill="F2F1ED" w:val="clear"/>
        </w:rPr>
        <w:t xml:space="preserve">+</w:t>
      </w:r>
      <w:r>
        <w:t xml:space="preserve"> </w:t>
      </w:r>
      <w:r>
        <w:rPr>
          <w:b/>
          <w:bCs/>
        </w:rPr>
        <w:t xml:space="preserve">adds</w:t>
      </w:r>
      <w:r>
        <w:t xml:space="preserve"> a line the default grid does not carry — resolved from the </w:t>
      </w:r>
      <w:r>
        <w:rPr>
          <w:rFonts w:ascii="Consolas" w:cs="Consolas" w:eastAsia="Consolas" w:hAnsi="Consolas"/>
          <w:shd w:fill="F2F1ED" w:val="clear"/>
        </w:rPr>
        <w:t xml:space="preserve">Metrics</w:t>
      </w:r>
      <w:r>
        <w:t xml:space="preserve"> sheet or any MICA level, so </w:t>
      </w:r>
      <w:r>
        <w:rPr>
          <w:rFonts w:ascii="Consolas" w:cs="Consolas" w:eastAsia="Consolas" w:hAnsi="Consolas"/>
          <w:shd w:fill="F2F1ED" w:val="clear"/>
        </w:rPr>
        <w:t xml:space="preserve">Banking NII | +</w:t>
      </w:r>
      <w:r>
        <w:t xml:space="preserve"> puts Banking NII on the grid, always visible, without touching the rest. An optional </w:t>
      </w:r>
      <w:r>
        <w:rPr>
          <w:b/>
          <w:bCs/>
        </w:rPr>
        <w:t xml:space="preserve">Nets with</w:t>
      </w:r>
      <w:r>
        <w:t xml:space="preserve"> column names the lines a tile nets in. A </w:t>
      </w:r>
      <w:r>
        <w:rPr>
          <w:rFonts w:ascii="Consolas" w:cs="Consolas" w:eastAsia="Consolas" w:hAnsi="Consolas"/>
          <w:shd w:fill="F2F1ED" w:val="clear"/>
        </w:rPr>
        <w:t xml:space="preserve">Metrics</w:t>
      </w:r>
      <w:r>
        <w:t xml:space="preserve"> row defines a named selection the grid can carry: </w:t>
      </w:r>
      <w:r>
        <w:rPr>
          <w:rFonts w:ascii="Consolas" w:cs="Consolas" w:eastAsia="Consolas" w:hAnsi="Consolas"/>
          <w:shd w:fill="F2F1ED" w:val="clear"/>
        </w:rPr>
        <w:t xml:space="preserve">dim=value</w:t>
      </w:r>
      <w:r>
        <w:t xml:space="preserve"> keeps rows, </w:t>
      </w:r>
      <w:r>
        <w:rPr>
          <w:rFonts w:ascii="Consolas" w:cs="Consolas" w:eastAsia="Consolas" w:hAnsi="Consolas"/>
          <w:shd w:fill="F2F1ED" w:val="clear"/>
        </w:rPr>
        <w:t xml:space="preserve">dim!=value</w:t>
      </w:r>
      <w:r>
        <w:t xml:space="preserve"> excludes them — so </w:t>
      </w:r>
      <w:r>
        <w:rPr>
          <w:rFonts w:ascii="Consolas" w:cs="Consolas" w:eastAsia="Consolas" w:hAnsi="Consolas"/>
          <w:shd w:fill="F2F1ED" w:val="clear"/>
        </w:rPr>
        <w:t xml:space="preserve">Banking NII</w:t>
      </w:r>
      <w:r>
        <w:t xml:space="preserve"> is defined as </w:t>
      </w:r>
      <w:r>
        <w:rPr>
          <w:rFonts w:ascii="Consolas" w:cs="Consolas" w:eastAsia="Consolas" w:hAnsi="Consolas"/>
          <w:shd w:fill="F2F1ED" w:val="clear"/>
        </w:rPr>
        <w:t xml:space="preserve">micaL2=Revenue; micaL3!=Net Insurance Revenue</w:t>
      </w:r>
      <w:r>
        <w:t xml:space="preserve">, the Revenue block less its insurance line, and every figure on the tile is computed over exactly those rows.</w:t>
      </w:r>
    </w:p>
    <w:p>
      <w:pPr>
        <w:spacing w:after="140"/>
        <w:ind w:left="360"/>
      </w:pPr>
      <w:r>
        <w:t xml:space="preserve">The same name may carry a </w:t>
      </w:r>
      <w:r>
        <w:rPr>
          <w:b/>
          <w:bCs/>
        </w:rPr>
        <w:t xml:space="preserve">different definition per business</w:t>
      </w:r>
      <w:r>
        <w:t xml:space="preserve"> — an optional </w:t>
      </w:r>
      <w:r>
        <w:rPr>
          <w:rFonts w:ascii="Consolas" w:cs="Consolas" w:eastAsia="Consolas" w:hAnsi="Consolas"/>
          <w:shd w:fill="F2F1ED" w:val="clear"/>
        </w:rPr>
        <w:t xml:space="preserve">Applies to</w:t>
      </w:r>
      <w:r>
        <w:t xml:space="preserve"> column names whose definition each row is (</w:t>
      </w:r>
      <w:r>
        <w:rPr>
          <w:rFonts w:ascii="Consolas" w:cs="Consolas" w:eastAsia="Consolas" w:hAnsi="Consolas"/>
          <w:shd w:fill="F2F1ED" w:val="clear"/>
        </w:rPr>
        <w:t xml:space="preserve">Banking NII | micaL2=Revenue; micaL3!=Net Insurance Revenue | IWPB</w:t>
      </w:r>
      <w:r>
        <w:t xml:space="preserve"> beside </w:t>
      </w:r>
      <w:r>
        <w:rPr>
          <w:rFonts w:ascii="Consolas" w:cs="Consolas" w:eastAsia="Consolas" w:hAnsi="Consolas"/>
          <w:shd w:fill="F2F1ED" w:val="clear"/>
        </w:rPr>
        <w:t xml:space="preserve">Banking NII | accH3=Banking NII | CIB</w:t>
      </w:r>
      <w:r>
        <w:t xml:space="preserve">): each business's rows are judged by the definition that business wrote, a row with no </w:t>
      </w:r>
      <w:r>
        <w:rPr>
          <w:rFonts w:ascii="Consolas" w:cs="Consolas" w:eastAsia="Consolas" w:hAnsi="Consolas"/>
          <w:shd w:fill="F2F1ED" w:val="clear"/>
        </w:rPr>
        <w:t xml:space="preserve">Applies to</w:t>
      </w:r>
      <w:r>
        <w:t xml:space="preserve"> covers the businesses that wrote none, and a group view is simply the sum of every business read its own way — never one business's definition forced on another's rows. The plain-language form is the </w:t>
      </w:r>
      <w:r>
        <w:rPr>
          <w:b/>
          <w:bCs/>
        </w:rPr>
        <w:t xml:space="preserve">Definitions</w:t>
      </w:r>
      <w:r>
        <w:t xml:space="preserve"> tab — the calculation's lineage, one component per row, in the file's own line names:</w:t>
      </w:r>
    </w:p>
    <w:p>
      <w:pPr>
        <w:shd w:fill="F2F1ED" w:val="clear"/>
        <w:spacing w:after="0"/>
      </w:pPr>
      <w:r>
        <w:rPr>
          <w:rFonts w:ascii="Consolas" w:cs="Consolas" w:eastAsia="Consolas" w:hAnsi="Consolas"/>
          <w:sz w:val="18"/>
          <w:szCs w:val="18"/>
        </w:rPr>
        <w:t xml:space="preserve">Calculation  | Business | Line                   | Include | MICA level | Product Level   | Tile</w:t>
      </w:r>
    </w:p>
    <w:p>
      <w:pPr>
        <w:shd w:fill="F2F1ED" w:val="clear"/>
        <w:spacing w:after="0"/>
      </w:pPr>
      <w:r>
        <w:rPr>
          <w:rFonts w:ascii="Consolas" w:cs="Consolas" w:eastAsia="Consolas" w:hAnsi="Consolas"/>
          <w:sz w:val="18"/>
          <w:szCs w:val="18"/>
        </w:rPr>
        <w:t xml:space="preserve">Banking NII  | IWPB     | Revenue                |   +     |    L2      |                 |</w:t>
      </w:r>
    </w:p>
    <w:p>
      <w:pPr>
        <w:shd w:fill="F2F1ED" w:val="clear"/>
        <w:spacing w:after="0"/>
      </w:pPr>
      <w:r>
        <w:rPr>
          <w:rFonts w:ascii="Consolas" w:cs="Consolas" w:eastAsia="Consolas" w:hAnsi="Consolas"/>
          <w:sz w:val="18"/>
          <w:szCs w:val="18"/>
        </w:rPr>
        <w:t xml:space="preserve">Banking NII  | IWPB     | Net Insurance Revenue  |   −     |    L3      | Product_Level_7 |</w:t>
      </w:r>
    </w:p>
    <w:p>
      <w:pPr>
        <w:shd w:fill="F2F1ED" w:val="clear"/>
        <w:spacing w:after="0"/>
      </w:pPr>
      <w:r>
        <w:rPr>
          <w:rFonts w:ascii="Consolas" w:cs="Consolas" w:eastAsia="Consolas" w:hAnsi="Consolas"/>
          <w:sz w:val="18"/>
          <w:szCs w:val="18"/>
        </w:rPr>
        <w:t xml:space="preserve">Banking NII  | CIB      | Banking NII            |   +     |   accH3    |                 |</w:t>
      </w:r>
    </w:p>
    <w:p>
      <w:pPr>
        <w:spacing w:after="120"/>
      </w:pPr>
    </w:p>
    <w:p>
      <w:pPr>
        <w:spacing w:after="140"/>
        <w:ind w:left="360"/>
      </w:pPr>
      <w:r>
        <w:rPr>
          <w:rFonts w:ascii="Consolas" w:cs="Consolas" w:eastAsia="Consolas" w:hAnsi="Consolas"/>
          <w:shd w:fill="F2F1ED" w:val="clear"/>
        </w:rPr>
        <w:t xml:space="preserve">+</w:t>
      </w:r>
      <w:r>
        <w:t xml:space="preserve"> includes the named line, </w:t>
      </w:r>
      <w:r>
        <w:rPr>
          <w:rFonts w:ascii="Consolas" w:cs="Consolas" w:eastAsia="Consolas" w:hAnsi="Consolas"/>
          <w:shd w:fill="F2F1ED" w:val="clear"/>
        </w:rPr>
        <w:t xml:space="preserve">−</w:t>
      </w:r>
      <w:r>
        <w:t xml:space="preserve"> carves it out, blank Business covers every business that wrote none. </w:t>
      </w:r>
      <w:r>
        <w:rPr>
          <w:b/>
          <w:bCs/>
        </w:rPr>
        <w:t xml:space="preserve">MICA level</w:t>
      </w:r>
      <w:r>
        <w:t xml:space="preserve"> pins the name to the level it lives at — </w:t>
      </w:r>
      <w:r>
        <w:rPr>
          <w:rFonts w:ascii="Consolas" w:cs="Consolas" w:eastAsia="Consolas" w:hAnsi="Consolas"/>
          <w:shd w:fill="F2F1ED" w:val="clear"/>
        </w:rPr>
        <w:t xml:space="preserve">L1</w:t>
      </w:r>
      <w:r>
        <w:t xml:space="preserve">..</w:t>
      </w:r>
      <w:r>
        <w:rPr>
          <w:rFonts w:ascii="Consolas" w:cs="Consolas" w:eastAsia="Consolas" w:hAnsi="Consolas"/>
          <w:shd w:fill="F2F1ED" w:val="clear"/>
        </w:rPr>
        <w:t xml:space="preserve">L4</w:t>
      </w:r>
      <w:r>
        <w:t xml:space="preserve"> for MICA, or a hierarchy key like </w:t>
      </w:r>
      <w:r>
        <w:rPr>
          <w:rFonts w:ascii="Consolas" w:cs="Consolas" w:eastAsia="Consolas" w:hAnsi="Consolas"/>
          <w:shd w:fill="F2F1ED" w:val="clear"/>
        </w:rPr>
        <w:t xml:space="preserve">accH3</w:t>
      </w:r>
      <w:r>
        <w:t xml:space="preserve"> — so a name that exists at two levels is never guessed (blank searches every level).</w:t>
      </w:r>
    </w:p>
    <w:p>
      <w:pPr>
        <w:spacing w:after="140"/>
        <w:ind w:left="360"/>
      </w:pPr>
      <w:r>
        <w:rPr>
          <w:b/>
          <w:bCs/>
        </w:rPr>
        <w:t xml:space="preserve">Product Level</w:t>
      </w:r>
      <w:r>
        <w:t xml:space="preserve"> qualifies a component further: a bare column name lets the line be found in that column too, </w:t>
      </w:r>
      <w:r>
        <w:rPr>
          <w:rFonts w:ascii="Consolas" w:cs="Consolas" w:eastAsia="Consolas" w:hAnsi="Consolas"/>
          <w:shd w:fill="F2F1ED" w:val="clear"/>
        </w:rPr>
        <w:t xml:space="preserve">Product_Level_7 = Wealth</w:t>
      </w:r>
      <w:r>
        <w:t xml:space="preserve"> restricts it to rows holding that value. A </w:t>
      </w:r>
      <w:r>
        <w:rPr>
          <w:rFonts w:ascii="Consolas" w:cs="Consolas" w:eastAsia="Consolas" w:hAnsi="Consolas"/>
          <w:shd w:fill="F2F1ED" w:val="clear"/>
        </w:rPr>
        <w:t xml:space="preserve">−</w:t>
      </w:r>
      <w:r>
        <w:t xml:space="preserve"> line </w:t>
      </w:r>
      <w:r>
        <w:rPr>
          <w:b/>
          <w:bCs/>
        </w:rPr>
        <w:t xml:space="preserve">inside</w:t>
      </w:r>
      <w:r>
        <w:t xml:space="preserve"> the base is removed from the selection; one </w:t>
      </w:r>
      <w:r>
        <w:rPr>
          <w:b/>
          <w:bCs/>
        </w:rPr>
        <w:t xml:space="preserve">outside</w:t>
      </w:r>
      <w:r>
        <w:t xml:space="preserve"> it — insurance carved out of </w:t>
      </w:r>
      <w:r>
        <w:rPr>
          <w:rFonts w:ascii="Consolas" w:cs="Consolas" w:eastAsia="Consolas" w:hAnsi="Consolas"/>
          <w:shd w:fill="F2F1ED" w:val="clear"/>
        </w:rPr>
        <w:t xml:space="preserve">NII - Net Interest Income</w:t>
      </w:r>
      <w:r>
        <w:t xml:space="preserve"> rather than out of </w:t>
      </w:r>
      <w:r>
        <w:rPr>
          <w:rFonts w:ascii="Consolas" w:cs="Consolas" w:eastAsia="Consolas" w:hAnsi="Consolas"/>
          <w:shd w:fill="F2F1ED" w:val="clear"/>
        </w:rPr>
        <w:t xml:space="preserve">Revenue</w:t>
      </w:r>
      <w:r>
        <w:t xml:space="preserve"> — has its value subtracted instead, since there is nothing there to remove. Both read as </w:t>
      </w:r>
      <w:r>
        <w:rPr>
          <w:i/>
          <w:iCs/>
        </w:rPr>
        <w:t xml:space="preserve">the base, less that line</w:t>
      </w:r>
      <w:r>
        <w:t xml:space="preserve">, and the ingest report says which applied.</w:t>
      </w:r>
    </w:p>
    <w:p>
      <w:pPr>
        <w:spacing w:after="140"/>
        <w:ind w:left="360"/>
      </w:pPr>
      <w:r>
        <w:t xml:space="preserve">A defined calculation </w:t>
      </w:r>
      <w:r>
        <w:rPr>
          <w:b/>
          <w:bCs/>
        </w:rPr>
        <w:t xml:space="preserve">follows through by itself</w:t>
      </w:r>
      <w:r>
        <w:t xml:space="preserve">: it joins the tile grid, the slide deck, the KPI nav and the tile-driven commentary with no further wiring — put </w:t>
      </w:r>
      <w:r>
        <w:rPr>
          <w:rFonts w:ascii="Consolas" w:cs="Consolas" w:eastAsia="Consolas" w:hAnsi="Consolas"/>
          <w:shd w:fill="F2F1ED" w:val="clear"/>
        </w:rPr>
        <w:t xml:space="preserve">N</w:t>
      </w:r>
      <w:r>
        <w:t xml:space="preserve"> in the </w:t>
      </w:r>
      <w:r>
        <w:rPr>
          <w:b/>
          <w:bCs/>
        </w:rPr>
        <w:t xml:space="preserve">Tile</w:t>
      </w:r>
      <w:r>
        <w:t xml:space="preserve"> column to keep it a definition only. What the tab reads is exactly what the tile computes — the tile's tooltip reads the lineage back word for word, level included — and a Definitions entry speaks over a Metrics row written for the same calculation and business, so there is one place to look and it wins.</w:t>
      </w:r>
    </w:p>
    <w:p>
      <w:pPr>
        <w:pStyle w:val="ListParagraph"/>
        <w:numPr>
          <w:ilvl w:val="0"/>
          <w:numId w:val="3"/>
        </w:numPr>
        <w:spacing w:after="100"/>
      </w:pPr>
      <w:r>
        <w:rPr>
          <w:b/>
          <w:bCs/>
        </w:rPr>
        <w:t xml:space="preserve">The headline is always the year to date, through the last actual month.</w:t>
      </w:r>
      <w:r>
        <w:t xml:space="preserve"> Whatever the variance period compares on — a quarter, a single month, the full year — the figure at the top of a tile is the same one: the YTD through the last month before the forecast begins, taken from the file's own YTD column, and labelled with that month (</w:t>
      </w:r>
      <w:r>
        <w:rPr>
          <w:rFonts w:ascii="Consolas" w:cs="Consolas" w:eastAsia="Consolas" w:hAnsi="Consolas"/>
          <w:shd w:fill="F2F1ED" w:val="clear"/>
        </w:rPr>
        <w:t xml:space="preserve">JUN YTD</w:t>
      </w:r>
      <w:r>
        <w:t xml:space="preserve">).</w:t>
      </w:r>
    </w:p>
    <w:p>
      <w:pPr>
        <w:spacing w:after="100"/>
        <w:ind w:left="360"/>
      </w:pPr>
      <w:r>
        <w:t xml:space="preserve">The </w:t>
      </w:r>
      <w:r>
        <w:rPr>
          <w:b/>
          <w:bCs/>
        </w:rPr>
        <w:t xml:space="preserve">YTD through</w:t>
      </w:r>
      <w:r>
        <w:t xml:space="preserve"> selector offers actual months only — pick MAY and every tile reads </w:t>
      </w:r>
      <w:r>
        <w:rPr>
          <w:rFonts w:ascii="Consolas" w:cs="Consolas" w:eastAsia="Consolas" w:hAnsi="Consolas"/>
          <w:shd w:fill="F2F1ED" w:val="clear"/>
        </w:rPr>
        <w:t xml:space="preserve">MAY YTD</w:t>
      </w:r>
      <w:r>
        <w:t xml:space="preserve">; forecast months are not offered, so the page never looks like it is reading a month that hasn't happened. The forecast still feeds everything it should: the FY bases, the trajectory's forecast tail and the full-year outlook. Balances keep their closing balance, labelled the same way (</w:t>
      </w:r>
      <w:r>
        <w:rPr>
          <w:rFonts w:ascii="Consolas" w:cs="Consolas" w:eastAsia="Consolas" w:hAnsi="Consolas"/>
          <w:shd w:fill="F2F1ED" w:val="clear"/>
        </w:rPr>
        <w:t xml:space="preserve">JUN closing</w:t>
      </w:r>
      <w:r>
        <w:t xml:space="preserve">). The PowerPoint one-pager leads with the same figure.</w:t>
      </w:r>
    </w:p>
    <w:p>
      <w:pPr>
        <w:pStyle w:val="ListParagraph"/>
        <w:numPr>
          <w:ilvl w:val="0"/>
          <w:numId w:val="3"/>
        </w:numPr>
        <w:spacing w:after="80"/>
      </w:pPr>
      <w:r>
        <w:rPr>
          <w:b/>
          <w:bCs/>
        </w:rPr>
        <w:t xml:space="preserve">Three comparisons on a tile, and no more</w:t>
      </w:r>
      <w:r>
        <w:t xml:space="preserve"> — </w:t>
      </w:r>
      <w:r>
        <w:rPr>
          <w:rFonts w:ascii="Consolas" w:cs="Consolas" w:eastAsia="Consolas" w:hAnsi="Consolas"/>
          <w:shd w:fill="F2F1ED" w:val="clear"/>
        </w:rPr>
        <w:t xml:space="preserve">vs PY</w:t>
      </w:r>
      <w:r>
        <w:t xml:space="preserve">, </w:t>
      </w:r>
      <w:r>
        <w:rPr>
          <w:rFonts w:ascii="Consolas" w:cs="Consolas" w:eastAsia="Consolas" w:hAnsi="Consolas"/>
          <w:shd w:fill="F2F1ED" w:val="clear"/>
        </w:rPr>
        <w:t xml:space="preserve">vs Fcst</w:t>
      </w:r>
      <w:r>
        <w:t xml:space="preserve">, </w:t>
      </w:r>
      <w:r>
        <w:rPr>
          <w:rFonts w:ascii="Consolas" w:cs="Consolas" w:eastAsia="Consolas" w:hAnsi="Consolas"/>
          <w:shd w:fill="F2F1ED" w:val="clear"/>
        </w:rPr>
        <w:t xml:space="preserve">vs Tgt</w:t>
      </w:r>
      <w:r>
        <w:t xml:space="preserve">, in those words, at the grain of the headline: year to date for a P&amp;L line, closing for a balance. The variance period drives the trajectory, the commentary and the reporting pack; it never renames or replaces a tile row. Tiles move only with the </w:t>
      </w:r>
      <w:r>
        <w:rPr>
          <w:b/>
          <w:bCs/>
        </w:rPr>
        <w:t xml:space="preserve">YTD through</w:t>
      </w:r>
      <w:r>
        <w:t xml:space="preserve"> month.</w:t>
      </w:r>
    </w:p>
    <w:p>
      <w:pPr>
        <w:pStyle w:val="ListParagraph"/>
        <w:numPr>
          <w:ilvl w:val="0"/>
          <w:numId w:val="3"/>
        </w:numPr>
        <w:spacing w:after="80"/>
      </w:pPr>
      <w:r>
        <w:rPr>
          <w:b/>
          <w:bCs/>
        </w:rPr>
        <w:t xml:space="preserve">Tiles never invent lines.</w:t>
      </w:r>
      <w:r>
        <w:t xml:space="preserve"> The grid is the file's own MICA lines — </w:t>
      </w:r>
      <w:r>
        <w:rPr>
          <w:b/>
          <w:bCs/>
        </w:rPr>
        <w:t xml:space="preserve">Level 1 and Level 2 together</w:t>
      </w:r>
      <w:r>
        <w:t xml:space="preserve">: every Level 2 line and every Level 1 rollup, one tile each (a rollup that adds nothing over its only child is dropped, and a P&amp;L rollup's figure excludes the balance memo lines filed beneath it, so a result and a balance are never added). </w:t>
      </w:r>
      <w:r>
        <w:rPr>
          <w:rFonts w:ascii="Consolas" w:cs="Consolas" w:eastAsia="Consolas" w:hAnsi="Consolas"/>
          <w:shd w:fill="F2F1ED" w:val="clear"/>
        </w:rPr>
        <w:t xml:space="preserve">tile_level: level1</w:t>
      </w:r>
      <w:r>
        <w:t xml:space="preserve"> or </w:t>
      </w:r>
      <w:r>
        <w:rPr>
          <w:rFonts w:ascii="Consolas" w:cs="Consolas" w:eastAsia="Consolas" w:hAnsi="Consolas"/>
          <w:shd w:fill="F2F1ED" w:val="clear"/>
        </w:rPr>
        <w:t xml:space="preserve">level2</w:t>
      </w:r>
      <w:r>
        <w:t xml:space="preserve"> narrows the grid to one level; a </w:t>
      </w:r>
      <w:r>
        <w:rPr>
          <w:rFonts w:ascii="Consolas" w:cs="Consolas" w:eastAsia="Consolas" w:hAnsi="Consolas"/>
          <w:shd w:fill="F2F1ED" w:val="clear"/>
        </w:rPr>
        <w:t xml:space="preserve">tile_lines</w:t>
      </w:r>
      <w:r>
        <w:t xml:space="preserve"> list names the set explicitly. The </w:t>
      </w:r>
      <w:r>
        <w:rPr>
          <w:rFonts w:ascii="Consolas" w:cs="Consolas" w:eastAsia="Consolas" w:hAnsi="Consolas"/>
          <w:shd w:fill="F2F1ED" w:val="clear"/>
        </w:rPr>
        <w:t xml:space="preserve">Metrics</w:t>
      </w:r>
      <w:r>
        <w:t xml:space="preserve"> sheet feeds the KPI scorecard and the metric scopes, but metrics reach the tile grid only when the config says </w:t>
      </w:r>
      <w:r>
        <w:rPr>
          <w:rFonts w:ascii="Consolas" w:cs="Consolas" w:eastAsia="Consolas" w:hAnsi="Consolas"/>
          <w:shd w:fill="F2F1ED" w:val="clear"/>
        </w:rPr>
        <w:t xml:space="preserve">tile_metrics: Y</w:t>
      </w:r>
      <w:r>
        <w:t xml:space="preserve"> in so many words; the old </w:t>
      </w:r>
      <w:r>
        <w:rPr>
          <w:rFonts w:ascii="Consolas" w:cs="Consolas" w:eastAsia="Consolas" w:hAnsi="Consolas"/>
          <w:shd w:fill="F2F1ED" w:val="clear"/>
        </w:rPr>
        <w:t xml:space="preserve">auto</w:t>
      </w:r>
      <w:r>
        <w:t xml:space="preserve"> no longer puts every metric on the grid.</w:t>
      </w:r>
    </w:p>
    <w:p>
      <w:pPr>
        <w:pStyle w:val="ListParagraph"/>
        <w:numPr>
          <w:ilvl w:val="0"/>
          <w:numId w:val="3"/>
        </w:numPr>
        <w:spacing w:after="80"/>
      </w:pPr>
      <w:r>
        <w:rPr>
          <w:b/>
          <w:bCs/>
        </w:rPr>
        <w:t xml:space="preserve">One tile per line.</w:t>
      </w:r>
      <w:r>
        <w:t xml:space="preserve"> A merged configuration names the same line more than once — in each pack's metric list, as a rollup and again as its own row — and two lists can call one set of rows by two names. The grid, the PowerPoint one-pager and the left-hand KPI nav each show a line once: a name already on the grid does not come again, and neither do rows already on it, whatever the second list calls them. Only a genuinely different parent earns a second tile, and that tile says whose it is (</w:t>
      </w:r>
      <w:r>
        <w:rPr>
          <w:rFonts w:ascii="Consolas" w:cs="Consolas" w:eastAsia="Consolas" w:hAnsi="Consolas"/>
          <w:shd w:fill="F2F1ED" w:val="clear"/>
        </w:rPr>
        <w:t xml:space="preserve">Other · Costs</w:t>
      </w:r>
      <w:r>
        <w:t xml:space="preserve">).</w:t>
      </w:r>
    </w:p>
    <w:p>
      <w:pPr>
        <w:pStyle w:val="ListParagraph"/>
        <w:numPr>
          <w:ilvl w:val="0"/>
          <w:numId w:val="3"/>
        </w:numPr>
        <w:spacing w:after="100"/>
      </w:pPr>
      <w:r>
        <w:rPr>
          <w:b/>
          <w:bCs/>
        </w:rPr>
        <w:t xml:space="preserve">A line nets in what offsets it.</w:t>
      </w:r>
      <w:r>
        <w:t xml:space="preserve"> Where a revenue line is reduced by another line beside it — an offset, a contra, a negative revenue line — the tile shows the </w:t>
      </w:r>
      <w:r>
        <w:rPr>
          <w:b/>
          <w:bCs/>
        </w:rPr>
        <w:t xml:space="preserve">net</w:t>
      </w:r>
      <w:r>
        <w:t xml:space="preserve">, and says what it netted in (</w:t>
      </w:r>
      <w:r>
        <w:rPr>
          <w:rFonts w:ascii="Consolas" w:cs="Consolas" w:eastAsia="Consolas" w:hAnsi="Consolas"/>
          <w:shd w:fill="F2F1ED" w:val="clear"/>
        </w:rPr>
        <w:t xml:space="preserve">net of Other Revenue (212)</w:t>
      </w:r>
      <w:r>
        <w:t xml:space="preserve">) so nothing is silent. The netting is done on the rows themselves, so the year to date, every variance period and the trajectory all net the same way, and a line already inside the tile is never counted twice.</w:t>
      </w:r>
    </w:p>
    <w:p>
      <w:pPr>
        <w:spacing w:after="100"/>
        <w:ind w:left="360"/>
      </w:pPr>
      <w:r>
        <w:t xml:space="preserve">The configuration has the first word: a </w:t>
      </w:r>
      <w:r>
        <w:rPr>
          <w:b/>
          <w:bCs/>
        </w:rPr>
        <w:t xml:space="preserve">Nets with</w:t>
      </w:r>
      <w:r>
        <w:t xml:space="preserve"> entry on the </w:t>
      </w:r>
      <w:r>
        <w:rPr>
          <w:rFonts w:ascii="Consolas" w:cs="Consolas" w:eastAsia="Consolas" w:hAnsi="Consolas"/>
          <w:shd w:fill="F2F1ED" w:val="clear"/>
        </w:rPr>
        <w:t xml:space="preserve">Tiles</w:t>
      </w:r>
      <w:r>
        <w:t xml:space="preserve"> tab (</w:t>
      </w:r>
      <w:r>
        <w:rPr>
          <w:rFonts w:ascii="Consolas" w:cs="Consolas" w:eastAsia="Consolas" w:hAnsi="Consolas"/>
          <w:shd w:fill="F2F1ED" w:val="clear"/>
        </w:rPr>
        <w:t xml:space="preserve">Revenue | Y | Other Revenue, Revenue offsets</w:t>
      </w:r>
      <w:r>
        <w:t xml:space="preserve">), or a </w:t>
      </w:r>
      <w:r>
        <w:rPr>
          <w:rFonts w:ascii="Consolas" w:cs="Consolas" w:eastAsia="Consolas" w:hAnsi="Consolas"/>
          <w:shd w:fill="F2F1ED" w:val="clear"/>
        </w:rPr>
        <w:t xml:space="preserve">tile_net</w:t>
      </w:r>
      <w:r>
        <w:t xml:space="preserve"> rule (</w:t>
      </w:r>
      <w:r>
        <w:rPr>
          <w:rFonts w:ascii="Consolas" w:cs="Consolas" w:eastAsia="Consolas" w:hAnsi="Consolas"/>
          <w:shd w:fill="F2F1ED" w:val="clear"/>
        </w:rPr>
        <w:t xml:space="preserve">Revenue = Other Revenue; Total Opex = Recoveries</w:t>
      </w:r>
      <w:r>
        <w:t xml:space="preserve">), names exactly what nets with what; </w:t>
      </w:r>
      <w:r>
        <w:rPr>
          <w:rFonts w:ascii="Consolas" w:cs="Consolas" w:eastAsia="Consolas" w:hAnsi="Consolas"/>
          <w:shd w:fill="F2F1ED" w:val="clear"/>
        </w:rPr>
        <w:t xml:space="preserve">-</w:t>
      </w:r>
      <w:r>
        <w:t xml:space="preserve"> in that column stops a netting the page would otherwise make, and </w:t>
      </w:r>
      <w:r>
        <w:rPr>
          <w:rFonts w:ascii="Consolas" w:cs="Consolas" w:eastAsia="Consolas" w:hAnsi="Consolas"/>
          <w:shd w:fill="F2F1ED" w:val="clear"/>
        </w:rPr>
        <w:t xml:space="preserve">tile_net_auto: N</w:t>
      </w:r>
      <w:r>
        <w:t xml:space="preserve"> switches the automatic rule off everywhere.</w:t>
      </w:r>
    </w:p>
    <w:p>
      <w:pPr>
        <w:spacing w:after="100"/>
        <w:ind w:left="360"/>
      </w:pPr>
      <w:r>
        <w:t xml:space="preserve">With nothing named, the page nets a line only when it runs against its own block — a negative line inside a positive revenue block — and only into the largest line of that block under the same parent, never into two tiles at once, and never a cost, an ECL or a balance (</w:t>
      </w:r>
      <w:r>
        <w:rPr>
          <w:rFonts w:ascii="Consolas" w:cs="Consolas" w:eastAsia="Consolas" w:hAnsi="Consolas"/>
          <w:shd w:fill="F2F1ED" w:val="clear"/>
        </w:rPr>
        <w:t xml:space="preserve">revenue_patterns</w:t>
      </w:r>
      <w:r>
        <w:t xml:space="preserve"> decides what reads as revenue). A balance never joins a P&amp;L line.</w:t>
      </w:r>
    </w:p>
    <w:p>
      <w:pPr>
        <w:pStyle w:val="ListParagraph"/>
        <w:numPr>
          <w:ilvl w:val="0"/>
          <w:numId w:val="3"/>
        </w:numPr>
        <w:spacing w:after="100"/>
      </w:pPr>
      <w:r>
        <w:rPr>
          <w:b/>
          <w:bCs/>
        </w:rPr>
        <w:t xml:space="preserve">Move a tile where you want it</w:t>
      </w:r>
      <w:r>
        <w:t xml:space="preserve"> — drag any KPI tile onto another and it lands there, before or after depending on which half of the target you drop on. The order holds whatever produced the tiles: a config-named set (</w:t>
      </w:r>
      <w:r>
        <w:rPr>
          <w:rFonts w:ascii="Consolas" w:cs="Consolas" w:eastAsia="Consolas" w:hAnsi="Consolas"/>
          <w:shd w:fill="F2F1ED" w:val="clear"/>
        </w:rPr>
        <w:t xml:space="preserve">Metrics</w:t>
      </w:r>
      <w:r>
        <w:t xml:space="preserve"> / </w:t>
      </w:r>
      <w:r>
        <w:rPr>
          <w:rFonts w:ascii="Consolas" w:cs="Consolas" w:eastAsia="Consolas" w:hAnsi="Consolas"/>
          <w:shd w:fill="F2F1ED" w:val="clear"/>
        </w:rPr>
        <w:t xml:space="preserve">tile_lines</w:t>
      </w:r>
      <w:r>
        <w:t xml:space="preserve">), a priority-ordered set, or a plain MICA grouping — a dragged order is an explicit act and leads, with the declared order filling in behind it, so a line the stored order has never seen keeps its declared place rather than jumping the queue.</w:t>
      </w:r>
    </w:p>
    <w:p>
      <w:pPr>
        <w:spacing w:after="100"/>
        <w:ind w:left="360"/>
      </w:pPr>
      <w:r>
        <w:t xml:space="preserve">It survives re-rendering, re-ingesting the file and reopening the browser, covers collapsed and parked tiles as well as the ones on screen, and the PowerPoint one-pager follows it. A quiet </w:t>
      </w:r>
      <w:r>
        <w:rPr>
          <w:b/>
          <w:bCs/>
        </w:rPr>
        <w:t xml:space="preserve">↺ Tile order</w:t>
      </w:r>
      <w:r>
        <w:t xml:space="preserve"> button appears beside Export to Excel once something has moved — it puts the file's own order back — and stays out of sight until then, so it never takes a tile's place in the grid.</w:t>
      </w:r>
    </w:p>
    <w:p>
      <w:pPr>
        <w:pStyle w:val="ListParagraph"/>
        <w:numPr>
          <w:ilvl w:val="0"/>
          <w:numId w:val="3"/>
        </w:numPr>
        <w:spacing w:after="80"/>
      </w:pPr>
      <w:r>
        <w:rPr>
          <w:b/>
          <w:bCs/>
        </w:rPr>
        <w:t xml:space="preserve">Balance scopes read in billions everywhere</w:t>
      </w:r>
      <w:r>
        <w:t xml:space="preserve"> — any tile, chart or table whose scope is a balance line switches to the balance unit: Mix analysis and builder charts scoped to Deposits or Loans plot and label in </w:t>
      </w:r>
      <w:r>
        <w:rPr>
          <w:rFonts w:ascii="Consolas" w:cs="Consolas" w:eastAsia="Consolas" w:hAnsi="Consolas"/>
          <w:shd w:fill="F2F1ED" w:val="clear"/>
        </w:rPr>
        <w:t xml:space="preserve">US$bn</w:t>
      </w:r>
      <w:r>
        <w:t xml:space="preserve">, dashboard cards and breakdown tables restate to closings in bn (a balance's YTD figure is the file's own YTD column when it carries one at the selected month — the same figure the Financial Summary shows — and the month's closing balance otherwise), and the MI Assistant's tables show each line in its own unit. A chart over a mixed scope (the whole file) stays in the file's unit.</w:t>
      </w:r>
    </w:p>
    <w:p>
      <w:pPr>
        <w:pStyle w:val="ListParagraph"/>
        <w:numPr>
          <w:ilvl w:val="0"/>
          <w:numId w:val="3"/>
        </w:numPr>
        <w:spacing w:after="80"/>
      </w:pPr>
      <w:r>
        <w:rPr>
          <w:b/>
          <w:bCs/>
        </w:rPr>
        <w:t xml:space="preserve">Collapsible commentary</w:t>
      </w:r>
      <w:r>
        <w:t xml:space="preserve"> — the Management commentary folds behind its header: click the caret (or the title) to collapse it to a single line and click again to reopen. The state is remembered in the browser, and </w:t>
      </w:r>
      <w:r>
        <w:rPr>
          <w:rFonts w:ascii="Consolas" w:cs="Consolas" w:eastAsia="Consolas" w:hAnsi="Consolas"/>
          <w:shd w:fill="F2F1ED" w:val="clear"/>
        </w:rPr>
        <w:t xml:space="preserve">commentary_collapsed: Y</w:t>
      </w:r>
      <w:r>
        <w:t xml:space="preserve"> starts it folded for everyone. Folding is display-only — the text, edits and Word/Copy exports are untouched.</w:t>
      </w:r>
    </w:p>
    <w:p>
      <w:pPr>
        <w:pStyle w:val="ListParagraph"/>
        <w:numPr>
          <w:ilvl w:val="0"/>
          <w:numId w:val="3"/>
        </w:numPr>
        <w:spacing w:after="80"/>
      </w:pPr>
      <w:r>
        <w:rPr>
          <w:b/>
          <w:bCs/>
        </w:rPr>
        <w:t xml:space="preserve">A calmer landing page</w:t>
      </w:r>
      <w:r>
        <w:t xml:space="preserve"> — the KPI summary leads with one narrative line, the tile grid, a single row of RAG-and-attention chips, then the two analysis panels. The greeting line is off by default (</w:t>
      </w:r>
      <w:r>
        <w:rPr>
          <w:rFonts w:ascii="Consolas" w:cs="Consolas" w:eastAsia="Consolas" w:hAnsi="Consolas"/>
          <w:shd w:fill="F2F1ED" w:val="clear"/>
        </w:rPr>
        <w:t xml:space="preserve">show_greeting: Y</w:t>
      </w:r>
      <w:r>
        <w:t xml:space="preserve"> restores it), best/weakest and row-count chips are gone (the narrative and left pane already carry them), the trajectory strip caps at four figures, the per-panel filter note appears only when filters are actually applied, and editing chrome — View detail, RETRIEVE / REGENERATE — reveals on hover.</w:t>
      </w:r>
    </w:p>
    <w:p>
      <w:pPr>
        <w:pStyle w:val="ListParagraph"/>
        <w:numPr>
          <w:ilvl w:val="0"/>
          <w:numId w:val="3"/>
        </w:numPr>
        <w:spacing w:after="80"/>
      </w:pPr>
      <w:r>
        <w:rPr>
          <w:b/>
          <w:bCs/>
        </w:rPr>
        <w:t xml:space="preserve">Units on the tiles</w:t>
      </w:r>
      <w:r>
        <w:t xml:space="preserve"> — every KPI tile names its unit beside the KPI (</w:t>
      </w:r>
      <w:r>
        <w:rPr>
          <w:rFonts w:ascii="Consolas" w:cs="Consolas" w:eastAsia="Consolas" w:hAnsi="Consolas"/>
          <w:shd w:fill="F2F1ED" w:val="clear"/>
        </w:rPr>
        <w:t xml:space="preserve">US$m</w:t>
      </w:r>
      <w:r>
        <w:t xml:space="preserve"> on the P&amp;L lines, </w:t>
      </w:r>
      <w:r>
        <w:rPr>
          <w:rFonts w:ascii="Consolas" w:cs="Consolas" w:eastAsia="Consolas" w:hAnsi="Consolas"/>
          <w:shd w:fill="F2F1ED" w:val="clear"/>
        </w:rPr>
        <w:t xml:space="preserve">US$bn</w:t>
      </w:r>
      <w:r>
        <w:t xml:space="preserve"> on balances), the page lede states the split ("P&amp;L in US$m · balances in US$bn"), and the one-slide PPT export mirrors the same grid, units, expansion and totals rule as the page. Because the tiles carry their own units, the </w:t>
      </w:r>
      <w:r>
        <w:rPr>
          <w:i/>
          <w:iCs/>
        </w:rPr>
        <w:t xml:space="preserve">Financial Performance</w:t>
      </w:r>
      <w:r>
        <w:t xml:space="preserve"> header carries none.</w:t>
      </w:r>
    </w:p>
    <w:p>
      <w:pPr>
        <w:pStyle w:val="ListParagraph"/>
        <w:numPr>
          <w:ilvl w:val="0"/>
          <w:numId w:val="3"/>
        </w:numPr>
        <w:spacing w:after="100"/>
      </w:pPr>
      <w:r>
        <w:rPr>
          <w:b/>
          <w:bCs/>
        </w:rPr>
        <w:t xml:space="preserve">Summary layout</w:t>
      </w:r>
      <w:r>
        <w:t xml:space="preserve"> — the tiles sit in equal-height cards; below them the performance trajectory takes the left column and an </w:t>
      </w:r>
      <w:r>
        <w:rPr>
          <w:b/>
          <w:bCs/>
        </w:rPr>
        <w:t xml:space="preserve">Executive decisions</w:t>
      </w:r>
      <w:r>
        <w:t xml:space="preserve"> panel the right, the two stretched to the same height. The panel is computed, never narrated: </w:t>
      </w:r>
      <w:r>
        <w:rPr>
          <w:b/>
          <w:bCs/>
        </w:rPr>
        <w:t xml:space="preserve">a decision is asked for where a line is unfavourable</w:t>
      </w:r>
      <w:r>
        <w:t xml:space="preserve">, so those lines rank worst-first as decision cards, each with the variance as its headline impact figure (233A / +11.5%), and the inferences the data supports — position vs the basis and the full-year gap to target — plus a </w:t>
      </w:r>
      <w:r>
        <w:rPr>
          <w:i/>
          <w:iCs/>
        </w:rPr>
        <w:t xml:space="preserve">Review trajectory</w:t>
      </w:r>
      <w:r>
        <w:t xml:space="preserve"> action that points the chart at that line.</w:t>
      </w:r>
    </w:p>
    <w:p>
      <w:pPr>
        <w:spacing w:after="100"/>
        <w:ind w:left="360"/>
      </w:pPr>
      <w:r>
        <w:t xml:space="preserve">A count badge carries the number of unfavourable lines, cards cap at </w:t>
      </w:r>
      <w:r>
        <w:rPr>
          <w:rFonts w:ascii="Consolas" w:cs="Consolas" w:eastAsia="Consolas" w:hAnsi="Consolas"/>
          <w:shd w:fill="F2F1ED" w:val="clear"/>
        </w:rPr>
        <w:t xml:space="preserve">decisions_max</w:t>
      </w:r>
      <w:r>
        <w:t xml:space="preserve"> (default 3) with the overflow noted, and a file with nothing unfavourable says so instead. The Management commentary sits full-width beneath the pair. Clicking a tile (or a KPI in the left rail) points the trajectory and its actions at that line. The mix-analysis panel no longer shows on this page, though its view still feeds the one-page PPT export.</w:t>
      </w:r>
    </w:p>
    <w:p>
      <w:pPr>
        <w:pStyle w:val="ListParagraph"/>
        <w:numPr>
          <w:ilvl w:val="0"/>
          <w:numId w:val="3"/>
        </w:numPr>
        <w:spacing w:after="100"/>
      </w:pPr>
      <w:r>
        <w:rPr>
          <w:b/>
          <w:bCs/>
        </w:rPr>
        <w:t xml:space="preserve">No total when a total means nothing</w:t>
      </w:r>
      <w:r>
        <w:t xml:space="preserve"> — </w:t>
      </w:r>
      <w:r>
        <w:rPr>
          <w:rFonts w:ascii="Consolas" w:cs="Consolas" w:eastAsia="Consolas" w:hAnsi="Consolas"/>
          <w:shd w:fill="F2F1ED" w:val="clear"/>
        </w:rPr>
        <w:t xml:space="preserve">total_tile</w:t>
      </w:r>
      <w:r>
        <w:t xml:space="preserve"> and </w:t>
      </w:r>
      <w:r>
        <w:rPr>
          <w:rFonts w:ascii="Consolas" w:cs="Consolas" w:eastAsia="Consolas" w:hAnsi="Consolas"/>
          <w:shd w:fill="F2F1ED" w:val="clear"/>
        </w:rPr>
        <w:t xml:space="preserve">fsum_total</w:t>
      </w:r>
      <w:r>
        <w:t xml:space="preserve"> default to </w:t>
      </w:r>
      <w:r>
        <w:rPr>
          <w:rFonts w:ascii="Consolas" w:cs="Consolas" w:eastAsia="Consolas" w:hAnsi="Consolas"/>
          <w:shd w:fill="F2F1ED" w:val="clear"/>
        </w:rPr>
        <w:t xml:space="preserve">auto</w:t>
      </w:r>
      <w:r>
        <w:t xml:space="preserve">: a computed total is printed only while no MICA Level 1 line in the file is a balance-sheet line, recognised by </w:t>
      </w:r>
      <w:r>
        <w:rPr>
          <w:rFonts w:ascii="Consolas" w:cs="Consolas" w:eastAsia="Consolas" w:hAnsi="Consolas"/>
          <w:shd w:fill="F2F1ED" w:val="clear"/>
        </w:rPr>
        <w:t xml:space="preserve">balance_sheet_patterns</w:t>
      </w:r>
      <w:r>
        <w:t xml:space="preserve"> (deposits, loans, advances, mortgages, balances, assets, liabilities, RWA, AUM, NNM …). Those patterns are their own setting, independent of </w:t>
      </w:r>
      <w:r>
        <w:rPr>
          <w:rFonts w:ascii="Consolas" w:cs="Consolas" w:eastAsia="Consolas" w:hAnsi="Consolas"/>
          <w:shd w:fill="F2F1ED" w:val="clear"/>
        </w:rPr>
        <w:t xml:space="preserve">TilePriority</w:t>
      </w:r>
      <w:r>
        <w:t xml:space="preserve">, so re-ordering the tile priorities cannot switch totalling back on. Balance-sheet lines are also never hoisted by tile priority and always sort below the P&amp;L, and a file carrying them never collapses its tile grid.</w:t>
      </w:r>
    </w:p>
    <w:p>
      <w:pPr>
        <w:spacing w:after="100"/>
        <w:ind w:left="360"/>
      </w:pPr>
      <w:r>
        <w:t xml:space="preserve">A TM1 extract carrying Deposits or Loans beside a result gets no total tile, no total row and no total in its commentary, because adding a balance to a result is not a figure; a P&amp;L-only TM1 extract keeps its bottom line as before. </w:t>
      </w:r>
      <w:r>
        <w:rPr>
          <w:rFonts w:ascii="Consolas" w:cs="Consolas" w:eastAsia="Consolas" w:hAnsi="Consolas"/>
          <w:shd w:fill="F2F1ED" w:val="clear"/>
        </w:rPr>
        <w:t xml:space="preserve">Y</w:t>
      </w:r>
      <w:r>
        <w:t xml:space="preserve"> or </w:t>
      </w:r>
      <w:r>
        <w:rPr>
          <w:rFonts w:ascii="Consolas" w:cs="Consolas" w:eastAsia="Consolas" w:hAnsi="Consolas"/>
          <w:shd w:fill="F2F1ED" w:val="clear"/>
        </w:rPr>
        <w:t xml:space="preserve">N</w:t>
      </w:r>
      <w:r>
        <w:t xml:space="preserve"> force it either way (though </w:t>
      </w:r>
      <w:r>
        <w:rPr>
          <w:rFonts w:ascii="Consolas" w:cs="Consolas" w:eastAsia="Consolas" w:hAnsi="Consolas"/>
          <w:shd w:fill="F2F1ED" w:val="clear"/>
        </w:rPr>
        <w:t xml:space="preserve">Y</w:t>
      </w:r>
      <w:r>
        <w:t xml:space="preserve"> can never force a total on a scope mixing balance-sheet and P&amp;L lines — that guard is absolute), and naming the lines in </w:t>
      </w:r>
      <w:r>
        <w:rPr>
          <w:rFonts w:ascii="Consolas" w:cs="Consolas" w:eastAsia="Consolas" w:hAnsi="Consolas"/>
          <w:shd w:fill="F2F1ED" w:val="clear"/>
        </w:rPr>
        <w:t xml:space="preserve">tile_lines</w:t>
      </w:r>
      <w:r>
        <w:t xml:space="preserve"> or declaring statements in </w:t>
      </w:r>
      <w:r>
        <w:rPr>
          <w:rFonts w:ascii="Consolas" w:cs="Consolas" w:eastAsia="Consolas" w:hAnsi="Consolas"/>
          <w:shd w:fill="F2F1ED" w:val="clear"/>
        </w:rPr>
        <w:t xml:space="preserve">fsum_sections</w:t>
      </w:r>
      <w:r>
        <w:t xml:space="preserve"> also drops it. Lines the priority patterns do not recognise are ordered as they appear in the TM1 extract rather than by size, so a balance-sheet line is not hoisted above the P&amp;L. Lines </w:t>
      </w:r>
      <w:r>
        <w:rPr>
          <w:i/>
          <w:iCs/>
        </w:rPr>
        <w:t xml:space="preserve">within</w:t>
      </w:r>
      <w:r>
        <w:t xml:space="preserve"> a statement — the Level 2 lines under a rollup — always read in the TM1 extract's own sequence, so revenue sits with the cost lines in statement order rather than being reshuffled by whichever moved most; the "driven by" openers still name the biggest movers first.</w:t>
      </w:r>
    </w:p>
    <w:p>
      <w:pPr>
        <w:spacing w:after="100"/>
        <w:ind w:left="360"/>
      </w:pPr>
      <w:r>
        <w:t xml:space="preserve">With no total, the whole KPI summary follows the same line: the tiles carry the Level 1 lines only, the narrative and the trajectory open on the first of them, leader and laggard are ranked inside that line rather than across statements, Mix analysis opens scoped to it, and the Management commentary writes one narrative per Level 1 line instead of one led by a total. With no total, the landing narrative and the performance trajectory are about a </w:t>
      </w:r>
      <w:r>
        <w:rPr>
          <w:b/>
          <w:bCs/>
        </w:rPr>
        <w:t xml:space="preserve">MICA line</w:t>
      </w:r>
      <w:r>
        <w:t xml:space="preserve"> instead: a picker on the trajectory panel lists Level 1 and Level 2 lines, and the page opens on the first declared statement's line (the P&amp;L result) — the trio, the chart, the RAG pill and the commentary all follow the chosen line.</w:t>
      </w:r>
    </w:p>
    <w:p>
      <w:pPr>
        <w:pStyle w:val="ListParagraph"/>
        <w:numPr>
          <w:ilvl w:val="0"/>
          <w:numId w:val="3"/>
        </w:numPr>
        <w:spacing w:after="80"/>
      </w:pPr>
      <w:r>
        <w:rPr>
          <w:b/>
          <w:bCs/>
        </w:rPr>
        <w:t xml:space="preserve">The total tile</w:t>
      </w:r>
      <w:r>
        <w:t xml:space="preserve"> — the first KPI tile adds up every row in scope. If a line in the file carries the same name as </w:t>
      </w:r>
      <w:r>
        <w:rPr>
          <w:rFonts w:ascii="Consolas" w:cs="Consolas" w:eastAsia="Consolas" w:hAnsi="Consolas"/>
          <w:shd w:fill="F2F1ED" w:val="clear"/>
        </w:rPr>
        <w:t xml:space="preserve">total_label</w:t>
      </w:r>
      <w:r>
        <w:t xml:space="preserve"> the tile takes </w:t>
      </w:r>
      <w:r>
        <w:rPr>
          <w:rFonts w:ascii="Consolas" w:cs="Consolas" w:eastAsia="Consolas" w:hAnsi="Consolas"/>
          <w:shd w:fill="F2F1ED" w:val="clear"/>
        </w:rPr>
        <w:t xml:space="preserve">total_all_label</w:t>
      </w:r>
      <w:r>
        <w:t xml:space="preserve"> instead ("Total (all lines)"), so the grand total and the line of that name are never two tiles with one name. Set </w:t>
      </w:r>
      <w:r>
        <w:rPr>
          <w:rFonts w:ascii="Consolas" w:cs="Consolas" w:eastAsia="Consolas" w:hAnsi="Consolas"/>
          <w:shd w:fill="F2F1ED" w:val="clear"/>
        </w:rPr>
        <w:t xml:space="preserve">total_tile</w:t>
      </w:r>
      <w:r>
        <w:t xml:space="preserve"> to </w:t>
      </w:r>
      <w:r>
        <w:rPr>
          <w:rFonts w:ascii="Consolas" w:cs="Consolas" w:eastAsia="Consolas" w:hAnsi="Consolas"/>
          <w:shd w:fill="F2F1ED" w:val="clear"/>
        </w:rPr>
        <w:t xml:space="preserve">N</w:t>
      </w:r>
      <w:r>
        <w:t xml:space="preserve"> to drop the tile altogether — worth doing on a file that mixes statements, where adding balance-sheet balances to a P&amp;L result gives a number with no meaning.</w:t>
      </w:r>
    </w:p>
    <w:p>
      <w:pPr>
        <w:pStyle w:val="ListParagraph"/>
        <w:numPr>
          <w:ilvl w:val="0"/>
          <w:numId w:val="3"/>
        </w:numPr>
        <w:spacing w:after="100"/>
      </w:pPr>
      <w:r>
        <w:rPr>
          <w:b/>
          <w:bCs/>
        </w:rPr>
        <w:t xml:space="preserve">Units</w:t>
      </w:r>
      <w:r>
        <w:t xml:space="preserve"> — a strip at the top of every page declaring the unit every figure is stated in, with a selector. The file's own unit comes from </w:t>
      </w:r>
      <w:r>
        <w:rPr>
          <w:rFonts w:ascii="Consolas" w:cs="Consolas" w:eastAsia="Consolas" w:hAnsi="Consolas"/>
          <w:shd w:fill="F2F1ED" w:val="clear"/>
        </w:rPr>
        <w:t xml:space="preserve">unit_label</w:t>
      </w:r>
      <w:r>
        <w:t xml:space="preserve"> (e.g. </w:t>
      </w:r>
      <w:r>
        <w:rPr>
          <w:rFonts w:ascii="Consolas" w:cs="Consolas" w:eastAsia="Consolas" w:hAnsi="Consolas"/>
          <w:shd w:fill="F2F1ED" w:val="clear"/>
        </w:rPr>
        <w:t xml:space="preserve">US$m</w:t>
      </w:r>
      <w:r>
        <w:t xml:space="preserve">); </w:t>
      </w:r>
      <w:r>
        <w:rPr>
          <w:i/>
          <w:iCs/>
        </w:rPr>
        <w:t xml:space="preserve">as reported</w:t>
      </w:r>
      <w:r>
        <w:t xml:space="preserve"> leaves the figures alone, and </w:t>
      </w:r>
      <w:r>
        <w:rPr>
          <w:rFonts w:ascii="Consolas" w:cs="Consolas" w:eastAsia="Consolas" w:hAnsi="Consolas"/>
          <w:shd w:fill="F2F1ED" w:val="clear"/>
        </w:rPr>
        <w:t xml:space="preserve">k</w:t>
      </w:r>
      <w:r>
        <w:t xml:space="preserve"> / </w:t>
      </w:r>
      <w:r>
        <w:rPr>
          <w:rFonts w:ascii="Consolas" w:cs="Consolas" w:eastAsia="Consolas" w:hAnsi="Consolas"/>
          <w:shd w:fill="F2F1ED" w:val="clear"/>
        </w:rPr>
        <w:t xml:space="preserve">mm</w:t>
      </w:r>
      <w:r>
        <w:t xml:space="preserve"> / </w:t>
      </w:r>
      <w:r>
        <w:rPr>
          <w:rFonts w:ascii="Consolas" w:cs="Consolas" w:eastAsia="Consolas" w:hAnsi="Consolas"/>
          <w:shd w:fill="F2F1ED" w:val="clear"/>
        </w:rPr>
        <w:t xml:space="preserve">bn</w:t>
      </w:r>
      <w:r>
        <w:t xml:space="preserve"> restate every figure against the chosen unit — a line of 11,489 US$m reads as 11.5 US$bn, or 11,489,000 US$k. Figures never carry their own </w:t>
      </w:r>
      <w:r>
        <w:rPr>
          <w:rFonts w:ascii="Consolas" w:cs="Consolas" w:eastAsia="Consolas" w:hAnsi="Consolas"/>
          <w:shd w:fill="F2F1ED" w:val="clear"/>
        </w:rPr>
        <w:t xml:space="preserve">m</w:t>
      </w:r>
      <w:r>
        <w:t xml:space="preserve">/</w:t>
      </w:r>
      <w:r>
        <w:rPr>
          <w:rFonts w:ascii="Consolas" w:cs="Consolas" w:eastAsia="Consolas" w:hAnsi="Consolas"/>
          <w:shd w:fill="F2F1ED" w:val="clear"/>
        </w:rPr>
        <w:t xml:space="preserve">bn</w:t>
      </w:r>
      <w:r>
        <w:t xml:space="preserve"> suffix on top of the file's unit, which would scale the same number twice.</w:t>
      </w:r>
    </w:p>
    <w:p>
      <w:pPr>
        <w:spacing w:after="100"/>
        <w:ind w:left="360"/>
      </w:pPr>
      <w:r>
        <w:t xml:space="preserve">Excel and PowerPoint exports follow the selection (percentages and the raw source-row export are never restated), and simulation amounts are typed in whatever unit is on screen. Configurable via </w:t>
      </w:r>
      <w:r>
        <w:rPr>
          <w:rFonts w:ascii="Consolas" w:cs="Consolas" w:eastAsia="Consolas" w:hAnsi="Consolas"/>
          <w:shd w:fill="F2F1ED" w:val="clear"/>
        </w:rPr>
        <w:t xml:space="preserve">display_units</w:t>
      </w:r>
      <w:r>
        <w:t xml:space="preserve"> (the unit selected on load), </w:t>
      </w:r>
      <w:r>
        <w:rPr>
          <w:rFonts w:ascii="Consolas" w:cs="Consolas" w:eastAsia="Consolas" w:hAnsi="Consolas"/>
          <w:shd w:fill="F2F1ED" w:val="clear"/>
        </w:rPr>
        <w:t xml:space="preserve">unit_options</w:t>
      </w:r>
      <w:r>
        <w:t xml:space="preserve"> (which are offered) and </w:t>
      </w:r>
      <w:r>
        <w:rPr>
          <w:rFonts w:ascii="Consolas" w:cs="Consolas" w:eastAsia="Consolas" w:hAnsi="Consolas"/>
          <w:shd w:fill="F2F1ED" w:val="clear"/>
        </w:rPr>
        <w:t xml:space="preserve">unit_decimals</w:t>
      </w:r>
      <w:r>
        <w:t xml:space="preserve"> (blank = 0 as reported, 1 when restated).</w:t>
      </w:r>
    </w:p>
    <w:p>
      <w:pPr>
        <w:pStyle w:val="ListParagraph"/>
        <w:numPr>
          <w:ilvl w:val="0"/>
          <w:numId w:val="3"/>
        </w:numPr>
        <w:spacing w:after="100"/>
      </w:pPr>
      <w:r>
        <w:rPr>
          <w:b/>
          <w:bCs/>
        </w:rPr>
        <w:t xml:space="preserve">Financial Summary</w:t>
      </w:r>
      <w:r>
        <w:t xml:space="preserve"> — the management-reporting layout: three column bands over the P&amp;L cascade taken from the TM1 extract's own hierarchy. </w:t>
      </w:r>
      <w:r>
        <w:rPr>
          <w:i/>
          <w:iCs/>
        </w:rPr>
        <w:t xml:space="preserve">Month</w:t>
      </w:r>
      <w:r>
        <w:t xml:space="preserve"> (the three months ending at the selected one, then Variance vs Fcst / vs Target / vs PM / vs PY), </w:t>
      </w:r>
      <w:r>
        <w:rPr>
          <w:i/>
          <w:iCs/>
        </w:rPr>
        <w:t xml:space="preserve">QTD</w:t>
      </w:r>
      <w:r>
        <w:t xml:space="preserve"> (the quarter to date, then vs Target / vs PQ / vs PY) and </w:t>
      </w:r>
      <w:r>
        <w:rPr>
          <w:i/>
          <w:iCs/>
        </w:rPr>
        <w:t xml:space="preserve">YTD</w:t>
      </w:r>
      <w:r>
        <w:t xml:space="preserve"> (year to date, then Variance in currency and in % vs Target and vs PY). Rows cascade child lines into a bold subtotal per top level and a grand total, in the tile-priority order. Everything moves with the YTD-through month — pick MAY and the months become Mar/Apr/May, the quarter Q226 to date, the year-to-date Jan–May. Comparisons a file cannot serve show as </w:t>
      </w:r>
      <w:r>
        <w:rPr>
          <w:rFonts w:ascii="Consolas" w:cs="Consolas" w:eastAsia="Consolas" w:hAnsi="Consolas"/>
          <w:shd w:fill="F2F1ED" w:val="clear"/>
        </w:rPr>
        <w:t xml:space="preserve">–</w:t>
      </w:r>
      <w:r>
        <w:t xml:space="preserve"> with a note saying which and why.</w:t>
      </w:r>
    </w:p>
    <w:p>
      <w:pPr>
        <w:spacing w:after="100"/>
        <w:ind w:left="360"/>
      </w:pPr>
      <w:r>
        <w:t xml:space="preserve">The QTD figure comes from the file's </w:t>
      </w:r>
      <w:r>
        <w:rPr>
          <w:b/>
          <w:bCs/>
        </w:rPr>
        <w:t xml:space="preserve">quarterly column</w:t>
      </w:r>
      <w:r>
        <w:t xml:space="preserve"> and the year-to-date from the </w:t>
      </w:r>
      <w:r>
        <w:rPr>
          <w:b/>
          <w:bCs/>
        </w:rPr>
        <w:t xml:space="preserve">YTD column</w:t>
      </w:r>
      <w:r>
        <w:t xml:space="preserve"> — months are only added when no such column exists (</w:t>
      </w:r>
      <w:r>
        <w:rPr>
          <w:rFonts w:ascii="Consolas" w:cs="Consolas" w:eastAsia="Consolas" w:hAnsi="Consolas"/>
          <w:shd w:fill="F2F1ED" w:val="clear"/>
        </w:rPr>
        <w:t xml:space="preserve">calc_ytd_actuals: months</w:t>
      </w:r>
      <w:r>
        <w:t xml:space="preserve"> forces sums). YTD headers are recognised in any common shape: </w:t>
      </w:r>
      <w:r>
        <w:rPr>
          <w:rFonts w:ascii="Consolas" w:cs="Consolas" w:eastAsia="Consolas" w:hAnsi="Consolas"/>
          <w:shd w:fill="F2F1ED" w:val="clear"/>
        </w:rPr>
        <w:t xml:space="preserve">Jun YTD-26</w:t>
      </w:r>
      <w:r>
        <w:t xml:space="preserve">, </w:t>
      </w:r>
      <w:r>
        <w:rPr>
          <w:rFonts w:ascii="Consolas" w:cs="Consolas" w:eastAsia="Consolas" w:hAnsi="Consolas"/>
          <w:shd w:fill="F2F1ED" w:val="clear"/>
        </w:rPr>
        <w:t xml:space="preserve">YTD Jun-26</w:t>
      </w:r>
      <w:r>
        <w:t xml:space="preserve">, </w:t>
      </w:r>
      <w:r>
        <w:rPr>
          <w:rFonts w:ascii="Consolas" w:cs="Consolas" w:eastAsia="Consolas" w:hAnsi="Consolas"/>
          <w:shd w:fill="F2F1ED" w:val="clear"/>
        </w:rPr>
        <w:t xml:space="preserve">YTD-Jun'26</w:t>
      </w:r>
      <w:r>
        <w:t xml:space="preserve">, a quarter-named </w:t>
      </w:r>
      <w:r>
        <w:rPr>
          <w:rFonts w:ascii="Consolas" w:cs="Consolas" w:eastAsia="Consolas" w:hAnsi="Consolas"/>
          <w:shd w:fill="F2F1ED" w:val="clear"/>
        </w:rPr>
        <w:t xml:space="preserve">Q2 YTD-26</w:t>
      </w:r>
      <w:r>
        <w:t xml:space="preserve"> (read as through the quarter-end month), or a bare </w:t>
      </w:r>
      <w:r>
        <w:rPr>
          <w:rFonts w:ascii="Consolas" w:cs="Consolas" w:eastAsia="Consolas" w:hAnsi="Consolas"/>
          <w:shd w:fill="F2F1ED" w:val="clear"/>
        </w:rPr>
        <w:t xml:space="preserve">YTD</w:t>
      </w:r>
      <w:r>
        <w:t xml:space="preserve"> (read as the file's running YTD, through the last actual month) — under an Actuals, Forecast or Target band alike. A file may carry </w:t>
      </w:r>
      <w:r>
        <w:rPr>
          <w:b/>
          <w:bCs/>
        </w:rPr>
        <w:t xml:space="preserve">one YTD column per month</w:t>
      </w:r>
      <w:r>
        <w:t xml:space="preserve"> (</w:t>
      </w:r>
      <w:r>
        <w:rPr>
          <w:rFonts w:ascii="Consolas" w:cs="Consolas" w:eastAsia="Consolas" w:hAnsi="Consolas"/>
          <w:shd w:fill="F2F1ED" w:val="clear"/>
        </w:rPr>
        <w:t xml:space="preserve">Apr YTD-26</w:t>
      </w:r>
      <w:r>
        <w:t xml:space="preserve">, </w:t>
      </w:r>
      <w:r>
        <w:rPr>
          <w:rFonts w:ascii="Consolas" w:cs="Consolas" w:eastAsia="Consolas" w:hAnsi="Consolas"/>
          <w:shd w:fill="F2F1ED" w:val="clear"/>
        </w:rPr>
        <w:t xml:space="preserve">May YTD-26</w:t>
      </w:r>
      <w:r>
        <w:t xml:space="preserve">, </w:t>
      </w:r>
      <w:r>
        <w:rPr>
          <w:rFonts w:ascii="Consolas" w:cs="Consolas" w:eastAsia="Consolas" w:hAnsi="Consolas"/>
          <w:shd w:fill="F2F1ED" w:val="clear"/>
        </w:rPr>
        <w:t xml:space="preserve">Jun YTD-26</w:t>
      </w:r>
      <w:r>
        <w:t xml:space="preserve"> …, actuals and forecast alike): all are kept and the one matching the selected YTD-through month serves that month — moving the month selector moves between columns, never back to summing months.</w:t>
      </w:r>
    </w:p>
    <w:p>
      <w:pPr>
        <w:spacing w:after="100"/>
        <w:ind w:left="360"/>
      </w:pPr>
      <w:r>
        <w:t xml:space="preserve">A file whose actuals exist only as YTD columns (all month columns marked Forecast) takes its month list and default month from the YTD columns themselves. The same rule covers the prior year: a PY YTD column (</w:t>
      </w:r>
      <w:r>
        <w:rPr>
          <w:rFonts w:ascii="Consolas" w:cs="Consolas" w:eastAsia="Consolas" w:hAnsi="Consolas"/>
          <w:shd w:fill="F2F1ED" w:val="clear"/>
        </w:rPr>
        <w:t xml:space="preserve">Jun YTD-25</w:t>
      </w:r>
      <w:r>
        <w:t xml:space="preserve">) matching the selected month is authoritative for every vs-PY figure, with PY months summed only when the file carries no such column. Target comparisons are YTD-only: a </w:t>
      </w:r>
      <w:r>
        <w:rPr>
          <w:b/>
          <w:bCs/>
        </w:rPr>
        <w:t xml:space="preserve">YTD target column</w:t>
      </w:r>
      <w:r>
        <w:t xml:space="preserve"> (</w:t>
      </w:r>
      <w:r>
        <w:rPr>
          <w:rFonts w:ascii="Consolas" w:cs="Consolas" w:eastAsia="Consolas" w:hAnsi="Consolas"/>
          <w:shd w:fill="F2F1ED" w:val="clear"/>
        </w:rPr>
        <w:t xml:space="preserve">Jun YTD-26</w:t>
      </w:r>
      <w:r>
        <w:t xml:space="preserve"> under a Target band) matching the selected month drives the </w:t>
      </w:r>
      <w:r>
        <w:rPr>
          <w:rFonts w:ascii="Consolas" w:cs="Consolas" w:eastAsia="Consolas" w:hAnsi="Consolas"/>
          <w:shd w:fill="F2F1ED" w:val="clear"/>
        </w:rPr>
        <w:t xml:space="preserve">vs Tgt</w:t>
      </w:r>
      <w:r>
        <w:t xml:space="preserve"> row on KPI cards, the scorecard and the Target comparison basis — there is no </w:t>
      </w:r>
      <w:r>
        <w:rPr>
          <w:rFonts w:ascii="Consolas" w:cs="Consolas" w:eastAsia="Consolas" w:hAnsi="Consolas"/>
          <w:shd w:fill="F2F1ED" w:val="clear"/>
        </w:rPr>
        <w:t xml:space="preserve">FY vs Tgt</w:t>
      </w:r>
      <w:r>
        <w:t xml:space="preserve"> row and no phasing, so a file carrying only an FY target shows no target comparison (balances still compare the closing balance to the target balance, which is already same-grain).</w:t>
      </w:r>
    </w:p>
    <w:p>
      <w:pPr>
        <w:spacing w:after="100"/>
        <w:ind w:left="360"/>
      </w:pPr>
      <w:r>
        <w:t xml:space="preserve">Comparison charts compute their bases on actuals only, so the YTD column stays authoritative there even with forecast months toggled into the page. Lines matched by </w:t>
      </w:r>
      <w:r>
        <w:rPr>
          <w:rFonts w:ascii="Consolas" w:cs="Consolas" w:eastAsia="Consolas" w:hAnsi="Consolas"/>
          <w:shd w:fill="F2F1ED" w:val="clear"/>
        </w:rPr>
        <w:t xml:space="preserve">balance_sheet_patterns</w:t>
      </w:r>
      <w:r>
        <w:t xml:space="preserve"> are treated as stocks throughout: month, QTD, YTD and FY are closing balances, and target/forecast baselines are the full-year columns as-is, never phased fractions or summed months, and they read in </w:t>
      </w:r>
      <w:r>
        <w:rPr>
          <w:b/>
          <w:bCs/>
        </w:rPr>
        <w:t xml:space="preserve">billions</w:t>
      </w:r>
      <w:r>
        <w:t xml:space="preserve"> while the P&amp;L stays in the file's unit — the table splits into a </w:t>
      </w:r>
      <w:r>
        <w:rPr>
          <w:rFonts w:ascii="Consolas" w:cs="Consolas" w:eastAsia="Consolas" w:hAnsi="Consolas"/>
          <w:shd w:fill="F2F1ED" w:val="clear"/>
        </w:rPr>
        <w:t xml:space="preserve">P&amp;L (US$m)</w:t>
      </w:r>
      <w:r>
        <w:t xml:space="preserve"> and a </w:t>
      </w:r>
      <w:r>
        <w:rPr>
          <w:rFonts w:ascii="Consolas" w:cs="Consolas" w:eastAsia="Consolas" w:hAnsi="Consolas"/>
          <w:shd w:fill="F2F1ED" w:val="clear"/>
        </w:rPr>
        <w:t xml:space="preserve">Balance Sheet (US$bn)</w:t>
      </w:r>
      <w:r>
        <w:t xml:space="preserve"> band automatically, and the commentary, Excel, PPT and Word exports follow (</w:t>
      </w:r>
      <w:r>
        <w:rPr>
          <w:rFonts w:ascii="Consolas" w:cs="Consolas" w:eastAsia="Consolas" w:hAnsi="Consolas"/>
          <w:shd w:fill="F2F1ED" w:val="clear"/>
        </w:rPr>
        <w:t xml:space="preserve">bs_unit</w:t>
      </w:r>
      <w:r>
        <w:t xml:space="preserve"> names the balance unit, blank switches it off; </w:t>
      </w:r>
      <w:r>
        <w:rPr>
          <w:rFonts w:ascii="Consolas" w:cs="Consolas" w:eastAsia="Consolas" w:hAnsi="Consolas"/>
          <w:shd w:fill="F2F1ED" w:val="clear"/>
        </w:rPr>
        <w:t xml:space="preserve">fsum_bs_label</w:t>
      </w:r>
      <w:r>
        <w:t xml:space="preserve"> names the band).</w:t>
      </w:r>
    </w:p>
    <w:p>
      <w:pPr>
        <w:spacing w:after="100"/>
        <w:ind w:left="360"/>
      </w:pPr>
      <w:r>
        <w:t xml:space="preserve">Every figure in a balance-sheet block is written in that unit, the movers named at the end of its sentence included — </w:t>
      </w:r>
      <w:r>
        <w:rPr>
          <w:i/>
          <w:iCs/>
        </w:rPr>
        <w:t xml:space="preserve">"led by Total RWAs (4.7A US$bn)"</w:t>
      </w:r>
      <w:r>
        <w:t xml:space="preserve">, never the raw 4,660 — and a ratio line's movers keep the ratio's own decimals rather than rounding to a whole number. A </w:t>
      </w:r>
      <w:r>
        <w:rPr>
          <w:b/>
          <w:bCs/>
        </w:rPr>
        <w:t xml:space="preserve">Full Year band</w:t>
      </w:r>
      <w:r>
        <w:t xml:space="preserve"> closes the table — the live FY forecast (Jan–Dec actuals + forecast months) with variance in currency and percent vs the prior forecast column, the FY target and prior-year actuals — so once the selected month crosses the last actual and the month columns read Forecast, the comparison that matters is on the page, and the commentary reports it with numbers and percentages.</w:t>
      </w:r>
    </w:p>
    <w:p>
      <w:pPr>
        <w:spacing w:after="100"/>
        <w:ind w:left="360"/>
      </w:pPr>
      <w:r>
        <w:t xml:space="preserve">The </w:t>
      </w:r>
      <w:r>
        <w:rPr>
          <w:b/>
          <w:bCs/>
        </w:rPr>
        <w:t xml:space="preserve">PPT export</w:t>
      </w:r>
      <w:r>
        <w:t xml:space="preserve"> is a single aligned slide: banded headers, a fixed column grid, rows sized to fit the page, favourability colours in the variance cells, and the commentary — coloured F/A figures included — beneath the table. A </w:t>
      </w:r>
      <w:r>
        <w:rPr>
          <w:b/>
          <w:bCs/>
        </w:rPr>
        <w:t xml:space="preserve">cascade builder</w:t>
      </w:r>
      <w:r>
        <w:t xml:space="preserve"> sits above the table: the levels the summary rolls through are chips — drag a dimension in from the palette (Product under MICA Level 1, or between Level 1 and Level 2 — MICA Levels 4 and 5 and any config-declared dimension are offered when the file carries them), drag chips to reorder, ✕ to remove — up to six levels (</w:t>
      </w:r>
      <w:r>
        <w:rPr>
          <w:rFonts w:ascii="Consolas" w:cs="Consolas" w:eastAsia="Consolas" w:hAnsi="Consolas"/>
          <w:shd w:fill="F2F1ED" w:val="clear"/>
        </w:rPr>
        <w:t xml:space="preserve">fsum_max_levels</w:t>
      </w:r>
      <w:r>
        <w:t xml:space="preserve"> lowers the cap if a tighter page is wanted), remembered in the browser, with the roll-up selector, commentary and all three exports following the cascade.</w:t>
      </w:r>
    </w:p>
    <w:p>
      <w:pPr>
        <w:spacing w:after="100"/>
        <w:ind w:left="360"/>
      </w:pPr>
      <w:r>
        <w:t xml:space="preserve">A level that doesn't fan out (a lone child repeating its parent) is collapsed, but the walk keeps descending so a deeper level that does split is never lost. The </w:t>
      </w:r>
      <w:r>
        <w:rPr>
          <w:b/>
          <w:bCs/>
        </w:rPr>
        <w:t xml:space="preserve">rows themselves drag too</w:t>
      </w:r>
      <w:r>
        <w:t xml:space="preserve">: pull any line onto a sibling to reorder it — drop on the top half to land above it, bottom half below — and the line's whole block moves with it (its o/w children re-render beneath it, and a group total carries everything above it). A row only accepts siblings at the same level under the same parent, so statements stay apart and a child can't leave its parent. The order persists in the browser, every export follows it, and a </w:t>
      </w:r>
      <w:r>
        <w:rPr>
          <w:i/>
          <w:iCs/>
        </w:rPr>
        <w:t xml:space="preserve">Reset row order</w:t>
      </w:r>
      <w:r>
        <w:t xml:space="preserve"> link under the table restores the default. Every parent row carries a </w:t>
      </w:r>
      <w:r>
        <w:rPr>
          <w:b/>
          <w:bCs/>
        </w:rPr>
        <w:t xml:space="preserve">− / + toggle</w:t>
      </w:r>
      <w:r>
        <w:t xml:space="preserve">: collapse a line and its children fold away while the parent's own figures stay put, at any depth — the fold state persists in the browser, exports follow the folded view, and an </w:t>
      </w:r>
      <w:r>
        <w:rPr>
          <w:i/>
          <w:iCs/>
        </w:rPr>
        <w:t xml:space="preserve">Expand all</w:t>
      </w:r>
      <w:r>
        <w:t xml:space="preserve"> link under the table reopens everything.</w:t>
      </w:r>
    </w:p>
    <w:p>
      <w:pPr>
        <w:spacing w:after="100"/>
        <w:ind w:left="360"/>
      </w:pPr>
      <w:r>
        <w:rPr>
          <w:b/>
          <w:bCs/>
        </w:rPr>
        <w:t xml:space="preserve">Row labels rename in place</w:t>
      </w:r>
      <w:r>
        <w:t xml:space="preserve">: double-click a line's name, type the label you want (blank restores the original) — the rename keys off the underlying line, so it follows the row through reordering and shows in the table, the commentary and all three exports; a </w:t>
      </w:r>
      <w:r>
        <w:rPr>
          <w:i/>
          <w:iCs/>
        </w:rPr>
        <w:t xml:space="preserve">Reset labels</w:t>
      </w:r>
      <w:r>
        <w:t xml:space="preserve"> link under the table clears them. The whole arrangement can be kept as a </w:t>
      </w:r>
      <w:r>
        <w:rPr>
          <w:b/>
          <w:bCs/>
        </w:rPr>
        <w:t xml:space="preserve">named view</w:t>
      </w:r>
      <w:r>
        <w:t xml:space="preserve">: </w:t>
      </w:r>
      <w:r>
        <w:rPr>
          <w:i/>
          <w:iCs/>
        </w:rPr>
        <w:t xml:space="preserve">Save view…</w:t>
      </w:r>
      <w:r>
        <w:t xml:space="preserve"> beside the roll-up selector snapshots the cascade levels, roll-up depth, dragged row order, fold state and renamed labels under a name you give it, the picker switches between saved views, ✕ deletes the selected one, and the last applied view is remembered in the browser and restored on the next visit.</w:t>
      </w:r>
    </w:p>
    <w:p>
      <w:pPr>
        <w:spacing w:after="100"/>
        <w:ind w:left="360"/>
      </w:pPr>
      <w:r>
        <w:t xml:space="preserve">The </w:t>
      </w:r>
      <w:r>
        <w:rPr>
          <w:b/>
          <w:bCs/>
        </w:rPr>
        <w:t xml:space="preserve">⟲ Default</w:t>
      </w:r>
      <w:r>
        <w:t xml:space="preserve"> button clears the working view outright — labels, order, folds and cascade — and returns the page to the Account Hierarchy L1 cascade (</w:t>
      </w:r>
      <w:r>
        <w:rPr>
          <w:rFonts w:ascii="Consolas" w:cs="Consolas" w:eastAsia="Consolas" w:hAnsi="Consolas"/>
          <w:shd w:fill="F2F1ED" w:val="clear"/>
        </w:rPr>
        <w:t xml:space="preserve">fsum_default_levels</w:t>
      </w:r>
      <w:r>
        <w:t xml:space="preserve">, default </w:t>
      </w:r>
      <w:r>
        <w:rPr>
          <w:rFonts w:ascii="Consolas" w:cs="Consolas" w:eastAsia="Consolas" w:hAnsi="Consolas"/>
          <w:shd w:fill="F2F1ED" w:val="clear"/>
        </w:rPr>
        <w:t xml:space="preserve">accH1,accH2,accH3</w:t>
      </w:r>
      <w:r>
        <w:t xml:space="preserve">); saved views survive it and can be reapplied. When the cascade runs on hierarchy levels, lines the mapping could not place any deeper than the block's parent no longer masquerade as a sibling named after that parent — they show as an </w:t>
      </w:r>
      <w:r>
        <w:rPr>
          <w:b/>
          <w:bCs/>
        </w:rPr>
        <w:t xml:space="preserve">Other</w:t>
      </w:r>
      <w:r>
        <w:t xml:space="preserve"> line (</w:t>
      </w:r>
      <w:r>
        <w:rPr>
          <w:rFonts w:ascii="Consolas" w:cs="Consolas" w:eastAsia="Consolas" w:hAnsi="Consolas"/>
          <w:shd w:fill="F2F1ED" w:val="clear"/>
        </w:rPr>
        <w:t xml:space="preserve">fsum_residual_label</w:t>
      </w:r>
      <w:r>
        <w:t xml:space="preserve">) at the end of the block — and the block's total row takes the name of the one hierarchy parent every line rolls up to, so a P&amp;L block cascaded at Account Level 2 reads Revenue / ECL / Total Operating Expense / Other with </w:t>
      </w:r>
      <w:r>
        <w:rPr>
          <w:b/>
          <w:bCs/>
        </w:rPr>
        <w:t xml:space="preserve">PBT</w:t>
      </w:r>
      <w:r>
        <w:t xml:space="preserve"> as its total, in the app and in all three exports (</w:t>
      </w:r>
      <w:r>
        <w:rPr>
          <w:rFonts w:ascii="Consolas" w:cs="Consolas" w:eastAsia="Consolas" w:hAnsi="Consolas"/>
          <w:shd w:fill="F2F1ED" w:val="clear"/>
        </w:rPr>
        <w:t xml:space="preserve">fsum_total_label</w:t>
      </w:r>
      <w:r>
        <w:t xml:space="preserve"> still overrides).</w:t>
      </w:r>
    </w:p>
    <w:p>
      <w:pPr>
        <w:spacing w:after="100"/>
        <w:ind w:left="360"/>
      </w:pPr>
      <w:r>
        <w:t xml:space="preserve">Parent rows lead their block by default — PBT on top, then Revenue with its lines beneath it (</w:t>
      </w:r>
      <w:r>
        <w:rPr>
          <w:rFonts w:ascii="Consolas" w:cs="Consolas" w:eastAsia="Consolas" w:hAnsi="Consolas"/>
          <w:shd w:fill="F2F1ED" w:val="clear"/>
        </w:rPr>
        <w:t xml:space="preserve">fsum_parent_row: bottom</w:t>
      </w:r>
      <w:r>
        <w:t xml:space="preserve"> restores the classic bottom-total layout where children build up to the parent). A </w:t>
      </w:r>
      <w:r>
        <w:rPr>
          <w:b/>
          <w:bCs/>
        </w:rPr>
        <w:t xml:space="preserve">roll-up selector</w:t>
      </w:r>
      <w:r>
        <w:t xml:space="preserve"> beside the export buttons sets how deep the cascade reads — Level 1 rollups only, to Level 2, or the full o/w Level 3 detail — and the Excel, PPT and Word exports follow it (</w:t>
      </w:r>
      <w:r>
        <w:rPr>
          <w:rFonts w:ascii="Consolas" w:cs="Consolas" w:eastAsia="Consolas" w:hAnsi="Consolas"/>
          <w:shd w:fill="F2F1ED" w:val="clear"/>
        </w:rPr>
        <w:t xml:space="preserve">fsum_detail</w:t>
      </w:r>
      <w:r>
        <w:t xml:space="preserve"> sets the level on load). Variance colours follow favourability, not raw sign: a lower cost reads green and lower revenue red, on either sign convention.</w:t>
      </w:r>
    </w:p>
    <w:p>
      <w:pPr>
        <w:spacing w:after="100"/>
        <w:ind w:left="360"/>
      </w:pPr>
      <w:r>
        <w:t xml:space="preserve">Every variance in the page's commentary is written the way the pack writes it — </w:t>
      </w:r>
      <w:r>
        <w:rPr>
          <w:rFonts w:ascii="Consolas" w:cs="Consolas" w:eastAsia="Consolas" w:hAnsi="Consolas"/>
          <w:shd w:fill="F2F1ED" w:val="clear"/>
        </w:rPr>
        <w:t xml:space="preserve">18F</w:t>
      </w:r>
      <w:r>
        <w:t xml:space="preserve">, </w:t>
      </w:r>
      <w:r>
        <w:rPr>
          <w:rFonts w:ascii="Consolas" w:cs="Consolas" w:eastAsia="Consolas" w:hAnsi="Consolas"/>
          <w:shd w:fill="F2F1ED" w:val="clear"/>
        </w:rPr>
        <w:t xml:space="preserve">346A</w:t>
      </w:r>
      <w:r>
        <w:t xml:space="preserve">, </w:t>
      </w:r>
      <w:r>
        <w:rPr>
          <w:rFonts w:ascii="Consolas" w:cs="Consolas" w:eastAsia="Consolas" w:hAnsi="Consolas"/>
          <w:shd w:fill="F2F1ED" w:val="clear"/>
        </w:rPr>
        <w:t xml:space="preserve">14%A</w:t>
      </w:r>
      <w:r>
        <w:t xml:space="preserve"> — favourable or adverse taken from the line's own direction, so a smaller cost reads F and a deeper loss reads A. Excel and PowerPoint exports carry the same headers and figures. The page is deliberately independent of the </w:t>
      </w:r>
      <w:r>
        <w:rPr>
          <w:b/>
          <w:bCs/>
        </w:rPr>
        <w:t xml:space="preserve">Variance period</w:t>
      </w:r>
      <w:r>
        <w:t xml:space="preserve"> selector — it shows every basis side by side already, so only the YTD-through month moves it. Configurable via </w:t>
      </w:r>
      <w:r>
        <w:rPr>
          <w:rFonts w:ascii="Consolas" w:cs="Consolas" w:eastAsia="Consolas" w:hAnsi="Consolas"/>
          <w:shd w:fill="F2F1ED" w:val="clear"/>
        </w:rPr>
        <w:t xml:space="preserve">fsum_title</w:t>
      </w:r>
      <w:r>
        <w:t xml:space="preserve">, </w:t>
      </w:r>
      <w:r>
        <w:rPr>
          <w:rFonts w:ascii="Consolas" w:cs="Consolas" w:eastAsia="Consolas" w:hAnsi="Consolas"/>
          <w:shd w:fill="F2F1ED" w:val="clear"/>
        </w:rPr>
        <w:t xml:space="preserve">fsum_section_label</w:t>
      </w:r>
      <w:r>
        <w:t xml:space="preserve">, </w:t>
      </w:r>
      <w:r>
        <w:rPr>
          <w:rFonts w:ascii="Consolas" w:cs="Consolas" w:eastAsia="Consolas" w:hAnsi="Consolas"/>
          <w:shd w:fill="F2F1ED" w:val="clear"/>
        </w:rPr>
        <w:t xml:space="preserve">fsum_levels</w:t>
      </w:r>
      <w:r>
        <w:t xml:space="preserve">, </w:t>
      </w:r>
      <w:r>
        <w:rPr>
          <w:rFonts w:ascii="Consolas" w:cs="Consolas" w:eastAsia="Consolas" w:hAnsi="Consolas"/>
          <w:shd w:fill="F2F1ED" w:val="clear"/>
        </w:rPr>
        <w:t xml:space="preserve">fsum_ow</w:t>
      </w:r>
      <w:r>
        <w:t xml:space="preserve"> (the "o/w" prefix on the deepest level) and </w:t>
      </w:r>
      <w:r>
        <w:rPr>
          <w:rFonts w:ascii="Consolas" w:cs="Consolas" w:eastAsia="Consolas" w:hAnsi="Consolas"/>
          <w:shd w:fill="F2F1ED" w:val="clear"/>
        </w:rPr>
        <w:t xml:space="preserve">fsum_total_label</w:t>
      </w:r>
      <w:r>
        <w:t xml:space="preserve">.</w:t>
      </w:r>
    </w:p>
    <w:p>
      <w:pPr>
        <w:pStyle w:val="ListParagraph"/>
        <w:numPr>
          <w:ilvl w:val="0"/>
          <w:numId w:val="3"/>
        </w:numPr>
        <w:spacing w:after="100"/>
      </w:pPr>
      <w:r>
        <w:rPr>
          <w:b/>
          <w:bCs/>
        </w:rPr>
        <w:t xml:space="preserve">Notes pinned on a chart</w:t>
      </w:r>
      <w:r>
        <w:t xml:space="preserve"> — double-click any bar, point, slice or bubble and write what it means; the note is drawn on the chart as a callout with a leader line back to the mark it belongs to. </w:t>
      </w:r>
      <w:r>
        <w:rPr>
          <w:b/>
          <w:bCs/>
        </w:rPr>
        <w:t xml:space="preserve">Double-click (or click) a note and it opens with what is already written on it</w:t>
      </w:r>
      <w:r>
        <w:t xml:space="preserve"> — a proper box, not a browser prompt: edit it, rewrite it, pick its shape from the same seven glyphs, or press </w:t>
      </w:r>
      <w:r>
        <w:rPr>
          <w:b/>
          <w:bCs/>
        </w:rPr>
        <w:t xml:space="preserve">Remove</w:t>
      </w:r>
      <w:r>
        <w:t xml:space="preserve">. Esc closes without saving, Ctrl+Enter saves. A note read from the file's written commentary opens the same way, with its own words in the box and a line saying where they came from; edit it and it becomes yours, or Remove it and it stays off that mark rather than returning on the next draw.</w:t>
      </w:r>
    </w:p>
    <w:p>
      <w:pPr>
        <w:spacing w:after="100"/>
        <w:ind w:left="360"/>
      </w:pPr>
      <w:r>
        <w:t xml:space="preserve">Each note belongs to that category on that chart, so it survives a re-render, a change of chart type and a reload — it is kept in the browser beside the tile order and the parked tiles. Notes are drawn into the SVG itself, so the PNG capture and the PowerPoint slide carry them exactly as the page shows them.</w:t>
      </w:r>
    </w:p>
    <w:p>
      <w:pPr>
        <w:spacing w:after="100"/>
        <w:ind w:left="360"/>
      </w:pPr>
      <w:r>
        <w:t xml:space="preserve">A note sits </w:t>
      </w:r>
      <w:r>
        <w:rPr>
          <w:b/>
          <w:bCs/>
        </w:rPr>
        <w:t xml:space="preserve">directly over the bar it belongs to</w:t>
      </w:r>
      <w:r>
        <w:t xml:space="preserve"> — the chart grows the headroom it needs rather than the note drifting sideways — and where two would collide the later one moves straight up until it clears, so every note still points down at its own mark. On a horizontal bar the notes form a clean column beyond the value labels, in the same order as the bars, so no leader crosses another. A chart that is not on screen yet (a collapsed panel, a view not yet opened) waits to be measured rather than pinning its notes at the origin.</w:t>
      </w:r>
    </w:p>
    <w:p>
      <w:pPr>
        <w:pStyle w:val="ListParagraph"/>
        <w:numPr>
          <w:ilvl w:val="0"/>
          <w:numId w:val="3"/>
        </w:numPr>
        <w:spacing w:after="80"/>
      </w:pPr>
      <w:r>
        <w:rPr>
          <w:b/>
          <w:bCs/>
        </w:rPr>
        <w:t xml:space="preserve">The note does not repeat the bar's name</w:t>
      </w:r>
      <w:r>
        <w:t xml:space="preserve"> — the bar already carries its name under the axis, so the note carries the comment alone; saying it twice an inch apart only crowded the card. Hovering the note still names its mark, and </w:t>
      </w:r>
      <w:r>
        <w:rPr>
          <w:rFonts w:ascii="Consolas" w:cs="Consolas" w:eastAsia="Consolas" w:hAnsi="Consolas"/>
          <w:shd w:fill="F2F1ED" w:val="clear"/>
        </w:rPr>
        <w:t xml:space="preserve">chart_note_head:'Y'</w:t>
      </w:r>
      <w:r>
        <w:t xml:space="preserve"> puts the name back as a red-caps heading above the comment for a callout that is lifted onto a slide on its own. The speech bubble carries a swept tail rather than a spike, and a note clears the </w:t>
      </w:r>
      <w:r>
        <w:rPr>
          <w:i/>
          <w:iCs/>
        </w:rPr>
        <w:t xml:space="preserve">other bars</w:t>
      </w:r>
      <w:r>
        <w:t xml:space="preserve"> as well as the other notes: where a tall bar leaves no room, the chart grows upward and the note floats above the plot instead of covering the data.</w:t>
      </w:r>
    </w:p>
    <w:p>
      <w:pPr>
        <w:pStyle w:val="ListParagraph"/>
        <w:numPr>
          <w:ilvl w:val="0"/>
          <w:numId w:val="3"/>
        </w:numPr>
        <w:spacing w:after="80"/>
      </w:pPr>
      <w:r>
        <w:rPr>
          <w:b/>
          <w:bCs/>
        </w:rPr>
        <w:t xml:space="preserve">A note reads as a card, not an outline</w:t>
      </w:r>
      <w:r>
        <w:t xml:space="preserve"> — a quiet grey border, a soft shadow lifting it off the plot, a red accent bar down its leading edge (the same accent the commentary blocks carry), 11px text with room to breathe, and a hairline in red at 55% opacity running to a small red dot on the mark itself. The red is the accent and the anchor rather than the whole outline, which used to fight the bars for attention.</w:t>
      </w:r>
    </w:p>
    <w:p>
      <w:pPr>
        <w:pStyle w:val="ListParagraph"/>
        <w:numPr>
          <w:ilvl w:val="0"/>
          <w:numId w:val="3"/>
        </w:numPr>
        <w:spacing w:after="80"/>
      </w:pPr>
      <w:r>
        <w:rPr>
          <w:b/>
          <w:bCs/>
        </w:rPr>
        <w:t xml:space="preserve">Seven shapes for a note</w:t>
      </w:r>
      <w:r>
        <w:t xml:space="preserve">, offered both in the note editor and on the palette — a </w:t>
      </w:r>
      <w:r>
        <w:rPr>
          <w:b/>
          <w:bCs/>
        </w:rPr>
        <w:t xml:space="preserve">speech bubble</w:t>
      </w:r>
      <w:r>
        <w:t xml:space="preserve"> that points at its mark with a swept tail, a </w:t>
      </w:r>
      <w:r>
        <w:rPr>
          <w:b/>
          <w:bCs/>
        </w:rPr>
        <w:t xml:space="preserve">callout</w:t>
      </w:r>
      <w:r>
        <w:t xml:space="preserve"> — a square-cut card with a straight spike beneath it, a </w:t>
      </w:r>
      <w:r>
        <w:rPr>
          <w:b/>
          <w:bCs/>
        </w:rPr>
        <w:t xml:space="preserve">thought cloud</w:t>
      </w:r>
      <w:r>
        <w:t xml:space="preserve"> that trails shrinking puffs toward its mark, an </w:t>
      </w:r>
      <w:r>
        <w:rPr>
          <w:b/>
          <w:bCs/>
        </w:rPr>
        <w:t xml:space="preserve">oval</w:t>
      </w:r>
      <w:r>
        <w:t xml:space="preserve">, a </w:t>
      </w:r>
      <w:r>
        <w:rPr>
          <w:b/>
          <w:bCs/>
        </w:rPr>
        <w:t xml:space="preserve">square box</w:t>
      </w:r>
      <w:r>
        <w:t xml:space="preserve">, a </w:t>
      </w:r>
      <w:r>
        <w:rPr>
          <w:b/>
          <w:bCs/>
        </w:rPr>
        <w:t xml:space="preserve">tag</w:t>
      </w:r>
      <w:r>
        <w:t xml:space="preserve"> with a pointed notch, and </w:t>
      </w:r>
      <w:r>
        <w:rPr>
          <w:b/>
          <w:bCs/>
        </w:rPr>
        <w:t xml:space="preserve">plain text</w:t>
      </w:r>
      <w:r>
        <w:t xml:space="preserve"> with no box at all for a light touch. The shape is stored with the note, so it survives a re-render and a reload and travels into the PNG and the slide. Set </w:t>
      </w:r>
      <w:r>
        <w:rPr>
          <w:rFonts w:ascii="Consolas" w:cs="Consolas" w:eastAsia="Consolas" w:hAnsi="Consolas"/>
          <w:shd w:fill="F2F1ED" w:val="clear"/>
        </w:rPr>
        <w:t xml:space="preserve">chart_note_shape</w:t>
      </w:r>
      <w:r>
        <w:t xml:space="preserve"> (</w:t>
      </w:r>
      <w:r>
        <w:rPr>
          <w:rFonts w:ascii="Consolas" w:cs="Consolas" w:eastAsia="Consolas" w:hAnsi="Consolas"/>
          <w:shd w:fill="F2F1ED" w:val="clear"/>
        </w:rPr>
        <w:t xml:space="preserve">bubble</w:t>
      </w:r>
      <w:r>
        <w:t xml:space="preserve"> / </w:t>
      </w:r>
      <w:r>
        <w:rPr>
          <w:rFonts w:ascii="Consolas" w:cs="Consolas" w:eastAsia="Consolas" w:hAnsi="Consolas"/>
          <w:shd w:fill="F2F1ED" w:val="clear"/>
        </w:rPr>
        <w:t xml:space="preserve">callout</w:t>
      </w:r>
      <w:r>
        <w:t xml:space="preserve"> / </w:t>
      </w:r>
      <w:r>
        <w:rPr>
          <w:rFonts w:ascii="Consolas" w:cs="Consolas" w:eastAsia="Consolas" w:hAnsi="Consolas"/>
          <w:shd w:fill="F2F1ED" w:val="clear"/>
        </w:rPr>
        <w:t xml:space="preserve">cloud</w:t>
      </w:r>
      <w:r>
        <w:t xml:space="preserve"> / </w:t>
      </w:r>
      <w:r>
        <w:rPr>
          <w:rFonts w:ascii="Consolas" w:cs="Consolas" w:eastAsia="Consolas" w:hAnsi="Consolas"/>
          <w:shd w:fill="F2F1ED" w:val="clear"/>
        </w:rPr>
        <w:t xml:space="preserve">oval</w:t>
      </w:r>
      <w:r>
        <w:t xml:space="preserve"> / </w:t>
      </w:r>
      <w:r>
        <w:rPr>
          <w:rFonts w:ascii="Consolas" w:cs="Consolas" w:eastAsia="Consolas" w:hAnsi="Consolas"/>
          <w:shd w:fill="F2F1ED" w:val="clear"/>
        </w:rPr>
        <w:t xml:space="preserve">box</w:t>
      </w:r>
      <w:r>
        <w:t xml:space="preserve"> / </w:t>
      </w:r>
      <w:r>
        <w:rPr>
          <w:rFonts w:ascii="Consolas" w:cs="Consolas" w:eastAsia="Consolas" w:hAnsi="Consolas"/>
          <w:shd w:fill="F2F1ED" w:val="clear"/>
        </w:rPr>
        <w:t xml:space="preserve">tag</w:t>
      </w:r>
      <w:r>
        <w:t xml:space="preserve"> / </w:t>
      </w:r>
      <w:r>
        <w:rPr>
          <w:rFonts w:ascii="Consolas" w:cs="Consolas" w:eastAsia="Consolas" w:hAnsi="Consolas"/>
          <w:shd w:fill="F2F1ED" w:val="clear"/>
        </w:rPr>
        <w:t xml:space="preserve">plain</w:t>
      </w:r>
      <w:r>
        <w:t xml:space="preserve">) for the shape a new note starts as.</w:t>
      </w:r>
    </w:p>
    <w:p>
      <w:pPr>
        <w:pStyle w:val="ListParagraph"/>
        <w:numPr>
          <w:ilvl w:val="0"/>
          <w:numId w:val="3"/>
        </w:numPr>
        <w:spacing w:after="100"/>
      </w:pPr>
      <w:r>
        <w:rPr>
          <w:b/>
          <w:bCs/>
        </w:rPr>
        <w:t xml:space="preserve">Drag a shape onto a bar</w:t>
      </w:r>
      <w:r>
        <w:t xml:space="preserve"> — a small palette of the seven shapes sits under every chart, labelled </w:t>
      </w:r>
      <w:r>
        <w:rPr>
          <w:b/>
          <w:bCs/>
        </w:rPr>
        <w:t xml:space="preserve">Note shapes</w:t>
      </w:r>
      <w:r>
        <w:t xml:space="preserve">: the drag-and-drop builder's preview, the Summary mix panel, and </w:t>
      </w:r>
      <w:r>
        <w:rPr>
          <w:b/>
          <w:bCs/>
        </w:rPr>
        <w:t xml:space="preserve">every widget you can add to the Dynamic Dashboard</w:t>
      </w:r>
      <w:r>
        <w:t xml:space="preserve"> — KPI card, monthly trend, YTD vs forecast, breakdown by field and custom chart alike. A widget of months is a chart like any other: each month is a mark, so a note pins to </w:t>
      </w:r>
      <w:r>
        <w:rPr>
          <w:b/>
          <w:bCs/>
        </w:rPr>
        <w:t xml:space="preserve">JUN</w:t>
      </w:r>
      <w:r>
        <w:t xml:space="preserve"> exactly as it pins to a bar, and the key is the widget's subject rather than its drawing, so the note survives switching a card between sparkline, bars and columns. (The KPI scorecard is a table of boxes, and a table graph has no marks — nothing to pin a note to, so they carry no palette.) A note is held against the chart's own shape — its scope, grouping, split and measure — so one written in the builder is already there when the same chart is pinned to the dashboard.</w:t>
      </w:r>
    </w:p>
    <w:p>
      <w:pPr>
        <w:spacing w:after="100"/>
        <w:ind w:left="360"/>
      </w:pPr>
      <w:r>
        <w:t xml:space="preserve">Drag one onto a bar, point or slice: the mark lights up as you cross it, and on the drop the note is written in that shape. Drop a shape onto a note already there and it is simply redrawn that way — it never asks for the words again. There is no dragging on a phone, so </w:t>
      </w:r>
      <w:r>
        <w:rPr>
          <w:b/>
          <w:bCs/>
        </w:rPr>
        <w:t xml:space="preserve">tapping a shape arms it</w:t>
      </w:r>
      <w:r>
        <w:t xml:space="preserve"> (it takes the red outline) and the next tap on a bar places it; tap it again to put it back. Double-clicking a bar still writes a note, and double-clicking a note opens what is on it. (Double-click used to step a note through the shapes; the shapes now live in the editor and on the palette, where they can be seen.)</w:t>
      </w:r>
    </w:p>
    <w:p>
      <w:pPr>
        <w:pStyle w:val="ListParagraph"/>
        <w:numPr>
          <w:ilvl w:val="0"/>
          <w:numId w:val="3"/>
        </w:numPr>
        <w:spacing w:after="80"/>
      </w:pPr>
      <w:r>
        <w:rPr>
          <w:b/>
          <w:bCs/>
        </w:rPr>
        <w:t xml:space="preserve">Drag the corner to set how wide a note is</w:t>
      </w:r>
      <w:r>
        <w:t xml:space="preserve"> — hover a note and a small grip appears on its bottom-right corner. Drag it sideways and the note takes that width, the text rewraps into it as you drag, and the card grows or shrinks downward to hold the lines. </w:t>
      </w:r>
      <w:r>
        <w:rPr>
          <w:b/>
          <w:bCs/>
        </w:rPr>
        <w:t xml:space="preserve">Double-click the grip</w:t>
      </w:r>
      <w:r>
        <w:t xml:space="preserve"> to hand the width back to the layout, which sizes the note around its words again. The width is stored with the note, so it survives a rewrite, a change of shape, a re-render and a reload — and it travels into the PNG and the slide. The grip itself is a screen handle only: it never appears in an export.</w:t>
      </w:r>
    </w:p>
    <w:p>
      <w:pPr>
        <w:pStyle w:val="ListParagraph"/>
        <w:numPr>
          <w:ilvl w:val="0"/>
          <w:numId w:val="3"/>
        </w:numPr>
        <w:spacing w:after="80"/>
      </w:pPr>
      <w:r>
        <w:rPr>
          <w:b/>
          <w:bCs/>
        </w:rPr>
        <w:t xml:space="preserve">Every word is kept</w:t>
      </w:r>
      <w:r>
        <w:t xml:space="preserve"> — a note used to stop at four lines and finish with an ellipsis. It now wraps the whole comment however narrow the box, up to fourteen lines, and a single word too long for the line is broken rather than left to run out of the box. Between that and the corner grip, a long comment is managed by making the box the shape you want rather than by losing its tail.</w:t>
      </w:r>
    </w:p>
    <w:p>
      <w:pPr>
        <w:pStyle w:val="ListParagraph"/>
        <w:numPr>
          <w:ilvl w:val="0"/>
          <w:numId w:val="3"/>
        </w:numPr>
        <w:spacing w:after="80"/>
      </w:pPr>
      <w:r>
        <w:rPr>
          <w:b/>
          <w:bCs/>
        </w:rPr>
        <w:t xml:space="preserve">Leaders run beneath the cards</w:t>
      </w:r>
      <w:r>
        <w:t xml:space="preserve"> — every hairline, anchor dot and cloud puff is drawn in one layer under all the note cards, so a line to one bar never runs across the note pinned on another. A note also clears the </w:t>
      </w:r>
      <w:r>
        <w:rPr>
          <w:b/>
          <w:bCs/>
        </w:rPr>
        <w:t xml:space="preserve">value labels</w:t>
      </w:r>
      <w:r>
        <w:t xml:space="preserve">: covering the number a bar is worth is as bad as covering the bar itself, so the placement steps over those too.</w:t>
      </w:r>
    </w:p>
    <w:p>
      <w:pPr>
        <w:pStyle w:val="ListParagraph"/>
        <w:numPr>
          <w:ilvl w:val="0"/>
          <w:numId w:val="3"/>
        </w:numPr>
        <w:spacing w:after="80"/>
      </w:pPr>
      <w:r>
        <w:rPr>
          <w:b/>
          <w:bCs/>
        </w:rPr>
        <w:t xml:space="preserve">All commentaries</w:t>
      </w:r>
      <w:r>
        <w:t xml:space="preserve"> — a view that writes the same narrative once per comparison, the way the reporting tool does: one collapsible section for each of </w:t>
      </w:r>
      <w:r>
        <w:rPr>
          <w:b/>
          <w:bCs/>
        </w:rPr>
        <w:t xml:space="preserve">(Current QTR) Actuals vs PY</w:t>
      </w:r>
      <w:r>
        <w:t xml:space="preserve">, </w:t>
      </w:r>
      <w:r>
        <w:rPr>
          <w:b/>
          <w:bCs/>
        </w:rPr>
        <w:t xml:space="preserve">(Month YTD) Actuals vs Target</w:t>
      </w:r>
      <w:r>
        <w:t xml:space="preserve">, </w:t>
      </w:r>
      <w:r>
        <w:rPr>
          <w:b/>
          <w:bCs/>
        </w:rPr>
        <w:t xml:space="preserve">(Month) Actuals vs Forecast</w:t>
      </w:r>
      <w:r>
        <w:t xml:space="preserve">, </w:t>
      </w:r>
      <w:r>
        <w:rPr>
          <w:b/>
          <w:bCs/>
        </w:rPr>
        <w:t xml:space="preserve">(Month) FY Forecast vs Prior Forecast</w:t>
      </w:r>
      <w:r>
        <w:t xml:space="preserve">, </w:t>
      </w:r>
      <w:r>
        <w:rPr>
          <w:b/>
          <w:bCs/>
        </w:rPr>
        <w:t xml:space="preserve">vs Prior Year</w:t>
      </w:r>
      <w:r>
        <w:t xml:space="preserve"> and </w:t>
      </w:r>
      <w:r>
        <w:rPr>
          <w:b/>
          <w:bCs/>
        </w:rPr>
        <w:t xml:space="preserve">vs Target</w:t>
      </w:r>
      <w:r>
        <w:t xml:space="preserve">. A comparison the file cannot make is not offered — load a file with no target and the target sections are simply absent, rather than printed empty.</w:t>
      </w:r>
    </w:p>
    <w:p>
      <w:pPr>
        <w:spacing w:after="140"/>
        <w:ind w:left="360"/>
      </w:pPr>
      <w:r>
        <w:rPr>
          <w:b/>
          <w:bCs/>
        </w:rPr>
        <w:t xml:space="preserve">The three hierarchies write it.</w:t>
      </w:r>
      <w:r>
        <w:t xml:space="preserve"> The cascade is the </w:t>
      </w:r>
      <w:r>
        <w:rPr>
          <w:b/>
          <w:bCs/>
        </w:rPr>
        <w:t xml:space="preserve">account</w:t>
      </w:r>
      <w:r>
        <w:t xml:space="preserve"> hierarchy — PBT, PBT (ex Notables), Total Revenue, then each revenue line — and the movers behind each line are read from the </w:t>
      </w:r>
      <w:r>
        <w:rPr>
          <w:b/>
          <w:bCs/>
        </w:rPr>
        <w:t xml:space="preserve">product</w:t>
      </w:r>
      <w:r>
        <w:t xml:space="preserve"> hierarchy crossed with the </w:t>
      </w:r>
      <w:r>
        <w:rPr>
          <w:b/>
          <w:bCs/>
        </w:rPr>
        <w:t xml:space="preserve">country</w:t>
      </w:r>
      <w:r>
        <w:t xml:space="preserve"> hierarchy, one level below whatever the line already names: </w:t>
      </w:r>
      <w:r>
        <w:rPr>
          <w:i/>
          <w:iCs/>
        </w:rPr>
        <w:t xml:space="preserve">"MSS $77mA 2.0% driven by Foreign Exchange in Hong Kong ($10mA 2.0%), Rates in Hong Kong ($8mA 2.0%)"</w:t>
      </w:r>
      <w:r>
        <w:t xml:space="preserve">. Where a line has no product split beneath it the mover is named by country alone, as the pack does.</w:t>
      </w:r>
    </w:p>
    <w:p>
      <w:pPr>
        <w:spacing w:after="140"/>
        <w:ind w:left="360"/>
      </w:pPr>
      <w:r>
        <w:rPr>
          <w:b/>
          <w:bCs/>
        </w:rPr>
        <w:t xml:space="preserve">An expense line never names a product</w:t>
      </w:r>
      <w:r>
        <w:t xml:space="preserve">: costs are not earned on products — Mortgages did not drive Variable Pay up — so cost lines (the same </w:t>
      </w:r>
      <w:r>
        <w:rPr>
          <w:rFonts w:ascii="Consolas" w:cs="Consolas" w:eastAsia="Consolas" w:hAnsi="Consolas"/>
          <w:shd w:fill="F2F1ED" w:val="clear"/>
        </w:rPr>
        <w:t xml:space="preserve">cost_patterns</w:t>
      </w:r>
      <w:r>
        <w:t xml:space="preserve"> that colours favourability, plus opex, variable pay, staff and litigation) cut their movers by country or function alone, and an expense in a single country names no movers at all rather than "explaining" itself with its own total. Balances follow at the end in billions, then the memo lines.</w:t>
      </w:r>
    </w:p>
    <w:p>
      <w:pPr>
        <w:spacing w:after="140"/>
        <w:ind w:left="360"/>
      </w:pPr>
      <w:r>
        <w:rPr>
          <w:b/>
          <w:bCs/>
        </w:rPr>
        <w:t xml:space="preserve">It is set like the document it comes from.</w:t>
      </w:r>
      <w:r>
        <w:t xml:space="preserve"> The opening statement stands alone with a line under it; each line of the statement is its own paragraph with air around it; the lines beneath are indented and bulleted, and the level below that indented again with a lighter bullet. Past that the pack does not indent again and neither does this — it names them inline, </w:t>
      </w:r>
      <w:r>
        <w:rPr>
          <w:i/>
          <w:iCs/>
        </w:rPr>
        <w:t xml:space="preserve">"Credit and Lending $13mA 2.0% of which Portfolio Management $0mF 2.0%, Corporate Lending $13mA 2.0%"</w:t>
      </w:r>
      <w:r>
        <w:t xml:space="preserve">. A line either opens into its own lines or says what drove it, never a colon with nothing after it. The same typography applies to the management commentary and the Financial Summary block, which are set the same way.</w:t>
      </w:r>
    </w:p>
    <w:p>
      <w:pPr>
        <w:spacing w:after="140"/>
        <w:ind w:left="360"/>
      </w:pPr>
      <w:r>
        <w:t xml:space="preserve">Each section reads as the pack reads: the result, what moved it and what worked the other way — </w:t>
      </w:r>
      <w:r>
        <w:rPr>
          <w:i/>
          <w:iCs/>
        </w:rPr>
        <w:t xml:space="preserve">"PBT (Reported) is $101m down vs Target driven by lower PBT (ex Notables) ($102mA 2.0%), offset by lower Notables ($1mF 2.0%)"</w:t>
      </w:r>
      <w:r>
        <w:t xml:space="preserve"> — then each line of the statement with its own lines beneath it, and the countries or segments behind whichever is the last one printed. Amounts carry the </w:t>
      </w:r>
      <w:r>
        <w:rPr>
          <w:b/>
          <w:bCs/>
        </w:rPr>
        <w:t xml:space="preserve">F/A</w:t>
      </w:r>
      <w:r>
        <w:t xml:space="preserve"> suffix, balances print in billions as closings, and every figure comes from the </w:t>
      </w:r>
      <w:r>
        <w:rPr>
          <w:b/>
          <w:bCs/>
        </w:rPr>
        <w:t xml:space="preserve">same figures as the Financial Summary</w:t>
      </w:r>
      <w:r>
        <w:t xml:space="preserve">: a quarter from the quarterly column, a year-to-date from the YTD column, never months added together. A check ties the two together line for line.</w:t>
      </w:r>
    </w:p>
    <w:p>
      <w:pPr>
        <w:spacing w:after="140"/>
        <w:ind w:left="360"/>
      </w:pPr>
      <w:r>
        <w:rPr>
          <w:b/>
          <w:bCs/>
        </w:rPr>
        <w:t xml:space="preserve">The file's written commentary feeds it</w:t>
      </w:r>
      <w:r>
        <w:t xml:space="preserve">, as it feeds every other block: a written line rides on its own line's sentence, once per section and at the highest line it belongs to; what was written about the period as a whole stands under the opening statement, a line each; and a line the statement never names — a paragraph about Loans where the cascade is a P&amp;L — closes the section rather than being dropped. Everything that came from the document carries a red rule down its left edge, so the writer's words are visible as the writer's.</w:t>
      </w:r>
    </w:p>
    <w:p>
      <w:pPr>
        <w:spacing w:after="140"/>
        <w:ind w:left="360"/>
      </w:pPr>
      <w:r>
        <w:rPr>
          <w:b/>
          <w:bCs/>
        </w:rPr>
        <w:t xml:space="preserve">The written words follow the filters.</w:t>
      </w:r>
      <w:r>
        <w:t xml:space="preserve"> Commentary is written about the whole book — one paragraph about Private Bank names Switzerland and Luxembourg, another names India. Filter the page to India and the figures recompute; the words move with them. A paragraph that names a value of a filtered dimension which is </w:t>
      </w:r>
      <w:r>
        <w:rPr>
          <w:b/>
          <w:bCs/>
        </w:rPr>
        <w:t xml:space="preserve">not</w:t>
      </w:r>
      <w:r>
        <w:t xml:space="preserve"> in the current selection is about somewhere else, and is held back until the filters reach it again — a Luxembourg paragraph never rides into the India view.</w:t>
      </w:r>
    </w:p>
    <w:p>
      <w:pPr>
        <w:spacing w:after="140"/>
        <w:ind w:left="360"/>
      </w:pPr>
      <w:r>
        <w:t xml:space="preserve">Three things keep this honest: only </w:t>
      </w:r>
      <w:r>
        <w:rPr>
          <w:i/>
          <w:iCs/>
        </w:rPr>
        <w:t xml:space="preserve">filtered</w:t>
      </w:r>
      <w:r>
        <w:t xml:space="preserve"> dimensions are judged, so with no country filter set a Luxembourg paragraph is group commentary and belongs; a paragraph naming a </w:t>
      </w:r>
      <w:r>
        <w:rPr>
          <w:i/>
          <w:iCs/>
        </w:rPr>
        <w:t xml:space="preserve">selected</w:t>
      </w:r>
      <w:r>
        <w:t xml:space="preserve"> value stays even when it names others too ("India led while Luxembourg lagged" belongs in the India view); and a paragraph naming no value of the dimension at all is neutral and always belongs. The left pane's commentary note counts what is being held back, so nothing disappears silently. This governs every view the document feeds — the six bases, the management commentary, the Financial Summary, the charts.</w:t>
      </w:r>
    </w:p>
    <w:p>
      <w:pPr>
        <w:spacing w:after="140"/>
        <w:ind w:left="360"/>
      </w:pPr>
      <w:r>
        <w:rPr>
          <w:b/>
          <w:bCs/>
        </w:rPr>
        <w:t xml:space="preserve">The basis filter</w:t>
      </w:r>
      <w:r>
        <w:t xml:space="preserve"> at the top of the view narrows to one comparison; the same six are offered in the left pane's </w:t>
      </w:r>
      <w:r>
        <w:rPr>
          <w:b/>
          <w:bCs/>
        </w:rPr>
        <w:t xml:space="preserve">Variance period</w:t>
      </w:r>
      <w:r>
        <w:t xml:space="preserve">, wherever the file supports them — including the two the page could not make before, the quarter against the same quarter last year and the full-year forecast against the one published before it. The quarter is read from the file's own quarterly column where there is one, months only otherwise.</w:t>
      </w:r>
    </w:p>
    <w:p>
      <w:pPr>
        <w:spacing w:after="140"/>
        <w:ind w:left="360"/>
      </w:pPr>
      <w:r>
        <w:t xml:space="preserve">The </w:t>
      </w:r>
      <w:r>
        <w:rPr>
          <w:b/>
          <w:bCs/>
        </w:rPr>
        <w:t xml:space="preserve">management commentary</w:t>
      </w:r>
      <w:r>
        <w:t xml:space="preserve"> opens with the result across every basis in one sentence: </w:t>
      </w:r>
      <w:r>
        <w:rPr>
          <w:i/>
          <w:iCs/>
        </w:rPr>
        <w:t xml:space="preserve">"PBT (Reported) is $101m down on YTD vs target, $18m down on the month vs forecast and $307m down on the full year vs target."</w:t>
      </w:r>
      <w:r>
        <w:t xml:space="preserve"> The standard disclaimer stands under the commentary once there is one to disclaim — under </w:t>
      </w:r>
      <w:r>
        <w:rPr>
          <w:b/>
          <w:bCs/>
        </w:rPr>
        <w:t xml:space="preserve">every</w:t>
      </w:r>
      <w:r>
        <w:t xml:space="preserve"> generated commentary, not just this page: the Management commentary on the KPI summary, the Financial Summary's own words and the All commentaries page each carry it, and on the summary it folds away with the commentary it belongs to.</w:t>
      </w:r>
    </w:p>
    <w:p>
      <w:pPr>
        <w:spacing w:after="140"/>
        <w:ind w:left="360"/>
      </w:pPr>
      <w:r>
        <w:t xml:space="preserve">Its wording is the config file's to own — a </w:t>
      </w:r>
      <w:r>
        <w:rPr>
          <w:rFonts w:ascii="Consolas" w:cs="Consolas" w:eastAsia="Consolas" w:hAnsi="Consolas"/>
          <w:shd w:fill="F2F1ED" w:val="clear"/>
        </w:rPr>
        <w:t xml:space="preserve">commentary_disclaimer</w:t>
      </w:r>
      <w:r>
        <w:t xml:space="preserve"> row on the </w:t>
      </w:r>
      <w:r>
        <w:rPr>
          <w:b/>
          <w:bCs/>
        </w:rPr>
        <w:t xml:space="preserve">Settings</w:t>
      </w:r>
      <w:r>
        <w:t xml:space="preserve"> sheet — so each business ships its approved words in its pack, every surface and the Word exports carry the same words, and leaving the row out keeps the standard text. The CIB pack carries its own wording as a worked example.</w:t>
      </w:r>
    </w:p>
    <w:p>
      <w:pPr>
        <w:spacing w:after="140"/>
        <w:ind w:left="360"/>
      </w:pPr>
      <w:r>
        <w:rPr>
          <w:b/>
          <w:bCs/>
        </w:rPr>
        <w:t xml:space="preserve">Base Commentary</w:t>
      </w:r>
      <w:r>
        <w:t xml:space="preserve"> shows the generated text; </w:t>
      </w:r>
      <w:r>
        <w:rPr>
          <w:b/>
          <w:bCs/>
        </w:rPr>
        <w:t xml:space="preserve">Updated Commentary</w:t>
      </w:r>
      <w:r>
        <w:t xml:space="preserve"> is the same text editable and kept, block by block, like every other commentary on the page. </w:t>
      </w:r>
      <w:r>
        <w:rPr>
          <w:b/>
          <w:bCs/>
        </w:rPr>
        <w:t xml:space="preserve">Expand all</w:t>
      </w:r>
      <w:r>
        <w:t xml:space="preserve"> opens or closes every section, and the strip above says what the commentary was written from — month-end, basis, scope, the TM1 extract and how many written lines the file carries.</w:t>
      </w:r>
    </w:p>
    <w:p>
      <w:pPr>
        <w:spacing w:after="140"/>
        <w:ind w:left="360"/>
      </w:pPr>
      <w:r>
        <w:rPr>
          <w:b/>
          <w:bCs/>
        </w:rPr>
        <w:t xml:space="preserve">⤓ Word</w:t>
      </w:r>
      <w:r>
        <w:t xml:space="preserve"> writes the whole view — every basis the file supports, in the order the page shows them — to a real .docx, so the six bases leave the screen as a document rather than a screenshot. Each basis becomes a heading, the month and filters the commentary was written under stand under the title, the statement's lines keep their nesting as real Word bullets — a solid bullet at the first level, a hollow one at the second — and every F/A figure keeps its colour, green for favourable and red for adverse.</w:t>
      </w:r>
    </w:p>
    <w:p>
      <w:pPr>
        <w:spacing w:after="140"/>
        <w:ind w:left="360"/>
      </w:pPr>
      <w:r>
        <w:t xml:space="preserve">The standard disclaimer closes the document once, in the same pink it carries on the page, under a rule. A collapsed section still exports: what is written is what is on the page, edits included, whether or not it happens to be open. As with every other export, the file is assembled in the browser and nothing leaves it.</w:t>
      </w:r>
    </w:p>
    <w:p>
      <w:pPr>
        <w:pStyle w:val="ListParagraph"/>
        <w:numPr>
          <w:ilvl w:val="0"/>
          <w:numId w:val="3"/>
        </w:numPr>
        <w:spacing w:after="80"/>
      </w:pPr>
      <w:r>
        <w:rPr>
          <w:b/>
          <w:bCs/>
        </w:rPr>
        <w:t xml:space="preserve">Ingesting commentary the business has written</w:t>
      </w:r>
      <w:r>
        <w:t xml:space="preserve"> — the page computes figures; it never writes narrative. Where the narrative already exists, it can be read in and the commentary blocks will lead with it, word for word, neither paraphrased nor summarised, with the computed figures following. One way in: the </w:t>
      </w:r>
      <w:r>
        <w:rPr>
          <w:b/>
          <w:bCs/>
        </w:rPr>
        <w:t xml:space="preserve">`Commentary` section of the configuration</w:t>
      </w:r>
      <w:r>
        <w:t xml:space="preserve"> — a sheet in the config workbook, or </w:t>
      </w:r>
      <w:r>
        <w:rPr>
          <w:rFonts w:ascii="Consolas" w:cs="Consolas" w:eastAsia="Consolas" w:hAnsi="Consolas"/>
          <w:shd w:fill="F2F1ED" w:val="clear"/>
        </w:rPr>
        <w:t xml:space="preserve">Commentary</w:t>
      </w:r>
      <w:r>
        <w:t xml:space="preserve"> rows in the single-sheet CSV. The TM1 extract stays figures only; nothing is loaded separately; the words live in the pack the business already owns. (A tab named </w:t>
      </w:r>
      <w:r>
        <w:rPr>
          <w:rFonts w:ascii="Consolas" w:cs="Consolas" w:eastAsia="Consolas" w:hAnsi="Consolas"/>
          <w:shd w:fill="F2F1ED" w:val="clear"/>
        </w:rPr>
        <w:t xml:space="preserve">Commentary</w:t>
      </w:r>
      <w:r>
        <w:t xml:space="preserve"> inside a TM1 extract is still never parsed as data — it is simply ignored.)</w:t>
      </w:r>
    </w:p>
    <w:p>
      <w:pPr>
        <w:spacing w:after="140"/>
        <w:ind w:left="360"/>
      </w:pPr>
      <w:r>
        <w:t xml:space="preserve">Rows that aim themselves — three columns </w:t>
      </w:r>
      <w:r>
        <w:rPr>
          <w:rFonts w:ascii="Consolas" w:cs="Consolas" w:eastAsia="Consolas" w:hAnsi="Consolas"/>
          <w:shd w:fill="F2F1ED" w:val="clear"/>
        </w:rPr>
        <w:t xml:space="preserve">View | Line | Text</w:t>
      </w:r>
      <w:r>
        <w:t xml:space="preserve">, or two </w:t>
      </w:r>
      <w:r>
        <w:rPr>
          <w:rFonts w:ascii="Consolas" w:cs="Consolas" w:eastAsia="Consolas" w:hAnsi="Consolas"/>
          <w:shd w:fill="F2F1ED" w:val="clear"/>
        </w:rPr>
        <w:t xml:space="preserve">Line | Text</w:t>
      </w:r>
      <w:r>
        <w:t xml:space="preserve"> — are taken at their word. </w:t>
      </w:r>
      <w:r>
        <w:rPr>
          <w:b/>
          <w:bCs/>
        </w:rPr>
        <w:t xml:space="preserve">Bare paragraphs are unstructured commentary</w:t>
      </w:r>
      <w:r>
        <w:t xml:space="preserve">: each is matched against the names the TM1 extract itself carries (see below), so the pack's narrative pastes straight into a column with no tagging of any kind. A paragraph covering several lines is split so each sentence keeps its own; a paragraph naming nothing belongs to the view.</w:t>
      </w:r>
    </w:p>
    <w:p>
      <w:pPr>
        <w:spacing w:after="140"/>
        <w:ind w:left="360"/>
      </w:pPr>
      <w:r>
        <w:rPr>
          <w:b/>
          <w:bCs/>
        </w:rPr>
        <w:t xml:space="preserve">The words are kept, not the answers.</w:t>
      </w:r>
      <w:r>
        <w:t xml:space="preserve"> The paragraphs are stored as written and matched afresh every time they are read — next month's TM1 extract re-matches the same paragraphs against next month's names with nobody tagging a thing, and the left pane's commentary note always says how many matched, how many were addressed by hand, and what the filters are holding back.</w:t>
      </w:r>
    </w:p>
    <w:p>
      <w:pPr>
        <w:spacing w:after="140"/>
        <w:ind w:left="360"/>
      </w:pPr>
      <w:r>
        <w:rPr>
          <w:b/>
          <w:bCs/>
        </w:rPr>
        <w:t xml:space="preserve">The page writes the sentence; the document gives the cause.</w:t>
      </w:r>
      <w:r>
        <w:t xml:space="preserve"> Quoting a paragraph beside the figures says the same thing twice — the paragraph reads "Global Trade Solutions came in light", the line beneath reads 754 and 15 behind target. So the page composes: it puts its own figures first and takes only the telling clause from the document.</w:t>
      </w:r>
    </w:p>
    <w:p>
      <w:pPr>
        <w:pBdr>
          <w:left w:val="single" w:color="DB0011" w:sz="12" w:space="12"/>
        </w:pBdr>
        <w:spacing w:after="160" w:before="60"/>
        <w:ind w:left="360"/>
      </w:pPr>
      <w:r>
        <w:rPr>
          <w:b/>
          <w:bCs/>
          <w:i/>
          <w:iCs/>
        </w:rPr>
        <w:t xml:space="preserve">Global Trade Solutions</w:t>
      </w:r>
      <w:r>
        <w:rPr>
          <w:i/>
          <w:iCs/>
        </w:rPr>
        <w:t xml:space="preserve"> at </w:t>
      </w:r>
      <w:r>
        <w:rPr>
          <w:b/>
          <w:bCs/>
          <w:i/>
          <w:iCs/>
        </w:rPr>
        <w:t xml:space="preserve">754</w:t>
      </w:r>
      <w:r>
        <w:rPr>
          <w:i/>
          <w:iCs/>
        </w:rPr>
        <w:t xml:space="preserve">, ▼2.0% vs YTD forecast — Drawdowns slipped into July, which is timing rather than demand.</w:t>
      </w:r>
    </w:p>
    <w:p>
      <w:pPr>
        <w:spacing w:after="140"/>
        <w:ind w:left="360"/>
      </w:pPr>
      <w:r>
        <w:t xml:space="preserve">Nothing is reworded. Every word kept is the writer's own, in the writer's order — what the composer does is </w:t>
      </w:r>
      <w:r>
        <w:rPr>
          <w:b/>
          <w:bCs/>
        </w:rPr>
        <w:t xml:space="preserve">choose</w:t>
      </w:r>
      <w:r>
        <w:t xml:space="preserve">. It drops a sentence that only restates the line's name ("Global Trade Solutions came in light."), drops the name where the figures already carry it ("Credit and Lending was steady…" becomes "…— was steady…"), and stops at a clause boundary rather than running a paragraph across a chart, never leaving the clause hanging on a conjunction.</w:t>
      </w:r>
    </w:p>
    <w:p>
      <w:pPr>
        <w:spacing w:after="140"/>
        <w:ind w:left="360"/>
      </w:pPr>
      <w:r>
        <w:t xml:space="preserve">The same clause captions the note on the bar, cut shorter still, with the whole paragraph one click away on the note itself. </w:t>
      </w:r>
      <w:r>
        <w:rPr>
          <w:rFonts w:ascii="Consolas" w:cs="Consolas" w:eastAsia="Consolas" w:hAnsi="Consolas"/>
          <w:shd w:fill="F2F1ED" w:val="clear"/>
        </w:rPr>
        <w:t xml:space="preserve">commentary_style:'verbatim'</w:t>
      </w:r>
      <w:r>
        <w:t xml:space="preserve"> prints the paragraph exactly as written, for wording that has been approved and must not be trimmed; </w:t>
      </w:r>
      <w:r>
        <w:rPr>
          <w:rFonts w:ascii="Consolas" w:cs="Consolas" w:eastAsia="Consolas" w:hAnsi="Consolas"/>
          <w:shd w:fill="F2F1ED" w:val="clear"/>
        </w:rPr>
        <w:t xml:space="preserve">commentary_clause_max</w:t>
      </w:r>
      <w:r>
        <w:t xml:space="preserve"> sets the length.</w:t>
      </w:r>
    </w:p>
    <w:p>
      <w:pPr>
        <w:spacing w:after="140"/>
        <w:ind w:left="360"/>
      </w:pPr>
      <w:r>
        <w:rPr>
          <w:b/>
          <w:bCs/>
        </w:rPr>
        <w:t xml:space="preserve">Written commentary is often itself generated</w:t>
      </w:r>
      <w:r>
        <w:t xml:space="preserve">, and then it carries nothing the page has not already worked out: </w:t>
      </w:r>
      <w:r>
        <w:rPr>
          <w:i/>
          <w:iCs/>
        </w:rPr>
        <w:t xml:space="preserve">"Consumer Liabilities at 314,722 down 0.9% vs MAY-26 — Deposits $9bnF 3% driven by Retail $5bnF 3% (Australia $1,315mF 7%, China $1,071mF 6%)"</w:t>
      </w:r>
      <w:r>
        <w:t xml:space="preserve">. Printing that beside the page's own sentence says every number twice and reads as a dump. So each sentence is weighed before it is used: the figures are set aside, the file's own names and the reporting words around them are taken out, and what remains is the writer's own contribution.</w:t>
      </w:r>
    </w:p>
    <w:p>
      <w:pPr>
        <w:spacing w:after="140"/>
        <w:ind w:left="360"/>
      </w:pPr>
      <w:r>
        <w:rPr>
          <w:i/>
          <w:iCs/>
        </w:rPr>
        <w:t xml:space="preserve">"the migration from current accounts into time deposits continued"</w:t>
      </w:r>
      <w:r>
        <w:t xml:space="preserve"> survives — the page could never have written it. A sentence left with nothing is dropped, and the page's own figures stand alone. Section labels a tool printed (</w:t>
      </w:r>
      <w:r>
        <w:rPr>
          <w:i/>
          <w:iCs/>
        </w:rPr>
        <w:t xml:space="preserve">"(Month YTD) Actuals Vs Target (ex Notables)"</w:t>
      </w:r>
      <w:r>
        <w:t xml:space="preserve"> — title case, no full stop, nothing said) go the same way, and a sentence carrying no figures at all is never treated as a restatement, because no tool wrote it.</w:t>
      </w:r>
    </w:p>
    <w:p>
      <w:pPr>
        <w:spacing w:after="140"/>
        <w:ind w:left="360"/>
      </w:pPr>
      <w:r>
        <w:rPr>
          <w:b/>
          <w:bCs/>
        </w:rPr>
        <w:t xml:space="preserve">One reason per line, a couple per block.</w:t>
      </w:r>
      <w:r>
        <w:t xml:space="preserve"> A writer who returned to Deposits four times is making one point about Deposits; four paragraphs under one heading read as a dump. The block takes the first that survives the weighing, and </w:t>
      </w:r>
      <w:r>
        <w:rPr>
          <w:rFonts w:ascii="Consolas" w:cs="Consolas" w:eastAsia="Consolas" w:hAnsi="Consolas"/>
          <w:shd w:fill="F2F1ED" w:val="clear"/>
        </w:rPr>
        <w:t xml:space="preserve">commentary_max_notes</w:t>
      </w:r>
      <w:r>
        <w:t xml:space="preserve"> (default 2) caps how many loose paragraphs any one block can carry, so a long document never buries the page's own commentary.</w:t>
      </w:r>
    </w:p>
    <w:p>
      <w:pPr>
        <w:pStyle w:val="ListParagraph"/>
        <w:numPr>
          <w:ilvl w:val="0"/>
          <w:numId w:val="3"/>
        </w:numPr>
        <w:spacing w:after="100"/>
      </w:pPr>
      <w:r>
        <w:rPr>
          <w:b/>
          <w:bCs/>
        </w:rPr>
        <w:t xml:space="preserve">One config file drives everything</w:t>
      </w:r>
      <w:r>
        <w:t xml:space="preserve"> — </w:t>
      </w:r>
      <w:r>
        <w:rPr>
          <w:rFonts w:ascii="Consolas" w:cs="Consolas" w:eastAsia="Consolas" w:hAnsi="Consolas"/>
          <w:shd w:fill="F2F1ED" w:val="clear"/>
        </w:rPr>
        <w:t xml:space="preserve">Group_dashboard_config_pack.xlsx</w:t>
      </w:r>
      <w:r>
        <w:t xml:space="preserve"> is the single source of truth: it carries every business side by side — the merged CountryHierarchy (all businesses, regions and countries), both businesses' Product and Account hierarchies, their metrics, written commentary and scoped commentary templates (</w:t>
      </w:r>
      <w:r>
        <w:rPr>
          <w:rFonts w:ascii="Consolas" w:cs="Consolas" w:eastAsia="Consolas" w:hAnsi="Consolas"/>
          <w:shd w:fill="F2F1ED" w:val="clear"/>
        </w:rPr>
        <w:t xml:space="preserve">IWPB Global</w:t>
      </w:r>
      <w:r>
        <w:t xml:space="preserve"> … </w:t>
      </w:r>
      <w:r>
        <w:rPr>
          <w:rFonts w:ascii="Consolas" w:cs="Consolas" w:eastAsia="Consolas" w:hAnsi="Consolas"/>
          <w:shd w:fill="F2F1ED" w:val="clear"/>
        </w:rPr>
        <w:t xml:space="preserve">CIB Country</w:t>
      </w:r>
      <w:r>
        <w:t xml:space="preserve">), the six-basis variance periods and the tile controls — under one Group branding.</w:t>
      </w:r>
    </w:p>
    <w:p>
      <w:pPr>
        <w:spacing w:after="100"/>
        <w:ind w:left="360"/>
      </w:pPr>
      <w:r>
        <w:t xml:space="preserve">Upload this one workbook and the page serves the Group, either business, any region and any country from it; maintain this one file and nothing else. The per-business packs (</w:t>
      </w:r>
      <w:r>
        <w:rPr>
          <w:rFonts w:ascii="Consolas" w:cs="Consolas" w:eastAsia="Consolas" w:hAnsi="Consolas"/>
          <w:shd w:fill="F2F1ED" w:val="clear"/>
        </w:rPr>
        <w:t xml:space="preserve">IWPB_dashboard_config_pack.xlsx</w:t>
      </w:r>
      <w:r>
        <w:t xml:space="preserve">, </w:t>
      </w:r>
      <w:r>
        <w:rPr>
          <w:rFonts w:ascii="Consolas" w:cs="Consolas" w:eastAsia="Consolas" w:hAnsi="Consolas"/>
          <w:shd w:fill="F2F1ED" w:val="clear"/>
        </w:rPr>
        <w:t xml:space="preserve">CIB_dashboard_config_pack.xlsx</w:t>
      </w:r>
      <w:r>
        <w:t xml:space="preserve">) remain as worked single-business examples of the same format.</w:t>
      </w:r>
    </w:p>
    <w:p>
      <w:pPr>
        <w:spacing w:after="140"/>
        <w:ind w:left="360"/>
      </w:pPr>
      <w:r>
        <w:t xml:space="preserve">A worked example ships with the packs: </w:t>
      </w:r>
      <w:r>
        <w:rPr>
          <w:b/>
          <w:bCs/>
        </w:rPr>
        <w:t xml:space="preserve">`IWPB_dashboard_config_pack.xlsx`</w:t>
      </w:r>
      <w:r>
        <w:t xml:space="preserve"> carries a </w:t>
      </w:r>
      <w:r>
        <w:rPr>
          <w:rFonts w:ascii="Consolas" w:cs="Consolas" w:eastAsia="Consolas" w:hAnsi="Consolas"/>
          <w:shd w:fill="F2F1ED" w:val="clear"/>
        </w:rPr>
        <w:t xml:space="preserve">Commentary</w:t>
      </w:r>
      <w:r>
        <w:t xml:space="preserve"> sheet of eight plain paragraphs with no tagging of any kind, and loading it with </w:t>
      </w:r>
      <w:r>
        <w:rPr>
          <w:rFonts w:ascii="Consolas" w:cs="Consolas" w:eastAsia="Consolas" w:hAnsi="Consolas"/>
          <w:shd w:fill="F2F1ED" w:val="clear"/>
        </w:rPr>
        <w:t xml:space="preserve">sample/IWPB_SG_Driller_sixbasis.xlsx</w:t>
      </w:r>
      <w:r>
        <w:t xml:space="preserve"> pins seven of them — NII, Net Fee Income, Deposits, Loans, Cards, Insurance, Trading Income — and sends the opening line about the half to the view. </w:t>
      </w:r>
      <w:r>
        <w:rPr>
          <w:rFonts w:ascii="Consolas" w:cs="Consolas" w:eastAsia="Consolas" w:hAnsi="Consolas"/>
          <w:shd w:fill="F2F1ED" w:val="clear"/>
        </w:rPr>
        <w:t xml:space="preserve">CIB_dashboard_config_pack.xlsx</w:t>
      </w:r>
      <w:r>
        <w:t xml:space="preserve"> carries five addressed rows against the CIB names.</w:t>
      </w:r>
    </w:p>
    <w:p>
      <w:pPr>
        <w:spacing w:after="140"/>
        <w:ind w:left="360"/>
      </w:pPr>
      <w:r>
        <w:t xml:space="preserve">A sentence that names a line only </w:t>
      </w:r>
      <w:r>
        <w:rPr>
          <w:b/>
          <w:bCs/>
        </w:rPr>
        <w:t xml:space="preserve">in passing</w:t>
      </w:r>
      <w:r>
        <w:t xml:space="preserve"> stays with the view rather than being pinned to it: </w:t>
      </w:r>
      <w:r>
        <w:rPr>
          <w:i/>
          <w:iCs/>
        </w:rPr>
        <w:t xml:space="preserve">"The half closed ahead of plan on revenue, with costs the watch item"</w:t>
      </w:r>
      <w:r>
        <w:t xml:space="preserve"> is about the half, not about the Revenue line, and the pane reports it as mentioning Revenue in passing. The test is whether the name is the sentence's subject — a name at the front counts, a name behind a preposition in a long sentence does not, and a short sentence such as </w:t>
      </w:r>
      <w:r>
        <w:rPr>
          <w:i/>
          <w:iCs/>
        </w:rPr>
        <w:t xml:space="preserve">"Growth in Deposits was strong"</w:t>
      </w:r>
      <w:r>
        <w:t xml:space="preserve"> still pins.</w:t>
      </w:r>
    </w:p>
    <w:p>
      <w:pPr>
        <w:spacing w:after="140"/>
        <w:ind w:left="360"/>
      </w:pPr>
      <w:r>
        <w:rPr>
          <w:b/>
          <w:bCs/>
        </w:rPr>
        <w:t xml:space="preserve">Where one written paragraph ends up.</w:t>
      </w:r>
      <w:r>
        <w:t xml:space="preserve"> The same paragraphs reach four places, each stitched into what that place already says: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7E9EA" w:val="clear"/>
            <w:tcMar>
              <w:top w:type="dxa" w:w="60"/>
              <w:left w:type="dxa" w:w="100"/>
              <w:bottom w:type="dxa" w:w="60"/>
              <w:right w:type="dxa" w:w="100"/>
            </w:tcMar>
          </w:tcPr>
          <w:p>
            <w:r>
              <w:rPr>
                <w:b/>
                <w:bCs/>
                <w:color w:val="DB0011"/>
              </w:rPr>
              <w:t xml:space="preserve"> </w:t>
            </w:r>
          </w:p>
        </w:tc>
        <w:tc>
          <w:tcPr>
            <w:shd w:fill="F7E9EA" w:val="clear"/>
            <w:tcMar>
              <w:top w:type="dxa" w:w="60"/>
              <w:left w:type="dxa" w:w="100"/>
              <w:bottom w:type="dxa" w:w="60"/>
              <w:right w:type="dxa" w:w="100"/>
            </w:tcMar>
          </w:tcPr>
          <w:p>
            <w:r>
              <w:rPr>
                <w:b/>
                <w:bCs/>
                <w:color w:val="DB0011"/>
              </w:rPr>
              <w:t xml:space="preserve">What the written commentary does there</w:t>
            </w:r>
          </w:p>
        </w:tc>
      </w:tr>
      <w:tr>
        <w:tc>
          <w:tcPr>
            <w:tcMar>
              <w:top w:type="dxa" w:w="60"/>
              <w:left w:type="dxa" w:w="100"/>
              <w:bottom w:type="dxa" w:w="60"/>
              <w:right w:type="dxa" w:w="100"/>
            </w:tcMar>
          </w:tcPr>
          <w:p>
            <w:pPr>
              <w:spacing w:after="0"/>
            </w:pPr>
            <w:r>
              <w:rPr>
                <w:b/>
                <w:bCs/>
              </w:rPr>
              <w:t xml:space="preserve">Management commentary</w:t>
            </w:r>
            <w:r>
              <w:t xml:space="preserve"> (Summary)</w:t>
            </w:r>
          </w:p>
        </w:tc>
        <w:tc>
          <w:tcPr>
            <w:tcMar>
              <w:top w:type="dxa" w:w="60"/>
              <w:left w:type="dxa" w:w="100"/>
              <w:bottom w:type="dxa" w:w="60"/>
              <w:right w:type="dxa" w:w="100"/>
            </w:tcMar>
          </w:tcPr>
          <w:p>
            <w:pPr>
              <w:spacing w:after="0"/>
            </w:pPr>
            <w:r>
              <w:t xml:space="preserve">each line's reason rides on that line's own sentence, after its figures and its drivers — </w:t>
            </w:r>
            <w:r>
              <w:rPr>
                <w:i/>
                <w:iCs/>
              </w:rPr>
              <w:t xml:space="preserve">"NII - Interest Income ▲$968mF / 30.6% driven by Retail Banking &amp; Wealth Management — NII carried the half. Deposit margin held better than the plan assumed…"</w:t>
            </w:r>
          </w:p>
        </w:tc>
      </w:tr>
      <w:tr>
        <w:tc>
          <w:tcPr>
            <w:tcMar>
              <w:top w:type="dxa" w:w="60"/>
              <w:left w:type="dxa" w:w="100"/>
              <w:bottom w:type="dxa" w:w="60"/>
              <w:right w:type="dxa" w:w="100"/>
            </w:tcMar>
          </w:tcPr>
          <w:p>
            <w:pPr>
              <w:spacing w:after="0"/>
            </w:pPr>
            <w:r>
              <w:rPr>
                <w:b/>
                <w:bCs/>
              </w:rPr>
              <w:t xml:space="preserve">Financial Summary</w:t>
            </w:r>
          </w:p>
        </w:tc>
        <w:tc>
          <w:tcPr>
            <w:tcMar>
              <w:top w:type="dxa" w:w="60"/>
              <w:left w:type="dxa" w:w="100"/>
              <w:bottom w:type="dxa" w:w="60"/>
              <w:right w:type="dxa" w:w="100"/>
            </w:tcMar>
          </w:tcPr>
          <w:p>
            <w:pPr>
              <w:spacing w:after="0"/>
            </w:pPr>
            <w:r>
              <w:t xml:space="preserve">the same, on each statement block's sentence, and in the </w:t>
            </w:r>
            <w:r>
              <w:rPr>
                <w:b/>
                <w:bCs/>
              </w:rPr>
              <w:t xml:space="preserve">Line commentary</w:t>
            </w:r>
            <w:r>
              <w:t xml:space="preserve"> column as </w:t>
            </w:r>
            <w:r>
              <w:rPr>
                <w:i/>
                <w:iCs/>
              </w:rPr>
              <w:t xml:space="preserve">figures; reason</w:t>
            </w:r>
          </w:p>
        </w:tc>
      </w:tr>
      <w:tr>
        <w:tc>
          <w:tcPr>
            <w:tcMar>
              <w:top w:type="dxa" w:w="60"/>
              <w:left w:type="dxa" w:w="100"/>
              <w:bottom w:type="dxa" w:w="60"/>
              <w:right w:type="dxa" w:w="100"/>
            </w:tcMar>
          </w:tcPr>
          <w:p>
            <w:pPr>
              <w:spacing w:after="0"/>
            </w:pPr>
            <w:r>
              <w:rPr>
                <w:b/>
                <w:bCs/>
              </w:rPr>
              <w:t xml:space="preserve">Graphs</w:t>
            </w:r>
          </w:p>
        </w:tc>
        <w:tc>
          <w:tcPr>
            <w:tcMar>
              <w:top w:type="dxa" w:w="60"/>
              <w:left w:type="dxa" w:w="100"/>
              <w:bottom w:type="dxa" w:w="60"/>
              <w:right w:type="dxa" w:w="100"/>
            </w:tcMar>
          </w:tcPr>
          <w:p>
            <w:pPr>
              <w:spacing w:after="0"/>
            </w:pPr>
            <w:r>
              <w:t xml:space="preserve">pinned as a note on the bar it names, capped and switchable, with the block beneath carrying the lines the chart is not showing</w:t>
            </w:r>
          </w:p>
        </w:tc>
      </w:tr>
      <w:tr>
        <w:tc>
          <w:tcPr>
            <w:tcMar>
              <w:top w:type="dxa" w:w="60"/>
              <w:left w:type="dxa" w:w="100"/>
              <w:bottom w:type="dxa" w:w="60"/>
              <w:right w:type="dxa" w:w="100"/>
            </w:tcMar>
          </w:tcPr>
          <w:p>
            <w:pPr>
              <w:spacing w:after="0"/>
            </w:pPr>
            <w:r>
              <w:rPr>
                <w:b/>
                <w:bCs/>
              </w:rPr>
              <w:t xml:space="preserve">The block lead</w:t>
            </w:r>
          </w:p>
        </w:tc>
        <w:tc>
          <w:tcPr>
            <w:tcMar>
              <w:top w:type="dxa" w:w="60"/>
              <w:left w:type="dxa" w:w="100"/>
              <w:bottom w:type="dxa" w:w="60"/>
              <w:right w:type="dxa" w:w="100"/>
            </w:tcMar>
          </w:tcPr>
          <w:p>
            <w:pPr>
              <w:spacing w:after="0"/>
            </w:pPr>
            <w:r>
              <w:t xml:space="preserve">only what was written about the period as a whole — plus anything about a line no sentence could carry, so nothing is dropped for want of a home</w:t>
            </w:r>
          </w:p>
        </w:tc>
      </w:tr>
    </w:tbl>
    <w:p>
      <w:pPr>
        <w:spacing w:after="160"/>
      </w:pPr>
    </w:p>
    <w:p>
      <w:pPr>
        <w:spacing w:after="140"/>
        <w:ind w:left="360"/>
      </w:pPr>
      <w:r>
        <w:t xml:space="preserve">A reason is given </w:t>
      </w:r>
      <w:r>
        <w:rPr>
          <w:b/>
          <w:bCs/>
        </w:rPr>
        <w:t xml:space="preserve">once</w:t>
      </w:r>
      <w:r>
        <w:t xml:space="preserve"> per block, at the highest line it belongs to: a paragraph about Trading Income does not repeat itself on Trading Income – NII and Trading Income – Income beneath it.</w:t>
      </w:r>
    </w:p>
    <w:p>
      <w:pPr>
        <w:spacing w:after="140"/>
        <w:ind w:left="360"/>
      </w:pPr>
      <w:r>
        <w:rPr>
          <w:b/>
          <w:bCs/>
        </w:rPr>
        <w:t xml:space="preserve">To correct a match</w:t>
      </w:r>
      <w:r>
        <w:t xml:space="preserve"> there are three ways, and none of them is retyping the commentary: set an </w:t>
      </w:r>
      <w:r>
        <w:rPr>
          <w:rFonts w:ascii="Consolas" w:cs="Consolas" w:eastAsia="Consolas" w:hAnsi="Consolas"/>
          <w:shd w:fill="F2F1ED" w:val="clear"/>
        </w:rPr>
        <w:t xml:space="preserve">Aliases</w:t>
      </w:r>
      <w:r>
        <w:t xml:space="preserve"> row in the configuration (permanent, and it wins over everything), click the note on the chart and edit it there (it becomes your own note), or edit the commentary block and keep it.</w:t>
      </w:r>
    </w:p>
    <w:p>
      <w:pPr>
        <w:spacing w:after="140"/>
        <w:ind w:left="360"/>
      </w:pPr>
      <w:r>
        <w:rPr>
          <w:rFonts w:ascii="Consolas" w:cs="Consolas" w:eastAsia="Consolas" w:hAnsi="Consolas"/>
          <w:shd w:fill="F2F1ED" w:val="clear"/>
        </w:rPr>
        <w:t xml:space="preserve">View</w:t>
      </w:r>
      <w:r>
        <w:t xml:space="preserve"> aims the line — </w:t>
      </w:r>
      <w:r>
        <w:rPr>
          <w:rFonts w:ascii="Consolas" w:cs="Consolas" w:eastAsia="Consolas" w:hAnsi="Consolas"/>
          <w:shd w:fill="F2F1ED" w:val="clear"/>
        </w:rPr>
        <w:t xml:space="preserve">Summary</w:t>
      </w:r>
      <w:r>
        <w:t xml:space="preserve">, </w:t>
      </w:r>
      <w:r>
        <w:rPr>
          <w:rFonts w:ascii="Consolas" w:cs="Consolas" w:eastAsia="Consolas" w:hAnsi="Consolas"/>
          <w:shd w:fill="F2F1ED" w:val="clear"/>
        </w:rPr>
        <w:t xml:space="preserve">Financial Summary</w:t>
      </w:r>
      <w:r>
        <w:t xml:space="preserve"> (or whatever the view has been renamed to), </w:t>
      </w:r>
      <w:r>
        <w:rPr>
          <w:rFonts w:ascii="Consolas" w:cs="Consolas" w:eastAsia="Consolas" w:hAnsi="Consolas"/>
          <w:shd w:fill="F2F1ED" w:val="clear"/>
        </w:rPr>
        <w:t xml:space="preserve">Chart</w:t>
      </w:r>
      <w:r>
        <w:t xml:space="preserve">, </w:t>
      </w:r>
      <w:r>
        <w:rPr>
          <w:rFonts w:ascii="Consolas" w:cs="Consolas" w:eastAsia="Consolas" w:hAnsi="Consolas"/>
          <w:shd w:fill="F2F1ED" w:val="clear"/>
        </w:rPr>
        <w:t xml:space="preserve">Dashboard</w:t>
      </w:r>
      <w:r>
        <w:t xml:space="preserve">, or blank for all of them. </w:t>
      </w:r>
      <w:r>
        <w:rPr>
          <w:rFonts w:ascii="Consolas" w:cs="Consolas" w:eastAsia="Consolas" w:hAnsi="Consolas"/>
          <w:shd w:fill="F2F1ED" w:val="clear"/>
        </w:rPr>
        <w:t xml:space="preserve">Line</w:t>
      </w:r>
      <w:r>
        <w:t xml:space="preserve"> names the line, product or region it is about, matched loosely against the names on the page, and blank means the view as a whole. Where nothing is written a block reads its own figures exactly as before, so ingesting one line never silences the rest. A written line also leads its own row in the Line commentary column. Editing a block and keeping it still works: the written words refresh in place on the next ingest while your own edits stay.</w:t>
      </w:r>
    </w:p>
    <w:p>
      <w:pPr>
        <w:spacing w:after="140"/>
        <w:ind w:left="360"/>
      </w:pPr>
      <w:r>
        <w:rPr>
          <w:b/>
          <w:bCs/>
        </w:rPr>
        <w:t xml:space="preserve">Commentary templates — choosing how the narrative is worded.</w:t>
      </w:r>
      <w:r>
        <w:t xml:space="preserve"> The Management Commentary panel carries a </w:t>
      </w:r>
      <w:r>
        <w:rPr>
          <w:b/>
          <w:bCs/>
        </w:rPr>
        <w:t xml:space="preserve">Style</w:t>
      </w:r>
      <w:r>
        <w:t xml:space="preserve"> selector: the pack narrative, the house cascade, or any named template from the configuration's </w:t>
      </w:r>
      <w:r>
        <w:rPr>
          <w:rFonts w:ascii="Consolas" w:cs="Consolas" w:eastAsia="Consolas" w:hAnsi="Consolas"/>
          <w:shd w:fill="F2F1ED" w:val="clear"/>
        </w:rPr>
        <w:t xml:space="preserve">CommentaryTemplates</w:t>
      </w:r>
      <w:r>
        <w:t xml:space="preserve"> tab (</w:t>
      </w:r>
      <w:r>
        <w:rPr>
          <w:rFonts w:ascii="Consolas" w:cs="Consolas" w:eastAsia="Consolas" w:hAnsi="Consolas"/>
          <w:shd w:fill="F2F1ED" w:val="clear"/>
        </w:rPr>
        <w:t xml:space="preserve">Style | View | Pattern</w:t>
      </w:r>
      <w:r>
        <w:t xml:space="preserve">). A pattern is a sentence with tokens the page fills per statement line from the TM1 extract's own figures under the selected variance period —</w:t>
      </w:r>
    </w:p>
    <w:p>
      <w:pPr>
        <w:shd w:fill="F2F1ED" w:val="clear"/>
        <w:spacing w:after="0"/>
      </w:pPr>
      <w:r>
        <w:rPr>
          <w:rFonts w:ascii="Consolas" w:cs="Consolas" w:eastAsia="Consolas" w:hAnsi="Consolas"/>
          <w:sz w:val="18"/>
          <w:szCs w:val="18"/>
        </w:rPr>
        <w:t xml:space="preserve">Exec brief   | {line} {var} {vs}, led by {drivers}.</w:t>
      </w:r>
    </w:p>
    <w:p>
      <w:pPr>
        <w:shd w:fill="F2F1ED" w:val="clear"/>
        <w:spacing w:after="0"/>
      </w:pPr>
      <w:r>
        <w:rPr>
          <w:rFonts w:ascii="Consolas" w:cs="Consolas" w:eastAsia="Consolas" w:hAnsi="Consolas"/>
          <w:sz w:val="18"/>
          <w:szCs w:val="18"/>
        </w:rPr>
        <w:t xml:space="preserve">FP&amp;A detail  | {line}: {main} against {base} — {varamt} ({varpct}) {vs}. Key movers: {drivers}.</w:t>
      </w:r>
    </w:p>
    <w:p>
      <w:pPr>
        <w:spacing w:after="120"/>
      </w:pPr>
    </w:p>
    <w:p>
      <w:pPr>
        <w:spacing w:after="140"/>
        <w:ind w:left="360"/>
      </w:pPr>
      <w:r>
        <w:t xml:space="preserve">Tokens: </w:t>
      </w:r>
      <w:r>
        <w:rPr>
          <w:rFonts w:ascii="Consolas" w:cs="Consolas" w:eastAsia="Consolas" w:hAnsi="Consolas"/>
          <w:shd w:fill="F2F1ED" w:val="clear"/>
        </w:rPr>
        <w:t xml:space="preserve">{line}</w:t>
      </w:r>
      <w:r>
        <w:t xml:space="preserve"> </w:t>
      </w:r>
      <w:r>
        <w:rPr>
          <w:rFonts w:ascii="Consolas" w:cs="Consolas" w:eastAsia="Consolas" w:hAnsi="Consolas"/>
          <w:shd w:fill="F2F1ED" w:val="clear"/>
        </w:rPr>
        <w:t xml:space="preserve">{main}</w:t>
      </w:r>
      <w:r>
        <w:t xml:space="preserve"> </w:t>
      </w:r>
      <w:r>
        <w:rPr>
          <w:rFonts w:ascii="Consolas" w:cs="Consolas" w:eastAsia="Consolas" w:hAnsi="Consolas"/>
          <w:shd w:fill="F2F1ED" w:val="clear"/>
        </w:rPr>
        <w:t xml:space="preserve">{base}</w:t>
      </w:r>
      <w:r>
        <w:t xml:space="preserve"> </w:t>
      </w:r>
      <w:r>
        <w:rPr>
          <w:rFonts w:ascii="Consolas" w:cs="Consolas" w:eastAsia="Consolas" w:hAnsi="Consolas"/>
          <w:shd w:fill="F2F1ED" w:val="clear"/>
        </w:rPr>
        <w:t xml:space="preserve">{var}</w:t>
      </w:r>
      <w:r>
        <w:t xml:space="preserve"> (movement with %), </w:t>
      </w:r>
      <w:r>
        <w:rPr>
          <w:rFonts w:ascii="Consolas" w:cs="Consolas" w:eastAsia="Consolas" w:hAnsi="Consolas"/>
          <w:shd w:fill="F2F1ED" w:val="clear"/>
        </w:rPr>
        <w:t xml:space="preserve">{varamt}</w:t>
      </w:r>
      <w:r>
        <w:t xml:space="preserve"> (movement alone), </w:t>
      </w:r>
      <w:r>
        <w:rPr>
          <w:rFonts w:ascii="Consolas" w:cs="Consolas" w:eastAsia="Consolas" w:hAnsi="Consolas"/>
          <w:shd w:fill="F2F1ED" w:val="clear"/>
        </w:rPr>
        <w:t xml:space="preserve">{varpct}</w:t>
      </w:r>
      <w:r>
        <w:t xml:space="preserve">, </w:t>
      </w:r>
      <w:r>
        <w:rPr>
          <w:rFonts w:ascii="Consolas" w:cs="Consolas" w:eastAsia="Consolas" w:hAnsi="Consolas"/>
          <w:shd w:fill="F2F1ED" w:val="clear"/>
        </w:rPr>
        <w:t xml:space="preserve">{vs}</w:t>
      </w:r>
      <w:r>
        <w:t xml:space="preserve">, </w:t>
      </w:r>
      <w:r>
        <w:rPr>
          <w:rFonts w:ascii="Consolas" w:cs="Consolas" w:eastAsia="Consolas" w:hAnsi="Consolas"/>
          <w:shd w:fill="F2F1ED" w:val="clear"/>
        </w:rPr>
        <w:t xml:space="preserve">{basename}</w:t>
      </w:r>
      <w:r>
        <w:t xml:space="preserve">, </w:t>
      </w:r>
      <w:r>
        <w:rPr>
          <w:rFonts w:ascii="Consolas" w:cs="Consolas" w:eastAsia="Consolas" w:hAnsi="Consolas"/>
          <w:shd w:fill="F2F1ED" w:val="clear"/>
        </w:rPr>
        <w:t xml:space="preserve">{period}</w:t>
      </w:r>
      <w:r>
        <w:t xml:space="preserve">, </w:t>
      </w:r>
      <w:r>
        <w:rPr>
          <w:rFonts w:ascii="Consolas" w:cs="Consolas" w:eastAsia="Consolas" w:hAnsi="Consolas"/>
          <w:shd w:fill="F2F1ED" w:val="clear"/>
        </w:rPr>
        <w:t xml:space="preserve">{drivers}</w:t>
      </w:r>
      <w:r>
        <w:t xml:space="preserve">, </w:t>
      </w:r>
      <w:r>
        <w:rPr>
          <w:rFonts w:ascii="Consolas" w:cs="Consolas" w:eastAsia="Consolas" w:hAnsi="Consolas"/>
          <w:shd w:fill="F2F1ED" w:val="clear"/>
        </w:rPr>
        <w:t xml:space="preserve">{month}</w:t>
      </w:r>
      <w:r>
        <w:t xml:space="preserve">, </w:t>
      </w:r>
      <w:r>
        <w:rPr>
          <w:rFonts w:ascii="Consolas" w:cs="Consolas" w:eastAsia="Consolas" w:hAnsi="Consolas"/>
          <w:shd w:fill="F2F1ED" w:val="clear"/>
        </w:rPr>
        <w:t xml:space="preserve">{quarter}</w:t>
      </w:r>
      <w:r>
        <w:t xml:space="preserve">, </w:t>
      </w:r>
      <w:r>
        <w:rPr>
          <w:rFonts w:ascii="Consolas" w:cs="Consolas" w:eastAsia="Consolas" w:hAnsi="Consolas"/>
          <w:shd w:fill="F2F1ED" w:val="clear"/>
        </w:rPr>
        <w:t xml:space="preserve">{fy}</w:t>
      </w:r>
      <w:r>
        <w:t xml:space="preserve">, </w:t>
      </w:r>
      <w:r>
        <w:rPr>
          <w:rFonts w:ascii="Consolas" w:cs="Consolas" w:eastAsia="Consolas" w:hAnsi="Consolas"/>
          <w:shd w:fill="F2F1ED" w:val="clear"/>
        </w:rPr>
        <w:t xml:space="preserve">{ytd}</w:t>
      </w:r>
      <w:r>
        <w:t xml:space="preserve">. A template governs word order and tone, never arithmetic: every figure is computed exactly as the pack style computes it, expense lines still name no products as movers, and the written commentary still leads each line. Uploaded rows replace the built-in examples wholesale; </w:t>
      </w:r>
      <w:r>
        <w:rPr>
          <w:rFonts w:ascii="Consolas" w:cs="Consolas" w:eastAsia="Consolas" w:hAnsi="Consolas"/>
          <w:shd w:fill="F2F1ED" w:val="clear"/>
        </w:rPr>
        <w:t xml:space="preserve">View</w:t>
      </w:r>
      <w:r>
        <w:t xml:space="preserve"> scopes a pattern (blank = everywhere); </w:t>
      </w:r>
      <w:r>
        <w:rPr>
          <w:rFonts w:ascii="Consolas" w:cs="Consolas" w:eastAsia="Consolas" w:hAnsi="Consolas"/>
          <w:shd w:fill="F2F1ED" w:val="clear"/>
        </w:rPr>
        <w:t xml:space="preserve">commentary_format</w:t>
      </w:r>
      <w:r>
        <w:t xml:space="preserve"> in Settings names the default style, and the reader's own pick on the panel is remembered. The Word and PPT exports carry whichever style is on the page.</w:t>
      </w:r>
    </w:p>
    <w:p>
      <w:pPr>
        <w:spacing w:after="140"/>
        <w:ind w:left="360"/>
      </w:pPr>
      <w:r>
        <w:rPr>
          <w:b/>
          <w:bCs/>
        </w:rPr>
        <w:t xml:space="preserve">Scoped templates — the scope picks its own voice.</w:t>
      </w:r>
      <w:r>
        <w:t xml:space="preserve"> With the Style selector on </w:t>
      </w:r>
      <w:r>
        <w:rPr>
          <w:b/>
          <w:bCs/>
        </w:rPr>
        <w:t xml:space="preserve">Auto — match the scope</w:t>
      </w:r>
      <w:r>
        <w:t xml:space="preserve"> (the default), the page adopts whichever defined template best fits where it is looking: an unscoped multi-business page speaks the </w:t>
      </w:r>
      <w:r>
        <w:rPr>
          <w:rFonts w:ascii="Consolas" w:cs="Consolas" w:eastAsia="Consolas" w:hAnsi="Consolas"/>
          <w:shd w:fill="F2F1ED" w:val="clear"/>
        </w:rPr>
        <w:t xml:space="preserve">Group</w:t>
      </w:r>
      <w:r>
        <w:t xml:space="preserve"> template, a selected business its </w:t>
      </w:r>
      <w:r>
        <w:rPr>
          <w:rFonts w:ascii="Consolas" w:cs="Consolas" w:eastAsia="Consolas" w:hAnsi="Consolas"/>
          <w:shd w:fill="F2F1ED" w:val="clear"/>
        </w:rPr>
        <w:t xml:space="preserve">IWPB Global</w:t>
      </w:r>
      <w:r>
        <w:t xml:space="preserve"> or </w:t>
      </w:r>
      <w:r>
        <w:rPr>
          <w:rFonts w:ascii="Consolas" w:cs="Consolas" w:eastAsia="Consolas" w:hAnsi="Consolas"/>
          <w:shd w:fill="F2F1ED" w:val="clear"/>
        </w:rPr>
        <w:t xml:space="preserve">CIB Global</w:t>
      </w:r>
      <w:r>
        <w:t xml:space="preserve"> template, a region its </w:t>
      </w:r>
      <w:r>
        <w:rPr>
          <w:rFonts w:ascii="Consolas" w:cs="Consolas" w:eastAsia="Consolas" w:hAnsi="Consolas"/>
          <w:shd w:fill="F2F1ED" w:val="clear"/>
        </w:rPr>
        <w:t xml:space="preserve">Regional</w:t>
      </w:r>
      <w:r>
        <w:t xml:space="preserve"> and a country its </w:t>
      </w:r>
      <w:r>
        <w:rPr>
          <w:rFonts w:ascii="Consolas" w:cs="Consolas" w:eastAsia="Consolas" w:hAnsi="Consolas"/>
          <w:shd w:fill="F2F1ED" w:val="clear"/>
        </w:rPr>
        <w:t xml:space="preserve">Country</w:t>
      </w:r>
      <w:r>
        <w:t xml:space="preserve"> one — re-resolved automatically as the scope moves, with nothing to pick.</w:t>
      </w:r>
    </w:p>
    <w:p>
      <w:pPr>
        <w:spacing w:after="140"/>
        <w:ind w:left="360"/>
      </w:pPr>
      <w:r>
        <w:t xml:space="preserve">A template's scope is its </w:t>
      </w:r>
      <w:r>
        <w:rPr>
          <w:rFonts w:ascii="Consolas" w:cs="Consolas" w:eastAsia="Consolas" w:hAnsi="Consolas"/>
          <w:shd w:fill="F2F1ED" w:val="clear"/>
        </w:rPr>
        <w:t xml:space="preserve">Scope</w:t>
      </w:r>
      <w:r>
        <w:t xml:space="preserve"> column, or simply its own name: </w:t>
      </w:r>
      <w:r>
        <w:rPr>
          <w:rFonts w:ascii="Consolas" w:cs="Consolas" w:eastAsia="Consolas" w:hAnsi="Consolas"/>
          <w:shd w:fill="F2F1ED" w:val="clear"/>
        </w:rPr>
        <w:t xml:space="preserve">Group</w:t>
      </w:r>
      <w:r>
        <w:t xml:space="preserve">, </w:t>
      </w:r>
      <w:r>
        <w:rPr>
          <w:rFonts w:ascii="Consolas" w:cs="Consolas" w:eastAsia="Consolas" w:hAnsi="Consolas"/>
          <w:shd w:fill="F2F1ED" w:val="clear"/>
        </w:rPr>
        <w:t xml:space="preserve">Global</w:t>
      </w:r>
      <w:r>
        <w:t xml:space="preserve">, </w:t>
      </w:r>
      <w:r>
        <w:rPr>
          <w:rFonts w:ascii="Consolas" w:cs="Consolas" w:eastAsia="Consolas" w:hAnsi="Consolas"/>
          <w:shd w:fill="F2F1ED" w:val="clear"/>
        </w:rPr>
        <w:t xml:space="preserve">Regional</w:t>
      </w:r>
      <w:r>
        <w:t xml:space="preserve">, </w:t>
      </w:r>
      <w:r>
        <w:rPr>
          <w:rFonts w:ascii="Consolas" w:cs="Consolas" w:eastAsia="Consolas" w:hAnsi="Consolas"/>
          <w:shd w:fill="F2F1ED" w:val="clear"/>
        </w:rPr>
        <w:t xml:space="preserve">Country</w:t>
      </w:r>
      <w:r>
        <w:t xml:space="preserve">, optionally led by a business (</w:t>
      </w:r>
      <w:r>
        <w:rPr>
          <w:rFonts w:ascii="Consolas" w:cs="Consolas" w:eastAsia="Consolas" w:hAnsi="Consolas"/>
          <w:shd w:fill="F2F1ED" w:val="clear"/>
        </w:rPr>
        <w:t xml:space="preserve">IWPB Global</w:t>
      </w:r>
      <w:r>
        <w:t xml:space="preserve">) or a specific place (</w:t>
      </w:r>
      <w:r>
        <w:rPr>
          <w:rFonts w:ascii="Consolas" w:cs="Consolas" w:eastAsia="Consolas" w:hAnsi="Consolas"/>
          <w:shd w:fill="F2F1ED" w:val="clear"/>
        </w:rPr>
        <w:t xml:space="preserve">Singapore</w:t>
      </w:r>
      <w:r>
        <w:t xml:space="preserve">) — the most specific match wins, so </w:t>
      </w:r>
      <w:r>
        <w:rPr>
          <w:rFonts w:ascii="Consolas" w:cs="Consolas" w:eastAsia="Consolas" w:hAnsi="Consolas"/>
          <w:shd w:fill="F2F1ED" w:val="clear"/>
        </w:rPr>
        <w:t xml:space="preserve">IWPB Global</w:t>
      </w:r>
      <w:r>
        <w:t xml:space="preserve"> beats plain </w:t>
      </w:r>
      <w:r>
        <w:rPr>
          <w:rFonts w:ascii="Consolas" w:cs="Consolas" w:eastAsia="Consolas" w:hAnsi="Consolas"/>
          <w:shd w:fill="F2F1ED" w:val="clear"/>
        </w:rPr>
        <w:t xml:space="preserve">Global</w:t>
      </w:r>
      <w:r>
        <w:t xml:space="preserve"> when IWPB is selected. A scope with no template defined speaks the pack narrative, so IWPB can have its own voice while CIB reads the standard one until CIB defines its own. Both packs ship worked examples; a hand-picked style always overrides the scope.</w:t>
      </w:r>
    </w:p>
    <w:p>
      <w:pPr>
        <w:spacing w:after="140"/>
        <w:ind w:left="360"/>
      </w:pPr>
      <w:r>
        <w:rPr>
          <w:b/>
          <w:bCs/>
        </w:rPr>
        <w:t xml:space="preserve">The Active style lists scopes, not style names.</w:t>
      </w:r>
      <w:r>
        <w:t xml:space="preserve"> However many named styles the config carries, the pane's selector shows one entry per </w:t>
      </w:r>
      <w:r>
        <w:rPr>
          <w:b/>
          <w:bCs/>
        </w:rPr>
        <w:t xml:space="preserve">Scope</w:t>
      </w:r>
      <w:r>
        <w:t xml:space="preserve"> value — </w:t>
      </w:r>
      <w:r>
        <w:rPr>
          <w:rFonts w:ascii="Consolas" w:cs="Consolas" w:eastAsia="Consolas" w:hAnsi="Consolas"/>
          <w:shd w:fill="F2F1ED" w:val="clear"/>
        </w:rPr>
        <w:t xml:space="preserve">Group</w:t>
      </w:r>
      <w:r>
        <w:t xml:space="preserve">, </w:t>
      </w:r>
      <w:r>
        <w:rPr>
          <w:rFonts w:ascii="Consolas" w:cs="Consolas" w:eastAsia="Consolas" w:hAnsi="Consolas"/>
          <w:shd w:fill="F2F1ED" w:val="clear"/>
        </w:rPr>
        <w:t xml:space="preserve">IWPB</w:t>
      </w:r>
      <w:r>
        <w:t xml:space="preserve">, </w:t>
      </w:r>
      <w:r>
        <w:rPr>
          <w:rFonts w:ascii="Consolas" w:cs="Consolas" w:eastAsia="Consolas" w:hAnsi="Consolas"/>
          <w:shd w:fill="F2F1ED" w:val="clear"/>
        </w:rPr>
        <w:t xml:space="preserve">CIB</w:t>
      </w:r>
      <w:r>
        <w:t xml:space="preserve">, </w:t>
      </w:r>
      <w:r>
        <w:rPr>
          <w:rFonts w:ascii="Consolas" w:cs="Consolas" w:eastAsia="Consolas" w:hAnsi="Consolas"/>
          <w:shd w:fill="F2F1ED" w:val="clear"/>
        </w:rPr>
        <w:t xml:space="preserve">HK</w:t>
      </w:r>
      <w:r>
        <w:t xml:space="preserve">, </w:t>
      </w:r>
      <w:r>
        <w:rPr>
          <w:rFonts w:ascii="Consolas" w:cs="Consolas" w:eastAsia="Consolas" w:hAnsi="Consolas"/>
          <w:shd w:fill="F2F1ED" w:val="clear"/>
        </w:rPr>
        <w:t xml:space="preserve">UK</w:t>
      </w:r>
      <w:r>
        <w:t xml:space="preserve">, whatever the CommentaryTemplates' Scope column defines — plus Auto, and any style whose rows are deliberately unscoped, by its own name. Picking a scope forces that scope's template (its last-defined row), still filled from the selected variance period.</w:t>
      </w:r>
    </w:p>
    <w:p>
      <w:pPr>
        <w:spacing w:after="140"/>
        <w:ind w:left="360"/>
      </w:pPr>
      <w:r>
        <w:rPr>
          <w:b/>
          <w:bCs/>
        </w:rPr>
        <w:t xml:space="preserve">One selector, in the pane.</w:t>
      </w:r>
      <w:r>
        <w:t xml:space="preserve"> The Management Commentary panel carries no Style dropdown of its own: the narrative follows the scope and the </w:t>
      </w:r>
      <w:r>
        <w:rPr>
          <w:b/>
          <w:bCs/>
        </w:rPr>
        <w:t xml:space="preserve">selected variance period</w:t>
      </w:r>
      <w:r>
        <w:t xml:space="preserve">, exactly as the trajectory and tiles above it — a style pinned to one basis can never contradict the graph beside it. The left pane's </w:t>
      </w:r>
      <w:r>
        <w:rPr>
          <w:b/>
          <w:bCs/>
        </w:rPr>
        <w:t xml:space="preserve">Active style</w:t>
      </w:r>
      <w:r>
        <w:t xml:space="preserve"> is the single deliberate override.</w:t>
      </w:r>
    </w:p>
    <w:p>
      <w:pPr>
        <w:spacing w:after="140"/>
        <w:ind w:left="360"/>
      </w:pPr>
      <w:r>
        <w:rPr>
          <w:b/>
          <w:bCs/>
        </w:rPr>
        <w:t xml:space="preserve">The Style dropdown speaks the configuration's language.</w:t>
      </w:r>
      <w:r>
        <w:t xml:space="preserve"> It offers </w:t>
      </w:r>
      <w:r>
        <w:rPr>
          <w:b/>
          <w:bCs/>
        </w:rPr>
        <w:t xml:space="preserve">Auto — match the scope</w:t>
      </w:r>
      <w:r>
        <w:t xml:space="preserve"> plus the styles the config (and the reader's own saves) define — nothing else. The built-in Pack narrative and House cascade writers appear as choices only in a file with no templates defined at all; with templates present they remain the silent fallback wherever no scoped template matches, not a menu entry. And whichever </w:t>
      </w:r>
      <w:r>
        <w:rPr>
          <w:b/>
          <w:bCs/>
        </w:rPr>
        <w:t xml:space="preserve">variance period</w:t>
      </w:r>
      <w:r>
        <w:t xml:space="preserve"> is selected, the adopted template stays applied and re-fills from that basis — figures, vs-phrase and period label alike.</w:t>
      </w:r>
    </w:p>
    <w:p>
      <w:pPr>
        <w:spacing w:after="140"/>
        <w:ind w:left="360"/>
      </w:pPr>
      <w:r>
        <w:rPr>
          <w:b/>
          <w:bCs/>
        </w:rPr>
        <w:t xml:space="preserve">The style speaks on every composed surface.</w:t>
      </w:r>
      <w:r>
        <w:t xml:space="preserve"> The active style — Auto-resolved or hand-picked — words the Management Commentary, each </w:t>
      </w:r>
      <w:r>
        <w:rPr>
          <w:b/>
          <w:bCs/>
        </w:rPr>
        <w:t xml:space="preserve">All Commentaries</w:t>
      </w:r>
      <w:r>
        <w:t xml:space="preserve"> section (on that section's own basis, so the same sentence shape reads vs PY in one section and vs Target in the next), and the </w:t>
      </w:r>
      <w:r>
        <w:rPr>
          <w:b/>
          <w:bCs/>
        </w:rPr>
        <w:t xml:space="preserve">graph commentary's</w:t>
      </w:r>
      <w:r>
        <w:t xml:space="preserve"> movement sentence beneath the mix panel, the builder and the dashboard widgets. The analytical reads stay the writer's own — the section heads, the "largest line" opener, shares and concentration — and choosing </w:t>
      </w:r>
      <w:r>
        <w:rPr>
          <w:b/>
          <w:bCs/>
        </w:rPr>
        <w:t xml:space="preserve">Pack narrative</w:t>
      </w:r>
      <w:r>
        <w:t xml:space="preserve"> restores every surface at once. The Word and PPT exports carry whichever style is on the page.</w:t>
      </w:r>
    </w:p>
    <w:p>
      <w:pPr>
        <w:spacing w:after="140"/>
        <w:ind w:left="360"/>
      </w:pPr>
      <w:r>
        <w:rPr>
          <w:b/>
          <w:bCs/>
        </w:rPr>
        <w:t xml:space="preserve">The pane picks; the config authors.</w:t>
      </w:r>
      <w:r>
        <w:t xml:space="preserve"> The left pane's Commentary templates section is a picker, nothing more: the </w:t>
      </w:r>
      <w:r>
        <w:rPr>
          <w:b/>
          <w:bCs/>
        </w:rPr>
        <w:t xml:space="preserve">Active style</w:t>
      </w:r>
      <w:r>
        <w:t xml:space="preserve"> selector, offering Auto and the styles the configuration defines. All template authoring lives in the one config workbook — the </w:t>
      </w:r>
      <w:r>
        <w:rPr>
          <w:rFonts w:ascii="Consolas" w:cs="Consolas" w:eastAsia="Consolas" w:hAnsi="Consolas"/>
          <w:shd w:fill="F2F1ED" w:val="clear"/>
        </w:rPr>
        <w:t xml:space="preserve">CommentaryTemplates</w:t>
      </w:r>
      <w:r>
        <w:t xml:space="preserve"> tab and </w:t>
      </w:r>
      <w:r>
        <w:rPr>
          <w:rFonts w:ascii="Consolas" w:cs="Consolas" w:eastAsia="Consolas" w:hAnsi="Consolas"/>
          <w:shd w:fill="F2F1ED" w:val="clear"/>
        </w:rPr>
        <w:t xml:space="preserve">Template &lt;scope&gt;</w:t>
      </w:r>
      <w:r>
        <w:t xml:space="preserve"> tabs — so there is a single place templates come from and nothing to paste or upload in the page itself.</w:t>
      </w:r>
    </w:p>
    <w:p>
      <w:pPr>
        <w:spacing w:after="140"/>
        <w:ind w:left="360"/>
      </w:pPr>
      <w:r>
        <w:rPr>
          <w:b/>
          <w:bCs/>
        </w:rPr>
        <w:t xml:space="preserve">A write-up instead of a pattern.</w:t>
      </w:r>
      <w:r>
        <w:t xml:space="preserve"> This is the normal form: the Group pack's </w:t>
      </w:r>
      <w:r>
        <w:rPr>
          <w:rFonts w:ascii="Consolas" w:cs="Consolas" w:eastAsia="Consolas" w:hAnsi="Consolas"/>
          <w:shd w:fill="F2F1ED" w:val="clear"/>
        </w:rPr>
        <w:t xml:space="preserve">CommentaryTemplates</w:t>
      </w:r>
      <w:r>
        <w:t xml:space="preserve"> rows are themselves written as commentary sentences, and the pattern is detected automatically wherever a Pattern cell carries no </w:t>
      </w:r>
      <w:r>
        <w:rPr>
          <w:rFonts w:ascii="Consolas" w:cs="Consolas" w:eastAsia="Consolas" w:hAnsi="Consolas"/>
          <w:shd w:fill="F2F1ED" w:val="clear"/>
        </w:rPr>
        <w:t xml:space="preserve">{tokens}</w:t>
      </w:r>
      <w:r>
        <w:t xml:space="preserve"> — in the config rows, in </w:t>
      </w:r>
      <w:r>
        <w:rPr>
          <w:rFonts w:ascii="Consolas" w:cs="Consolas" w:eastAsia="Consolas" w:hAnsi="Consolas"/>
          <w:shd w:fill="F2F1ED" w:val="clear"/>
        </w:rPr>
        <w:t xml:space="preserve">Template &lt;scope&gt;</w:t>
      </w:r>
      <w:r>
        <w:t xml:space="preserve"> tabs, in template uploads and in the pane alike.  Nobody has to think in tokens: a written commentary — </w:t>
      </w:r>
      <w:r>
        <w:rPr>
          <w:i/>
          <w:iCs/>
        </w:rPr>
        <w:t xml:space="preserve">"Revenue of $4,193m was up $102m (2.5%) vs Q2 2025, led by Mutual Funds and Deposits."</w:t>
      </w:r>
      <w:r>
        <w:t xml:space="preserve"> — is read and turned into its pattern automatically, a token placed where each figure sits and every other word kept exactly as written.</w:t>
      </w:r>
    </w:p>
    <w:p>
      <w:pPr>
        <w:spacing w:after="140"/>
        <w:ind w:left="360"/>
      </w:pPr>
      <w:r>
        <w:t xml:space="preserve">A write-up lives in the config workbook: a </w:t>
      </w:r>
      <w:r>
        <w:rPr>
          <w:rFonts w:ascii="Consolas" w:cs="Consolas" w:eastAsia="Consolas" w:hAnsi="Consolas"/>
          <w:shd w:fill="F2F1ED" w:val="clear"/>
        </w:rPr>
        <w:t xml:space="preserve">CommentaryTemplates</w:t>
      </w:r>
      <w:r>
        <w:t xml:space="preserve"> row whose Pattern cell is prose, or a </w:t>
      </w:r>
      <w:r>
        <w:rPr>
          <w:b/>
          <w:bCs/>
        </w:rPr>
        <w:t xml:space="preserve">`Template &lt;scope&gt;` tab</w:t>
      </w:r>
      <w:r>
        <w:t xml:space="preserve"> (e.g. </w:t>
      </w:r>
      <w:r>
        <w:rPr>
          <w:rFonts w:ascii="Consolas" w:cs="Consolas" w:eastAsia="Consolas" w:hAnsi="Consolas"/>
          <w:shd w:fill="F2F1ED" w:val="clear"/>
        </w:rPr>
        <w:t xml:space="preserve">Template IWPB Global</w:t>
      </w:r>
      <w:r>
        <w:t xml:space="preserve">) holding a longer write-up, which overrides the sheet's row for the same scope. The recognition covers the movement clause (up/down amounts, F/A notation), the vs-phrase, an against/from base, percentages, mover lists after "led by", "driven by", "on the back of" or "reflecting", the subject line matched against the file's own line names, and place or business names, which become the scope.</w:t>
      </w:r>
    </w:p>
    <w:p>
      <w:pPr>
        <w:spacing w:after="140"/>
        <w:ind w:left="360"/>
      </w:pPr>
      <w:r>
        <w:rPr>
          <w:b/>
          <w:bCs/>
        </w:rPr>
        <w:t xml:space="preserve">Placeholder figures are recognised too</w:t>
      </w:r>
      <w:r>
        <w:t xml:space="preserve">, the way template packs are actually written: </w:t>
      </w:r>
      <w:r>
        <w:rPr>
          <w:rFonts w:ascii="Consolas" w:cs="Consolas" w:eastAsia="Consolas" w:hAnsi="Consolas"/>
          <w:shd w:fill="F2F1ED" w:val="clear"/>
        </w:rPr>
        <w:t xml:space="preserve">$Xm up/down</w:t>
      </w:r>
      <w:r>
        <w:t xml:space="preserve"> reads as the movement, </w:t>
      </w:r>
      <w:r>
        <w:rPr>
          <w:rFonts w:ascii="Consolas" w:cs="Consolas" w:eastAsia="Consolas" w:hAnsi="Consolas"/>
          <w:shd w:fill="F2F1ED" w:val="clear"/>
        </w:rPr>
        <w:t xml:space="preserve">x%</w:t>
      </w:r>
      <w:r>
        <w:t xml:space="preserve"> as the percentage, a bare </w:t>
      </w:r>
      <w:r>
        <w:rPr>
          <w:rFonts w:ascii="Consolas" w:cs="Consolas" w:eastAsia="Consolas" w:hAnsi="Consolas"/>
          <w:shd w:fill="F2F1ED" w:val="clear"/>
        </w:rPr>
        <w:t xml:space="preserve">$Xm</w:t>
      </w:r>
      <w:r>
        <w:t xml:space="preserve"> as the figure itself, and a named basis — "(Month) Actuals Vs Forecast", "FY Forecast vs Target" — reads as the </w:t>
      </w:r>
      <w:r>
        <w:rPr>
          <w:b/>
          <w:bCs/>
        </w:rPr>
        <w:t xml:space="preserve">selected variance period</w:t>
      </w:r>
      <w:r>
        <w:t xml:space="preserve">, so a write-up built on placeholders fills from whichever basis the left pane has selected and re-fills when it changes. Once derived it is an ordinary scoped template — adopted by Auto, previewed, exported and overridden like any other — and as always the tokens fill from the page's computed figures, so the example's own numbers never survive into the output.</w:t>
      </w:r>
    </w:p>
    <w:p>
      <w:pPr>
        <w:spacing w:after="140"/>
        <w:ind w:left="360"/>
      </w:pPr>
      <w:r>
        <w:rPr>
          <w:b/>
          <w:bCs/>
        </w:rPr>
        <w:t xml:space="preserve">How it decides which line a comment is about.</w:t>
      </w:r>
      <w:r>
        <w:t xml:space="preserve"> This is text matching against the names in your own file. It reads names; it does not understand banking. Four things can resolve a sentence, and the left pane says which one fired for each line so the answer can be checked: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7E9EA" w:val="clear"/>
            <w:tcMar>
              <w:top w:type="dxa" w:w="60"/>
              <w:left w:type="dxa" w:w="100"/>
              <w:bottom w:type="dxa" w:w="60"/>
              <w:right w:type="dxa" w:w="100"/>
            </w:tcMar>
          </w:tcPr>
          <w:p>
            <w:r>
              <w:rPr>
                <w:b/>
                <w:bCs/>
                <w:color w:val="DB0011"/>
              </w:rPr>
              <w:t xml:space="preserve"> </w:t>
            </w:r>
          </w:p>
        </w:tc>
        <w:tc>
          <w:tcPr>
            <w:shd w:fill="F7E9EA" w:val="clear"/>
            <w:tcMar>
              <w:top w:type="dxa" w:w="60"/>
              <w:left w:type="dxa" w:w="100"/>
              <w:bottom w:type="dxa" w:w="60"/>
              <w:right w:type="dxa" w:w="100"/>
            </w:tcMar>
          </w:tcPr>
          <w:p>
            <w:r>
              <w:rPr>
                <w:b/>
                <w:bCs/>
                <w:color w:val="DB0011"/>
              </w:rPr>
              <w:t xml:space="preserve">Example</w:t>
            </w:r>
          </w:p>
        </w:tc>
      </w:tr>
      <w:tr>
        <w:tc>
          <w:tcPr>
            <w:tcMar>
              <w:top w:type="dxa" w:w="60"/>
              <w:left w:type="dxa" w:w="100"/>
              <w:bottom w:type="dxa" w:w="60"/>
              <w:right w:type="dxa" w:w="100"/>
            </w:tcMar>
          </w:tcPr>
          <w:p>
            <w:pPr>
              <w:spacing w:after="0"/>
            </w:pPr>
            <w:r>
              <w:rPr>
                <w:b/>
                <w:bCs/>
              </w:rPr>
              <w:t xml:space="preserve">Alias</w:t>
            </w:r>
            <w:r>
              <w:t xml:space="preserve"> set in the configuration</w:t>
            </w:r>
          </w:p>
        </w:tc>
        <w:tc>
          <w:tcPr>
            <w:tcMar>
              <w:top w:type="dxa" w:w="60"/>
              <w:left w:type="dxa" w:w="100"/>
              <w:bottom w:type="dxa" w:w="60"/>
              <w:right w:type="dxa" w:w="100"/>
            </w:tcMar>
          </w:tcPr>
          <w:p>
            <w:pPr>
              <w:spacing w:after="0"/>
            </w:pPr>
            <w:r>
              <w:rPr>
                <w:rFonts w:ascii="Consolas" w:cs="Consolas" w:eastAsia="Consolas" w:hAnsi="Consolas"/>
                <w:shd w:fill="F2F1ED" w:val="clear"/>
              </w:rPr>
              <w:t xml:space="preserve">NII</w:t>
            </w:r>
            <w:r>
              <w:t xml:space="preserve"> → </w:t>
            </w:r>
            <w:r>
              <w:rPr>
                <w:rFonts w:ascii="Consolas" w:cs="Consolas" w:eastAsia="Consolas" w:hAnsi="Consolas"/>
                <w:shd w:fill="F2F1ED" w:val="clear"/>
              </w:rPr>
              <w:t xml:space="preserve">NII - Interest Income</w:t>
            </w:r>
          </w:p>
        </w:tc>
      </w:tr>
      <w:tr>
        <w:tc>
          <w:tcPr>
            <w:tcMar>
              <w:top w:type="dxa" w:w="60"/>
              <w:left w:type="dxa" w:w="100"/>
              <w:bottom w:type="dxa" w:w="60"/>
              <w:right w:type="dxa" w:w="100"/>
            </w:tcMar>
          </w:tcPr>
          <w:p>
            <w:pPr>
              <w:spacing w:after="0"/>
            </w:pPr>
            <w:r>
              <w:rPr>
                <w:b/>
                <w:bCs/>
              </w:rPr>
              <w:t xml:space="preserve">The name</w:t>
            </w:r>
            <w:r>
              <w:t xml:space="preserve">, written out</w:t>
            </w:r>
          </w:p>
        </w:tc>
        <w:tc>
          <w:tcPr>
            <w:tcMar>
              <w:top w:type="dxa" w:w="60"/>
              <w:left w:type="dxa" w:w="100"/>
              <w:bottom w:type="dxa" w:w="60"/>
              <w:right w:type="dxa" w:w="100"/>
            </w:tcMar>
          </w:tcPr>
          <w:p>
            <w:pPr>
              <w:spacing w:after="0"/>
            </w:pPr>
            <w:r>
              <w:t xml:space="preserve">"Banking NII held up" → </w:t>
            </w:r>
            <w:r>
              <w:rPr>
                <w:rFonts w:ascii="Consolas" w:cs="Consolas" w:eastAsia="Consolas" w:hAnsi="Consolas"/>
                <w:shd w:fill="F2F1ED" w:val="clear"/>
              </w:rPr>
              <w:t xml:space="preserve">Banking NII</w:t>
            </w:r>
          </w:p>
        </w:tc>
      </w:tr>
      <w:tr>
        <w:tc>
          <w:tcPr>
            <w:tcMar>
              <w:top w:type="dxa" w:w="60"/>
              <w:left w:type="dxa" w:w="100"/>
              <w:bottom w:type="dxa" w:w="60"/>
              <w:right w:type="dxa" w:w="100"/>
            </w:tcMar>
          </w:tcPr>
          <w:p>
            <w:pPr>
              <w:spacing w:after="0"/>
            </w:pPr>
            <w:r>
              <w:rPr>
                <w:b/>
                <w:bCs/>
              </w:rPr>
              <w:t xml:space="preserve">The acronym</w:t>
            </w:r>
            <w:r>
              <w:t xml:space="preserve"> of the name</w:t>
            </w:r>
          </w:p>
        </w:tc>
        <w:tc>
          <w:tcPr>
            <w:tcMar>
              <w:top w:type="dxa" w:w="60"/>
              <w:left w:type="dxa" w:w="100"/>
              <w:bottom w:type="dxa" w:w="60"/>
              <w:right w:type="dxa" w:w="100"/>
            </w:tcMar>
          </w:tcPr>
          <w:p>
            <w:pPr>
              <w:spacing w:after="0"/>
            </w:pPr>
            <w:r>
              <w:rPr>
                <w:rFonts w:ascii="Consolas" w:cs="Consolas" w:eastAsia="Consolas" w:hAnsi="Consolas"/>
                <w:shd w:fill="F2F1ED" w:val="clear"/>
              </w:rPr>
              <w:t xml:space="preserve">GTS</w:t>
            </w:r>
            <w:r>
              <w:t xml:space="preserve"> → </w:t>
            </w:r>
            <w:r>
              <w:rPr>
                <w:rFonts w:ascii="Consolas" w:cs="Consolas" w:eastAsia="Consolas" w:hAnsi="Consolas"/>
                <w:shd w:fill="F2F1ED" w:val="clear"/>
              </w:rPr>
              <w:t xml:space="preserve">Global Trade Solutions</w:t>
            </w:r>
          </w:p>
        </w:tc>
      </w:tr>
      <w:tr>
        <w:tc>
          <w:tcPr>
            <w:tcMar>
              <w:top w:type="dxa" w:w="60"/>
              <w:left w:type="dxa" w:w="100"/>
              <w:bottom w:type="dxa" w:w="60"/>
              <w:right w:type="dxa" w:w="100"/>
            </w:tcMar>
          </w:tcPr>
          <w:p>
            <w:pPr>
              <w:spacing w:after="0"/>
            </w:pPr>
            <w:r>
              <w:rPr>
                <w:b/>
                <w:bCs/>
              </w:rPr>
              <w:t xml:space="preserve">A short form or a telling word</w:t>
            </w:r>
            <w:r>
              <w:t xml:space="preserve"> that can only mean one line</w:t>
            </w:r>
          </w:p>
        </w:tc>
        <w:tc>
          <w:tcPr>
            <w:tcMar>
              <w:top w:type="dxa" w:w="60"/>
              <w:left w:type="dxa" w:w="100"/>
              <w:bottom w:type="dxa" w:w="60"/>
              <w:right w:type="dxa" w:w="100"/>
            </w:tcMar>
          </w:tcPr>
          <w:p>
            <w:pPr>
              <w:spacing w:after="0"/>
            </w:pPr>
            <w:r>
              <w:rPr>
                <w:rFonts w:ascii="Consolas" w:cs="Consolas" w:eastAsia="Consolas" w:hAnsi="Consolas"/>
                <w:shd w:fill="F2F1ED" w:val="clear"/>
              </w:rPr>
              <w:t xml:space="preserve">NII</w:t>
            </w:r>
            <w:r>
              <w:t xml:space="preserve"> → the NII line, where every other NII line sits beneath it; </w:t>
            </w:r>
            <w:r>
              <w:rPr>
                <w:rFonts w:ascii="Consolas" w:cs="Consolas" w:eastAsia="Consolas" w:hAnsi="Consolas"/>
                <w:shd w:fill="F2F1ED" w:val="clear"/>
              </w:rPr>
              <w:t xml:space="preserve">deposits</w:t>
            </w:r>
            <w:r>
              <w:t xml:space="preserve"> → </w:t>
            </w:r>
            <w:r>
              <w:rPr>
                <w:rFonts w:ascii="Consolas" w:cs="Consolas" w:eastAsia="Consolas" w:hAnsi="Consolas"/>
                <w:shd w:fill="F2F1ED" w:val="clear"/>
              </w:rPr>
              <w:t xml:space="preserve">Customers and Banks Deposits (PE)</w:t>
            </w:r>
            <w:r>
              <w:t xml:space="preserve">, the only line carrying the word</w:t>
            </w:r>
          </w:p>
        </w:tc>
      </w:tr>
    </w:tbl>
    <w:p>
      <w:pPr>
        <w:spacing w:after="160"/>
      </w:pPr>
    </w:p>
    <w:p>
      <w:pPr>
        <w:spacing w:after="140"/>
        <w:ind w:left="360"/>
      </w:pPr>
      <w:r>
        <w:t xml:space="preserve">Common banking terms read the same either way round, so </w:t>
      </w:r>
      <w:r>
        <w:rPr>
          <w:rFonts w:ascii="Consolas" w:cs="Consolas" w:eastAsia="Consolas" w:hAnsi="Consolas"/>
          <w:shd w:fill="F2F1ED" w:val="clear"/>
        </w:rPr>
        <w:t xml:space="preserve">Net interest income</w:t>
      </w:r>
      <w:r>
        <w:t xml:space="preserve"> finds a line called </w:t>
      </w:r>
      <w:r>
        <w:rPr>
          <w:rFonts w:ascii="Consolas" w:cs="Consolas" w:eastAsia="Consolas" w:hAnsi="Consolas"/>
          <w:shd w:fill="F2F1ED" w:val="clear"/>
        </w:rPr>
        <w:t xml:space="preserve">NII</w:t>
      </w:r>
      <w:r>
        <w:t xml:space="preserve"> and </w:t>
      </w:r>
      <w:r>
        <w:rPr>
          <w:rFonts w:ascii="Consolas" w:cs="Consolas" w:eastAsia="Consolas" w:hAnsi="Consolas"/>
          <w:shd w:fill="F2F1ED" w:val="clear"/>
        </w:rPr>
        <w:t xml:space="preserve">expected credit losses</w:t>
      </w:r>
      <w:r>
        <w:t xml:space="preserve"> finds </w:t>
      </w:r>
      <w:r>
        <w:rPr>
          <w:rFonts w:ascii="Consolas" w:cs="Consolas" w:eastAsia="Consolas" w:hAnsi="Consolas"/>
          <w:shd w:fill="F2F1ED" w:val="clear"/>
        </w:rPr>
        <w:t xml:space="preserve">ECLs</w:t>
      </w:r>
      <w:r>
        <w:t xml:space="preserve"> — NII, ECL, RWA, PBT, VP, AUM, RoTE, CER, NNIA.</w:t>
      </w:r>
    </w:p>
    <w:p>
      <w:pPr>
        <w:spacing w:after="140"/>
        <w:ind w:left="360"/>
      </w:pPr>
      <w:r>
        <w:t xml:space="preserve">Where a sentence names two lines the </w:t>
      </w:r>
      <w:r>
        <w:rPr>
          <w:b/>
          <w:bCs/>
        </w:rPr>
        <w:t xml:space="preserve">earlier one wins</w:t>
      </w:r>
      <w:r>
        <w:t xml:space="preserve">, because a sentence is about its subject: </w:t>
      </w:r>
      <w:r>
        <w:rPr>
          <w:i/>
          <w:iCs/>
        </w:rPr>
        <w:t xml:space="preserve">"NII was the main driver of the revenue beat"</w:t>
      </w:r>
      <w:r>
        <w:t xml:space="preserve"> is about NII, not Revenue. The other name is reported beside the row rather than silently dropped.</w:t>
      </w:r>
    </w:p>
    <w:p>
      <w:pPr>
        <w:spacing w:after="140"/>
        <w:ind w:left="360"/>
      </w:pPr>
      <w:r>
        <w:t xml:space="preserve">Where a term could mean more than one line </w:t>
      </w:r>
      <w:r>
        <w:rPr>
          <w:b/>
          <w:bCs/>
        </w:rPr>
        <w:t xml:space="preserve">nothing is pinned</w:t>
      </w:r>
      <w:r>
        <w:t xml:space="preserve"> — a wrong line is worse than no line — and the pane says why: </w:t>
      </w:r>
      <w:r>
        <w:rPr>
          <w:i/>
          <w:iCs/>
        </w:rPr>
        <w:t xml:space="preserve">"'deposits' could be Customer Deposits (PE) or Customers and Banks Deposits (PE) — set an alias"</w:t>
      </w:r>
      <w:r>
        <w:t xml:space="preserve">. An </w:t>
      </w:r>
      <w:r>
        <w:rPr>
          <w:b/>
          <w:bCs/>
        </w:rPr>
        <w:t xml:space="preserve">`Aliases`</w:t>
      </w:r>
      <w:r>
        <w:t xml:space="preserve"> section in the configuration (</w:t>
      </w:r>
      <w:r>
        <w:rPr>
          <w:rFonts w:ascii="Consolas" w:cs="Consolas" w:eastAsia="Consolas" w:hAnsi="Consolas"/>
          <w:shd w:fill="F2F1ED" w:val="clear"/>
        </w:rPr>
        <w:t xml:space="preserve">Alias | Line</w:t>
      </w:r>
      <w:r>
        <w:t xml:space="preserve">) settles it for good and wins over everything else. Acronyms are derived only from names of three or more real words, so a two-letter initialism cannot collide with an English word: </w:t>
      </w:r>
      <w:r>
        <w:rPr>
          <w:rFonts w:ascii="Consolas" w:cs="Consolas" w:eastAsia="Consolas" w:hAnsi="Consolas"/>
          <w:shd w:fill="F2F1ED" w:val="clear"/>
        </w:rPr>
        <w:t xml:space="preserve">Opex Notables</w:t>
      </w:r>
      <w:r>
        <w:t xml:space="preserve"> gave </w:t>
      </w:r>
      <w:r>
        <w:rPr>
          <w:rFonts w:ascii="Consolas" w:cs="Consolas" w:eastAsia="Consolas" w:hAnsi="Consolas"/>
          <w:shd w:fill="F2F1ED" w:val="clear"/>
        </w:rPr>
        <w:t xml:space="preserve">ON</w:t>
      </w:r>
      <w:r>
        <w:t xml:space="preserve">, and every sentence containing "on" matched it.</w:t>
      </w:r>
    </w:p>
    <w:p>
      <w:pPr>
        <w:pStyle w:val="ListParagraph"/>
        <w:numPr>
          <w:ilvl w:val="0"/>
          <w:numId w:val="3"/>
        </w:numPr>
        <w:spacing w:after="100"/>
      </w:pPr>
      <w:r>
        <w:rPr>
          <w:b/>
          <w:bCs/>
        </w:rPr>
        <w:t xml:space="preserve">Commentary pinned onto the charts</w:t>
      </w:r>
      <w:r>
        <w:t xml:space="preserve"> — a written line aimed at a name shows as a note on the mark it names, on every chart where that name is a category: the words reach the graph, not only the block. It is capped at three notes a chart (</w:t>
      </w:r>
      <w:r>
        <w:rPr>
          <w:rFonts w:ascii="Consolas" w:cs="Consolas" w:eastAsia="Consolas" w:hAnsi="Consolas"/>
          <w:shd w:fill="F2F1ED" w:val="clear"/>
        </w:rPr>
        <w:t xml:space="preserve">chart_note_auto_max</w:t>
      </w:r>
      <w:r>
        <w:t xml:space="preserve">), because a chart papered with notes says less than a chart with three, and the </w:t>
      </w:r>
      <w:r>
        <w:rPr>
          <w:b/>
          <w:bCs/>
        </w:rPr>
        <w:t xml:space="preserve">Commentary</w:t>
      </w:r>
      <w:r>
        <w:t xml:space="preserve"> switch in the note palette turns the layer off and on.</w:t>
      </w:r>
    </w:p>
    <w:p>
      <w:pPr>
        <w:spacing w:after="100"/>
        <w:ind w:left="360"/>
      </w:pPr>
      <w:r>
        <w:t xml:space="preserve">A note pinned by hand always wins over an ingested one. What the chart is showing is </w:t>
      </w:r>
      <w:r>
        <w:rPr>
          <w:b/>
          <w:bCs/>
        </w:rPr>
        <w:t xml:space="preserve">not repeated in the block beneath it</w:t>
      </w:r>
      <w:r>
        <w:t xml:space="preserve"> — switch the layer off and those words go back into the block. Clicking an ingested note opens it for editing with its own words already in the box, and once edited it becomes your own note, kept like any other.</w:t>
      </w:r>
    </w:p>
    <w:p>
      <w:pPr>
        <w:pStyle w:val="ListParagraph"/>
        <w:numPr>
          <w:ilvl w:val="0"/>
          <w:numId w:val="3"/>
        </w:numPr>
        <w:spacing w:after="100"/>
      </w:pPr>
      <w:r>
        <w:rPr>
          <w:b/>
          <w:bCs/>
        </w:rPr>
        <w:t xml:space="preserve">Line commentary, as the pack prints it</w:t>
      </w:r>
      <w:r>
        <w:t xml:space="preserve"> — the reporting pack sets a short note beside each line, and the Financial Summary now carries the same column beneath the grid. A note written by the business leads — a </w:t>
      </w:r>
      <w:r>
        <w:rPr>
          <w:b/>
          <w:bCs/>
        </w:rPr>
        <w:t xml:space="preserve">Commentary</w:t>
      </w:r>
      <w:r>
        <w:t xml:space="preserve"> row in the config, keyed by the line's name — and a line without one reads its own figures in the page's own words (</w:t>
      </w:r>
      <w:r>
        <w:rPr>
          <w:rFonts w:ascii="Consolas" w:cs="Consolas" w:eastAsia="Consolas" w:hAnsi="Consolas"/>
          <w:shd w:fill="F2F1ED" w:val="clear"/>
        </w:rPr>
        <w:t xml:space="preserve">JUN YTD 2,293 — ▼46 vs target; JUN ▼4 vs forecast</w:t>
      </w:r>
      <w:r>
        <w:t xml:space="preserve">), each in that line's unit, so a note and the row beside it can never disagree.</w:t>
      </w:r>
    </w:p>
    <w:p>
      <w:pPr>
        <w:spacing w:after="100"/>
        <w:ind w:left="360"/>
      </w:pPr>
      <w:r>
        <w:rPr>
          <w:rFonts w:ascii="Consolas" w:cs="Consolas" w:eastAsia="Consolas" w:hAnsi="Consolas"/>
          <w:shd w:fill="F2F1ED" w:val="clear"/>
        </w:rPr>
        <w:t xml:space="preserve">fsum_note_lines</w:t>
      </w:r>
      <w:r>
        <w:t xml:space="preserve"> sets which lines are commented on and in what order (blank = every line that carries a written note), and </w:t>
      </w:r>
      <w:r>
        <w:rPr>
          <w:rFonts w:ascii="Consolas" w:cs="Consolas" w:eastAsia="Consolas" w:hAnsi="Consolas"/>
          <w:shd w:fill="F2F1ED" w:val="clear"/>
        </w:rPr>
        <w:t xml:space="preserve">fsum_notes</w:t>
      </w:r>
      <w:r>
        <w:t xml:space="preserve"> (</w:t>
      </w:r>
      <w:r>
        <w:rPr>
          <w:rFonts w:ascii="Consolas" w:cs="Consolas" w:eastAsia="Consolas" w:hAnsi="Consolas"/>
          <w:shd w:fill="F2F1ED" w:val="clear"/>
        </w:rPr>
        <w:t xml:space="preserve">auto</w:t>
      </w:r>
      <w:r>
        <w:t xml:space="preserve"> / </w:t>
      </w:r>
      <w:r>
        <w:rPr>
          <w:rFonts w:ascii="Consolas" w:cs="Consolas" w:eastAsia="Consolas" w:hAnsi="Consolas"/>
          <w:shd w:fill="F2F1ED" w:val="clear"/>
        </w:rPr>
        <w:t xml:space="preserve">Y</w:t>
      </w:r>
      <w:r>
        <w:t xml:space="preserve"> / </w:t>
      </w:r>
      <w:r>
        <w:rPr>
          <w:rFonts w:ascii="Consolas" w:cs="Consolas" w:eastAsia="Consolas" w:hAnsi="Consolas"/>
          <w:shd w:fill="F2F1ED" w:val="clear"/>
        </w:rPr>
        <w:t xml:space="preserve">N</w:t>
      </w:r>
      <w:r>
        <w:t xml:space="preserve">) decides whether the column appears at all — </w:t>
      </w:r>
      <w:r>
        <w:rPr>
          <w:rFonts w:ascii="Consolas" w:cs="Consolas" w:eastAsia="Consolas" w:hAnsi="Consolas"/>
          <w:shd w:fill="F2F1ED" w:val="clear"/>
        </w:rPr>
        <w:t xml:space="preserve">auto</w:t>
      </w:r>
      <w:r>
        <w:t xml:space="preserve"> shows it once a note exists or a line list is set. The column travels into the Word export with the rest of the commentary.</w:t>
      </w:r>
    </w:p>
    <w:p>
      <w:pPr>
        <w:pStyle w:val="ListParagraph"/>
        <w:numPr>
          <w:ilvl w:val="0"/>
          <w:numId w:val="3"/>
        </w:numPr>
        <w:spacing w:after="100"/>
      </w:pPr>
      <w:r>
        <w:rPr>
          <w:b/>
          <w:bCs/>
        </w:rPr>
        <w:t xml:space="preserve">Renaming the page</w:t>
      </w:r>
      <w:r>
        <w:t xml:space="preserve"> — the view is named in two config places: Settings </w:t>
      </w:r>
      <w:r>
        <w:rPr>
          <w:rFonts w:ascii="Consolas" w:cs="Consolas" w:eastAsia="Consolas" w:hAnsi="Consolas"/>
          <w:shd w:fill="F2F1ED" w:val="clear"/>
        </w:rPr>
        <w:t xml:space="preserve">fsum_title</w:t>
      </w:r>
      <w:r>
        <w:t xml:space="preserve"> (the page heading, and with it the Excel title row, sheet name and workbook file name, the PowerPoint slide title and the Word commentary heading) and Labels </w:t>
      </w:r>
      <w:r>
        <w:rPr>
          <w:rFonts w:ascii="Consolas" w:cs="Consolas" w:eastAsia="Consolas" w:hAnsi="Consolas"/>
          <w:shd w:fill="F2F1ED" w:val="clear"/>
        </w:rPr>
        <w:t xml:space="preserve">nav_fsum</w:t>
      </w:r>
      <w:r>
        <w:t xml:space="preserve"> (the item in the left rail). Set both to the same text — </w:t>
      </w:r>
      <w:r>
        <w:rPr>
          <w:rFonts w:ascii="Consolas" w:cs="Consolas" w:eastAsia="Consolas" w:hAnsi="Consolas"/>
          <w:shd w:fill="F2F1ED" w:val="clear"/>
        </w:rPr>
        <w:t xml:space="preserve">Business Performance</w:t>
      </w:r>
      <w:r>
        <w:t xml:space="preserve">, say — and nothing anywhere still calls it the Financial Summary.</w:t>
      </w:r>
    </w:p>
    <w:p>
      <w:pPr>
        <w:spacing w:after="100"/>
        <w:ind w:left="360"/>
      </w:pPr>
      <w:r>
        <w:t xml:space="preserve">The workbook name follows the new title without repeating the entity (</w:t>
      </w:r>
      <w:r>
        <w:rPr>
          <w:rFonts w:ascii="Consolas" w:cs="Consolas" w:eastAsia="Consolas" w:hAnsi="Consolas"/>
          <w:shd w:fill="F2F1ED" w:val="clear"/>
        </w:rPr>
        <w:t xml:space="preserve">IWPB_Singapore_business_performance.xlsx</w:t>
      </w:r>
      <w:r>
        <w:t xml:space="preserve">), and a title carrying characters Excel refuses in a sheet name (</w:t>
      </w:r>
      <w:r>
        <w:rPr>
          <w:rFonts w:ascii="Consolas" w:cs="Consolas" w:eastAsia="Consolas" w:hAnsi="Consolas"/>
          <w:shd w:fill="F2F1ED" w:val="clear"/>
        </w:rPr>
        <w:t xml:space="preserve">:</w:t>
      </w:r>
      <w:r>
        <w:t xml:space="preserve"> </w:t>
      </w:r>
      <w:r>
        <w:rPr>
          <w:rFonts w:ascii="Consolas" w:cs="Consolas" w:eastAsia="Consolas" w:hAnsi="Consolas"/>
          <w:shd w:fill="F2F1ED" w:val="clear"/>
        </w:rPr>
        <w:t xml:space="preserve">/</w:t>
      </w:r>
      <w:r>
        <w:t xml:space="preserve"> </w:t>
      </w:r>
      <w:r>
        <w:rPr>
          <w:rFonts w:ascii="Consolas" w:cs="Consolas" w:eastAsia="Consolas" w:hAnsi="Consolas"/>
          <w:shd w:fill="F2F1ED" w:val="clear"/>
        </w:rPr>
        <w:t xml:space="preserve">\</w:t>
      </w:r>
      <w:r>
        <w:t xml:space="preserve"> </w:t>
      </w:r>
      <w:r>
        <w:rPr>
          <w:rFonts w:ascii="Consolas" w:cs="Consolas" w:eastAsia="Consolas" w:hAnsi="Consolas"/>
          <w:shd w:fill="F2F1ED" w:val="clear"/>
        </w:rPr>
        <w:t xml:space="preserve">?</w:t>
      </w:r>
      <w:r>
        <w:t xml:space="preserve"> </w:t>
      </w:r>
      <w:r>
        <w:rPr>
          <w:rFonts w:ascii="Consolas" w:cs="Consolas" w:eastAsia="Consolas" w:hAnsi="Consolas"/>
          <w:shd w:fill="F2F1ED" w:val="clear"/>
        </w:rPr>
        <w:t xml:space="preserve">*</w:t>
      </w:r>
      <w:r>
        <w:t xml:space="preserve"> </w:t>
      </w:r>
      <w:r>
        <w:rPr>
          <w:rFonts w:ascii="Consolas" w:cs="Consolas" w:eastAsia="Consolas" w:hAnsi="Consolas"/>
          <w:shd w:fill="F2F1ED" w:val="clear"/>
        </w:rPr>
        <w:t xml:space="preserve">[</w:t>
      </w:r>
      <w:r>
        <w:t xml:space="preserve"> </w:t>
      </w:r>
      <w:r>
        <w:rPr>
          <w:rFonts w:ascii="Consolas" w:cs="Consolas" w:eastAsia="Consolas" w:hAnsi="Consolas"/>
          <w:shd w:fill="F2F1ED" w:val="clear"/>
        </w:rPr>
        <w:t xml:space="preserve">]</w:t>
      </w:r>
      <w:r>
        <w:t xml:space="preserve">) keeps them on the page while the sheet takes a cleaned, 31-character version. The same pair of keys renames any other view: </w:t>
      </w:r>
      <w:r>
        <w:rPr>
          <w:rFonts w:ascii="Consolas" w:cs="Consolas" w:eastAsia="Consolas" w:hAnsi="Consolas"/>
          <w:shd w:fill="F2F1ED" w:val="clear"/>
        </w:rPr>
        <w:t xml:space="preserve">landing_title</w:t>
      </w:r>
      <w:r>
        <w:t xml:space="preserve"> + </w:t>
      </w:r>
      <w:r>
        <w:rPr>
          <w:rFonts w:ascii="Consolas" w:cs="Consolas" w:eastAsia="Consolas" w:hAnsi="Consolas"/>
          <w:shd w:fill="F2F1ED" w:val="clear"/>
        </w:rPr>
        <w:t xml:space="preserve">nav_summary</w:t>
      </w:r>
      <w:r>
        <w:t xml:space="preserve"> for the KPI summary, </w:t>
      </w:r>
      <w:r>
        <w:rPr>
          <w:rFonts w:ascii="Consolas" w:cs="Consolas" w:eastAsia="Consolas" w:hAnsi="Consolas"/>
          <w:shd w:fill="F2F1ED" w:val="clear"/>
        </w:rPr>
        <w:t xml:space="preserve">nav_custom</w:t>
      </w:r>
      <w:r>
        <w:t xml:space="preserve">, </w:t>
      </w:r>
      <w:r>
        <w:rPr>
          <w:rFonts w:ascii="Consolas" w:cs="Consolas" w:eastAsia="Consolas" w:hAnsi="Consolas"/>
          <w:shd w:fill="F2F1ED" w:val="clear"/>
        </w:rPr>
        <w:t xml:space="preserve">nav_builder</w:t>
      </w:r>
      <w:r>
        <w:t xml:space="preserve">, </w:t>
      </w:r>
      <w:r>
        <w:rPr>
          <w:rFonts w:ascii="Consolas" w:cs="Consolas" w:eastAsia="Consolas" w:hAnsi="Consolas"/>
          <w:shd w:fill="F2F1ED" w:val="clear"/>
        </w:rPr>
        <w:t xml:space="preserve">nav_query</w:t>
      </w:r>
      <w:r>
        <w:t xml:space="preserve">, </w:t>
      </w:r>
      <w:r>
        <w:rPr>
          <w:rFonts w:ascii="Consolas" w:cs="Consolas" w:eastAsia="Consolas" w:hAnsi="Consolas"/>
          <w:shd w:fill="F2F1ED" w:val="clear"/>
        </w:rPr>
        <w:t xml:space="preserve">nav_table</w:t>
      </w:r>
      <w:r>
        <w:t xml:space="preserve">, </w:t>
      </w:r>
      <w:r>
        <w:rPr>
          <w:rFonts w:ascii="Consolas" w:cs="Consolas" w:eastAsia="Consolas" w:hAnsi="Consolas"/>
          <w:shd w:fill="F2F1ED" w:val="clear"/>
        </w:rPr>
        <w:t xml:space="preserve">nav_assist</w:t>
      </w:r>
      <w:r>
        <w:t xml:space="preserve">, </w:t>
      </w:r>
      <w:r>
        <w:rPr>
          <w:rFonts w:ascii="Consolas" w:cs="Consolas" w:eastAsia="Consolas" w:hAnsi="Consolas"/>
          <w:shd w:fill="F2F1ED" w:val="clear"/>
        </w:rPr>
        <w:t xml:space="preserve">nav_sim</w:t>
      </w:r>
      <w:r>
        <w:t xml:space="preserve">.</w:t>
      </w:r>
    </w:p>
    <w:p>
      <w:pPr>
        <w:pStyle w:val="ListParagraph"/>
        <w:numPr>
          <w:ilvl w:val="0"/>
          <w:numId w:val="3"/>
        </w:numPr>
        <w:spacing w:after="80"/>
      </w:pPr>
      <w:r>
        <w:rPr>
          <w:b/>
          <w:bCs/>
        </w:rPr>
        <w:t xml:space="preserve">Keeping statements apart</w:t>
      </w:r>
      <w:r>
        <w:t xml:space="preserve"> — a TM1 extract carrying both a P&amp;L and balance sheet must not add them together. </w:t>
      </w:r>
      <w:r>
        <w:rPr>
          <w:rFonts w:ascii="Consolas" w:cs="Consolas" w:eastAsia="Consolas" w:hAnsi="Consolas"/>
          <w:shd w:fill="F2F1ED" w:val="clear"/>
        </w:rPr>
        <w:t xml:space="preserve">fsum_sections</w:t>
      </w:r>
      <w:r>
        <w:t xml:space="preserve"> assigns the lines of a column (</w:t>
      </w:r>
      <w:r>
        <w:rPr>
          <w:rFonts w:ascii="Consolas" w:cs="Consolas" w:eastAsia="Consolas" w:hAnsi="Consolas"/>
          <w:shd w:fill="F2F1ED" w:val="clear"/>
        </w:rPr>
        <w:t xml:space="preserve">fsum_section_dim</w:t>
      </w:r>
      <w:r>
        <w:t xml:space="preserve">, MICA Level 1 by default) to named blocks:</w:t>
      </w:r>
    </w:p>
    <w:p>
      <w:pPr>
        <w:shd w:fill="F2F1ED" w:val="clear"/>
        <w:spacing w:after="0"/>
      </w:pPr>
      <w:r>
        <w:rPr>
          <w:rFonts w:ascii="Consolas" w:cs="Consolas" w:eastAsia="Consolas" w:hAnsi="Consolas"/>
          <w:sz w:val="18"/>
          <w:szCs w:val="18"/>
        </w:rPr>
        <w:t xml:space="preserve">Settings,fsum_sections,"P&amp;L=PBT | Balance Sheet=Deposits,Loans",,</w:t>
      </w:r>
    </w:p>
    <w:p>
      <w:pPr>
        <w:shd w:fill="F2F1ED" w:val="clear"/>
        <w:spacing w:after="0"/>
      </w:pPr>
      <w:r>
        <w:rPr>
          <w:rFonts w:ascii="Consolas" w:cs="Consolas" w:eastAsia="Consolas" w:hAnsi="Consolas"/>
          <w:sz w:val="18"/>
          <w:szCs w:val="18"/>
        </w:rPr>
        <w:t xml:space="preserve">Settings,fsum_no_total,Balance Sheet,,</w:t>
      </w:r>
    </w:p>
    <w:p>
      <w:pPr>
        <w:spacing w:after="120"/>
      </w:pPr>
    </w:p>
    <w:p>
      <w:pPr>
        <w:spacing w:after="140"/>
        <w:ind w:left="360"/>
      </w:pPr>
      <w:r>
        <w:t xml:space="preserve">The Financial Summary then shows the P&amp;L lines cascading into PBT, and Deposits and Loans as separate balance-sheet lines beneath — with no total across the two, and none within a block named in </w:t>
      </w:r>
      <w:r>
        <w:rPr>
          <w:rFonts w:ascii="Consolas" w:cs="Consolas" w:eastAsia="Consolas" w:hAnsi="Consolas"/>
          <w:shd w:fill="F2F1ED" w:val="clear"/>
        </w:rPr>
        <w:t xml:space="preserve">fsum_no_total</w:t>
      </w:r>
      <w:r>
        <w:t xml:space="preserve"> where adding the lines together would mean nothing. Lines in no block fall into a trailing block named by </w:t>
      </w:r>
      <w:r>
        <w:rPr>
          <w:rFonts w:ascii="Consolas" w:cs="Consolas" w:eastAsia="Consolas" w:hAnsi="Consolas"/>
          <w:shd w:fill="F2F1ED" w:val="clear"/>
        </w:rPr>
        <w:t xml:space="preserve">fsum_other_label</w:t>
      </w:r>
      <w:r>
        <w:t xml:space="preserve">. The Management commentary follows the same split, writing one narrative per block. </w:t>
      </w:r>
      <w:r>
        <w:rPr>
          <w:rFonts w:ascii="Consolas" w:cs="Consolas" w:eastAsia="Consolas" w:hAnsi="Consolas"/>
          <w:shd w:fill="F2F1ED" w:val="clear"/>
        </w:rPr>
        <w:t xml:space="preserve">fsum_section_dim</w:t>
      </w:r>
      <w:r>
        <w:t xml:space="preserve"> on its own (without </w:t>
      </w:r>
      <w:r>
        <w:rPr>
          <w:rFonts w:ascii="Consolas" w:cs="Consolas" w:eastAsia="Consolas" w:hAnsi="Consolas"/>
          <w:shd w:fill="F2F1ED" w:val="clear"/>
        </w:rPr>
        <w:t xml:space="preserve">fsum_sections</w:t>
      </w:r>
      <w:r>
        <w:t xml:space="preserve">) still bands the table by every value of a column, ordered by </w:t>
      </w:r>
      <w:r>
        <w:rPr>
          <w:rFonts w:ascii="Consolas" w:cs="Consolas" w:eastAsia="Consolas" w:hAnsi="Consolas"/>
          <w:shd w:fill="F2F1ED" w:val="clear"/>
        </w:rPr>
        <w:t xml:space="preserve">fsum_section_order</w:t>
      </w:r>
      <w:r>
        <w:t xml:space="preserve">.</w:t>
      </w:r>
    </w:p>
    <w:p>
      <w:pPr>
        <w:spacing w:after="140"/>
        <w:ind w:left="360"/>
      </w:pPr>
      <w:r>
        <w:t xml:space="preserve">Without declaring statements, two simpler keys do the same job in one block: </w:t>
      </w:r>
      <w:r>
        <w:rPr>
          <w:rFonts w:ascii="Consolas" w:cs="Consolas" w:eastAsia="Consolas" w:hAnsi="Consolas"/>
          <w:shd w:fill="F2F1ED" w:val="clear"/>
        </w:rPr>
        <w:t xml:space="preserve">fsum_line_order</w:t>
      </w:r>
      <w:r>
        <w:t xml:space="preserve"> fixes the order of the top-level lines (</w:t>
      </w:r>
      <w:r>
        <w:rPr>
          <w:rFonts w:ascii="Consolas" w:cs="Consolas" w:eastAsia="Consolas" w:hAnsi="Consolas"/>
          <w:shd w:fill="F2F1ED" w:val="clear"/>
        </w:rPr>
        <w:t xml:space="preserve">PBT,Deposits,Loans</w:t>
      </w:r>
      <w:r>
        <w:t xml:space="preserve"> puts the balance-sheet lines below the P&amp;L), and </w:t>
      </w:r>
      <w:r>
        <w:rPr>
          <w:rFonts w:ascii="Consolas" w:cs="Consolas" w:eastAsia="Consolas" w:hAnsi="Consolas"/>
          <w:shd w:fill="F2F1ED" w:val="clear"/>
        </w:rPr>
        <w:t xml:space="preserve">fsum_total</w:t>
      </w:r>
      <w:r>
        <w:t xml:space="preserve"> set to </w:t>
      </w:r>
      <w:r>
        <w:rPr>
          <w:rFonts w:ascii="Consolas" w:cs="Consolas" w:eastAsia="Consolas" w:hAnsi="Consolas"/>
          <w:shd w:fill="F2F1ED" w:val="clear"/>
        </w:rPr>
        <w:t xml:space="preserve">N</w:t>
      </w:r>
      <w:r>
        <w:t xml:space="preserve"> removes every total row from the table, the commentary and both exports.</w:t>
      </w:r>
    </w:p>
    <w:p>
      <w:pPr>
        <w:pStyle w:val="ListParagraph"/>
        <w:numPr>
          <w:ilvl w:val="0"/>
          <w:numId w:val="3"/>
        </w:numPr>
        <w:spacing w:after="80"/>
      </w:pPr>
      <w:r>
        <w:rPr>
          <w:b/>
          <w:bCs/>
        </w:rPr>
        <w:t xml:space="preserve">Management commentary</w:t>
      </w:r>
      <w:r>
        <w:t xml:space="preserve"> — the reporting pack's own wording, generated from the file. A heading naming the comparison, an opener giving the result and what moved it, then each line of the statement with its variance in F/A notation and the movements behind it:</w:t>
      </w:r>
    </w:p>
    <w:p>
      <w:pPr>
        <w:shd w:fill="F2F1ED" w:val="clear"/>
        <w:spacing w:after="0"/>
      </w:pPr>
      <w:r>
        <w:rPr>
          <w:rFonts w:ascii="Consolas" w:cs="Consolas" w:eastAsia="Consolas" w:hAnsi="Consolas"/>
          <w:sz w:val="18"/>
          <w:szCs w:val="18"/>
        </w:rPr>
        <w:t xml:space="preserve">(JUN) FY Forecast Vs FY26 target (ex notables):</w:t>
      </w:r>
    </w:p>
    <w:p>
      <w:pPr>
        <w:shd w:fill="F2F1ED" w:val="clear"/>
        <w:spacing w:after="0"/>
      </w:pPr>
      <w:r>
        <w:rPr>
          <w:rFonts w:ascii="Consolas" w:cs="Consolas" w:eastAsia="Consolas" w:hAnsi="Consolas"/>
          <w:sz w:val="18"/>
          <w:szCs w:val="18"/>
        </w:rPr>
        <w:t xml:space="preserve">(JUN) FY Forecast PBT is $(4,067)m down vs FY26 target driven by lower</w:t>
      </w:r>
    </w:p>
    <w:p>
      <w:pPr>
        <w:shd w:fill="F2F1ED" w:val="clear"/>
        <w:spacing w:after="0"/>
      </w:pPr>
      <w:r>
        <w:rPr>
          <w:rFonts w:ascii="Consolas" w:cs="Consolas" w:eastAsia="Consolas" w:hAnsi="Consolas"/>
          <w:sz w:val="18"/>
          <w:szCs w:val="18"/>
        </w:rPr>
        <w:t xml:space="preserve">Revenue ($109mA / 1.3%), lower Total Direct Cost ($110mF / 3.2%) …</w:t>
      </w:r>
    </w:p>
    <w:p>
      <w:pPr>
        <w:shd w:fill="F2F1ED" w:val="clear"/>
        <w:spacing w:after="0"/>
      </w:pPr>
      <w:r>
        <w:rPr>
          <w:rFonts w:ascii="Consolas" w:cs="Consolas" w:eastAsia="Consolas" w:hAnsi="Consolas"/>
          <w:sz w:val="18"/>
          <w:szCs w:val="18"/>
        </w:rPr>
        <w:t xml:space="preserve">Revenue of $8,379m is $109mA / 1.3% (ex notables):</w:t>
      </w:r>
    </w:p>
    <w:p>
      <w:pPr>
        <w:shd w:fill="F2F1ED" w:val="clear"/>
        <w:spacing w:after="0"/>
      </w:pPr>
      <w:r>
        <w:rPr>
          <w:rFonts w:ascii="Consolas" w:cs="Consolas" w:eastAsia="Consolas" w:hAnsi="Consolas"/>
          <w:sz w:val="18"/>
          <w:szCs w:val="18"/>
        </w:rPr>
        <w:t xml:space="preserve">  • NII - Interest Income $36mA / 0.9% driven by …</w:t>
      </w:r>
    </w:p>
    <w:p>
      <w:pPr>
        <w:spacing w:after="120"/>
      </w:pPr>
    </w:p>
    <w:p>
      <w:pPr>
        <w:spacing w:after="140"/>
        <w:ind w:left="360"/>
      </w:pPr>
      <w:r>
        <w:t xml:space="preserve">The comparison follows the selected </w:t>
      </w:r>
      <w:r>
        <w:rPr>
          <w:b/>
          <w:bCs/>
        </w:rPr>
        <w:t xml:space="preserve">Variance period</w:t>
      </w:r>
      <w:r>
        <w:t xml:space="preserve">, so the same generator writes the vs-forecast, vs-target and vs-prior-year versions. Balance-sheet lines are reported after the statement, never inside it. </w:t>
      </w:r>
      <w:r>
        <w:rPr>
          <w:rFonts w:ascii="Consolas" w:cs="Consolas" w:eastAsia="Consolas" w:hAnsi="Consolas"/>
          <w:shd w:fill="F2F1ED" w:val="clear"/>
        </w:rPr>
        <w:t xml:space="preserve">commentary_format</w:t>
      </w:r>
      <w:r>
        <w:t xml:space="preserve"> picks </w:t>
      </w:r>
      <w:r>
        <w:rPr>
          <w:rFonts w:ascii="Consolas" w:cs="Consolas" w:eastAsia="Consolas" w:hAnsi="Consolas"/>
          <w:shd w:fill="F2F1ED" w:val="clear"/>
        </w:rPr>
        <w:t xml:space="preserve">slide</w:t>
      </w:r>
      <w:r>
        <w:t xml:space="preserve"> (this) or </w:t>
      </w:r>
      <w:r>
        <w:rPr>
          <w:rFonts w:ascii="Consolas" w:cs="Consolas" w:eastAsia="Consolas" w:hAnsi="Consolas"/>
          <w:shd w:fill="F2F1ED" w:val="clear"/>
        </w:rPr>
        <w:t xml:space="preserve">house</w:t>
      </w:r>
      <w:r>
        <w:t xml:space="preserve"> (the earlier cascading style), </w:t>
      </w:r>
      <w:r>
        <w:rPr>
          <w:rFonts w:ascii="Consolas" w:cs="Consolas" w:eastAsia="Consolas" w:hAnsi="Consolas"/>
          <w:shd w:fill="F2F1ED" w:val="clear"/>
        </w:rPr>
        <w:t xml:space="preserve">commentary_levels</w:t>
      </w:r>
      <w:r>
        <w:t xml:space="preserve"> sets the cascade, </w:t>
      </w:r>
      <w:r>
        <w:rPr>
          <w:rFonts w:ascii="Consolas" w:cs="Consolas" w:eastAsia="Consolas" w:hAnsi="Consolas"/>
          <w:shd w:fill="F2F1ED" w:val="clear"/>
        </w:rPr>
        <w:t xml:space="preserve">commentary_dim</w:t>
      </w:r>
      <w:r>
        <w:t xml:space="preserve"> the dimension the "driven by" clauses cut by, </w:t>
      </w:r>
      <w:r>
        <w:rPr>
          <w:rFonts w:ascii="Consolas" w:cs="Consolas" w:eastAsia="Consolas" w:hAnsi="Consolas"/>
          <w:shd w:fill="F2F1ED" w:val="clear"/>
        </w:rPr>
        <w:t xml:space="preserve">commentary_drivers</w:t>
      </w:r>
      <w:r>
        <w:t xml:space="preserve"> how many are named, and </w:t>
      </w:r>
      <w:r>
        <w:rPr>
          <w:rFonts w:ascii="Consolas" w:cs="Consolas" w:eastAsia="Consolas" w:hAnsi="Consolas"/>
          <w:shd w:fill="F2F1ED" w:val="clear"/>
        </w:rPr>
        <w:t xml:space="preserve">commentary_headline</w:t>
      </w:r>
      <w:r>
        <w:t xml:space="preserve"> / </w:t>
      </w:r>
      <w:r>
        <w:rPr>
          <w:rFonts w:ascii="Consolas" w:cs="Consolas" w:eastAsia="Consolas" w:hAnsi="Consolas"/>
          <w:shd w:fill="F2F1ED" w:val="clear"/>
        </w:rPr>
        <w:t xml:space="preserve">commentary_note</w:t>
      </w:r>
      <w:r>
        <w:t xml:space="preserve"> the wording of the heading.</w:t>
      </w:r>
    </w:p>
    <w:p>
      <w:pPr>
        <w:spacing w:after="140"/>
        <w:ind w:left="360"/>
      </w:pPr>
      <w:r>
        <w:rPr>
          <w:b/>
          <w:bCs/>
        </w:rPr>
        <w:t xml:space="preserve">A sentence names the movers, not every mover.</w:t>
      </w:r>
      <w:r>
        <w:t xml:space="preserve"> A reader can hold three or four in their head; past that the sentence is a list, and a list of everything explains nothing. So movers are named biggest first until between them they account for the movement — </w:t>
      </w:r>
      <w:r>
        <w:rPr>
          <w:rFonts w:ascii="Consolas" w:cs="Consolas" w:eastAsia="Consolas" w:hAnsi="Consolas"/>
          <w:shd w:fill="F2F1ED" w:val="clear"/>
        </w:rPr>
        <w:t xml:space="preserve">commentary_driver_cover</w:t>
      </w:r>
      <w:r>
        <w:t xml:space="preserve">, 80% by default — and anything below </w:t>
      </w:r>
      <w:r>
        <w:rPr>
          <w:rFonts w:ascii="Consolas" w:cs="Consolas" w:eastAsia="Consolas" w:hAnsi="Consolas"/>
          <w:shd w:fill="F2F1ED" w:val="clear"/>
        </w:rPr>
        <w:t xml:space="preserve">commentary_driver_floor</w:t>
      </w:r>
      <w:r>
        <w:t xml:space="preserve"> (3% of the line's own variance) is left out. A mover that rounds to zero in the unit it prints in is never named at all: </w:t>
      </w:r>
      <w:r>
        <w:rPr>
          <w:i/>
          <w:iCs/>
        </w:rPr>
        <w:t xml:space="preserve">"$0mF 0%"</w:t>
      </w:r>
      <w:r>
        <w:t xml:space="preserve"> is not a reason. The same rule governs the management commentary, the Financial Summary blocks, the chart blocks and the six bases, so no view can drift into a data dump on its own. Every F/A figure is coloured by favourability — F green, A red — in the page and in the Word export alike (</w:t>
      </w:r>
      <w:r>
        <w:rPr>
          <w:rFonts w:ascii="Consolas" w:cs="Consolas" w:eastAsia="Consolas" w:hAnsi="Consolas"/>
          <w:shd w:fill="F2F1ED" w:val="clear"/>
        </w:rPr>
        <w:t xml:space="preserve">commentary_fa_colours</w:t>
      </w:r>
      <w:r>
        <w:t xml:space="preserve"> switches it off).</w:t>
      </w:r>
    </w:p>
    <w:p>
      <w:pPr>
        <w:spacing w:after="140"/>
        <w:ind w:left="360"/>
      </w:pPr>
      <w:r>
        <w:rPr>
          <w:b/>
          <w:bCs/>
        </w:rPr>
        <w:t xml:space="preserve">⤓ Word</w:t>
      </w:r>
      <w:r>
        <w:t xml:space="preserve"> writes the commentary as it stands on the page — your edits included — to a real .docx, keeping the bold figures, the underlined heading and the bullets. The Financial Summary's own </w:t>
      </w:r>
      <w:r>
        <w:rPr>
          <w:b/>
          <w:bCs/>
        </w:rPr>
        <w:t xml:space="preserve">⤓ Word</w:t>
      </w:r>
      <w:r>
        <w:t xml:space="preserve"> puts that page's commentary and the management commentary in one document. The file is assembled in the browser (a .docx is a zip of XML parts, written uncompressed), so it needs no library and nothing leaves the page.</w:t>
      </w:r>
    </w:p>
    <w:p>
      <w:pPr>
        <w:pStyle w:val="ListParagraph"/>
        <w:numPr>
          <w:ilvl w:val="0"/>
          <w:numId w:val="3"/>
        </w:numPr>
        <w:spacing w:after="100"/>
      </w:pPr>
      <w:r>
        <w:rPr>
          <w:b/>
          <w:bCs/>
        </w:rPr>
        <w:t xml:space="preserve">Variance period</w:t>
      </w:r>
      <w:r>
        <w:t xml:space="preserve"> — a left-pane selector (Period &amp; RAG) that sets the comparison every view is rated on: YTD vs PY, MoM, Month vs Target, YTD vs Target, YTD vs Forecast, FY vs Target, FY vs PY. The option labels are built from the selected YTD-through month, so they re-date themselves — pick MAY and MoM reads </w:t>
      </w:r>
      <w:r>
        <w:rPr>
          <w:i/>
          <w:iCs/>
        </w:rPr>
        <w:t xml:space="preserve">MAY-26 vs APR-26</w:t>
      </w:r>
      <w:r>
        <w:t xml:space="preserve">. Tiles, trajectory, Mix analysis, breakdowns, dashboard cards, the management commentary, the MI Assistant and both exports all follow the selection; </w:t>
      </w:r>
      <w:r>
        <w:rPr>
          <w:b/>
          <w:bCs/>
        </w:rPr>
        <w:t xml:space="preserve">Auto</w:t>
      </w:r>
      <w:r>
        <w:t xml:space="preserve"> keeps the file's default basis (</w:t>
      </w:r>
      <w:r>
        <w:rPr>
          <w:rFonts w:ascii="Consolas" w:cs="Consolas" w:eastAsia="Consolas" w:hAnsi="Consolas"/>
          <w:shd w:fill="F2F1ED" w:val="clear"/>
        </w:rPr>
        <w:t xml:space="preserve">calc_cmp_priority</w:t>
      </w:r>
      <w:r>
        <w:t xml:space="preserve">).</w:t>
      </w:r>
    </w:p>
    <w:p>
      <w:pPr>
        <w:spacing w:after="100"/>
        <w:ind w:left="360"/>
      </w:pPr>
      <w:r>
        <w:t xml:space="preserve">The performance trajectory redraws with it: a month-level basis (MoM, Month vs Target) plots the monthly shape, a YTD or FY basis the cumulative path, each against the base the period names — prior-year, phased forecast or phased target. Mix analysis, the chart builder and pinned dashboard charts re-size on the period too, until a measure is picked by hand — that choice then sticks. Month-by-month visuals (the Monthly trend widget, the mini-charts under KPI cards, the YTD actuals vs forecast widget) stay monthly by definition and do not re-base.</w:t>
      </w:r>
    </w:p>
    <w:p>
      <w:pPr>
        <w:pStyle w:val="ListParagraph"/>
        <w:numPr>
          <w:ilvl w:val="0"/>
          <w:numId w:val="3"/>
        </w:numPr>
        <w:spacing w:after="100"/>
      </w:pPr>
      <w:r>
        <w:rPr>
          <w:b/>
          <w:bCs/>
        </w:rPr>
        <w:t xml:space="preserve">MI Assistant</w:t>
      </w:r>
      <w:r>
        <w:t xml:space="preserve"> — a governed Q&amp;A page (left-pane entry) driven by </w:t>
      </w:r>
      <w:r>
        <w:rPr>
          <w:b/>
          <w:bCs/>
        </w:rPr>
        <w:t xml:space="preserve">plain language</w:t>
      </w:r>
      <w:r>
        <w:t xml:space="preserve">: type the question in your own words and a comprehension layer works out the intent (how are we doing, why did it move, what is behind, break it down by X, monthly trend, costs, ECL, target) together with anything the question names — a line, product, business line, region or country. Names are matched against the values actually in the loaded file, longest first, with the Global Business dimensions (business line, region, country) winning over the same text in an ordinary TM1 extract column — so "iwpb" reads as the business line, not the CG Level 1 code. Case does not matter except for codes that are also ordinary words (</w:t>
      </w:r>
      <w:r>
        <w:rPr>
          <w:rFonts w:ascii="Consolas" w:cs="Consolas" w:eastAsia="Consolas" w:hAnsi="Consolas"/>
          <w:shd w:fill="F2F1ED" w:val="clear"/>
        </w:rPr>
        <w:t xml:space="preserve">US</w:t>
      </w:r>
      <w:r>
        <w:t xml:space="preserve">, </w:t>
      </w:r>
      <w:r>
        <w:rPr>
          <w:rFonts w:ascii="Consolas" w:cs="Consolas" w:eastAsia="Consolas" w:hAnsi="Consolas"/>
          <w:shd w:fill="F2F1ED" w:val="clear"/>
        </w:rPr>
        <w:t xml:space="preserve">UK</w:t>
      </w:r>
      <w:r>
        <w:t xml:space="preserve">, </w:t>
      </w:r>
      <w:r>
        <w:rPr>
          <w:rFonts w:ascii="Consolas" w:cs="Consolas" w:eastAsia="Consolas" w:hAnsi="Consolas"/>
          <w:shd w:fill="F2F1ED" w:val="clear"/>
        </w:rPr>
        <w:t xml:space="preserve">IT</w:t>
      </w:r>
      <w:r>
        <w:t xml:space="preserve">), which must be capitalised. Naming two values of one dimension ("Singapore vs Malaysia", "IWPB vs CIB") is read as a comparison and ranks just those.</w:t>
      </w:r>
    </w:p>
    <w:p>
      <w:pPr>
        <w:spacing w:after="100"/>
        <w:ind w:left="360"/>
      </w:pPr>
      <w:r>
        <w:rPr>
          <w:b/>
          <w:bCs/>
        </w:rPr>
        <w:t xml:space="preserve">It asks back rather than guessing</w:t>
      </w:r>
      <w:r>
        <w:t xml:space="preserve">: a bare name offers the readings available for it, a term living in two dimensions asks which was meant, a basis the file cannot serve offers the one it can, and an unrecognised question offers what this file can answer — each as one-click options. A short follow-up ("and Malaysia?") inherits the previous question.</w:t>
      </w:r>
    </w:p>
    <w:p>
      <w:pPr>
        <w:spacing w:after="100"/>
        <w:ind w:left="360"/>
      </w:pPr>
      <w:r>
        <w:t xml:space="preserve">Behind it sit the approved analyses (performance, lines behind forecast, FY target, top/dragging products, costs, ECL, prior year, contribution mix, movement drivers, dimension breakdowns, monthly trend, geography comparisons) answered deterministically in the browser from the filtered data on the standard comparison basis, plus geography comparisons — countries, regions and business lines side by side with share and RAG.</w:t>
      </w:r>
    </w:p>
    <w:p>
      <w:pPr>
        <w:spacing w:after="100"/>
        <w:ind w:left="360"/>
      </w:pPr>
      <w:r>
        <w:t xml:space="preserve">Answers respect the active Global Business scope (stated in each answer's note), and naming a business line, region or country in a question ("How is Singapore doing?", "CIB costs") answers for that slice without changing the page scope. Free-text questions are matched to the governed set; anything outside it is declined. Nothing leaves the page.</w:t>
      </w:r>
    </w:p>
    <w:p>
      <w:pPr>
        <w:pStyle w:val="ListParagraph"/>
        <w:numPr>
          <w:ilvl w:val="0"/>
          <w:numId w:val="3"/>
        </w:numPr>
        <w:spacing w:after="100"/>
      </w:pPr>
      <w:r>
        <w:rPr>
          <w:b/>
          <w:bCs/>
        </w:rPr>
        <w:t xml:space="preserve">Simulation Assistant</w:t>
      </w:r>
      <w:r>
        <w:t xml:space="preserve"> — what-if simulations on the forecast months. Build any number of ordered rules, each scoped to any dimension value (or all rows) with three adjustment types: % change, add amount (spread over the chosen months, pro-rata across matching rows), or set the monthly total. Each rule also carries an </w:t>
      </w:r>
      <w:r>
        <w:rPr>
          <w:b/>
          <w:bCs/>
        </w:rPr>
        <w:t xml:space="preserve">Apply to</w:t>
      </w:r>
      <w:r>
        <w:t xml:space="preserve"> choice — P&amp;L + balances (default), P&amp;L only, or Balances only — because a product scope such as Product Level 4 = Deposits legitimately tags both the deposit balances and the deposit NII lines; pinning the rule to one statement stops the other side from moving, and the assistant warns when a rule's scope straddles both statements.</w:t>
      </w:r>
    </w:p>
    <w:p>
      <w:pPr>
        <w:spacing w:after="100"/>
        <w:ind w:left="360"/>
      </w:pPr>
      <w:r>
        <w:t xml:space="preserve">The prior forecast stays untouched; the page shows prior vs simulated FY outlook, the delta, both against the FY target, a monthly chart (actuals, prior forecast, simulated forecast) and an impact table listing only the lines the simulation actually moves, with Excel export. A simulation whose scope is entirely balance-sheet rows reports on the closing-balance basis in </w:t>
      </w:r>
      <w:r>
        <w:rPr>
          <w:rFonts w:ascii="Consolas" w:cs="Consolas" w:eastAsia="Consolas" w:hAnsi="Consolas"/>
          <w:shd w:fill="F2F1ED" w:val="clear"/>
        </w:rPr>
        <w:t xml:space="preserve">US$bn</w:t>
      </w:r>
      <w:r>
        <w:t xml:space="preserve"> — the last forecast month's closing position, never a sum of monthly balances — and mixed scopes total the P&amp;L side only, with balances stated separately. A </w:t>
      </w:r>
      <w:r>
        <w:rPr>
          <w:b/>
          <w:bCs/>
        </w:rPr>
        <w:t xml:space="preserve">Forecast by month</w:t>
      </w:r>
      <w:r>
        <w:t xml:space="preserve"> table sits under the impact table: every forecast month with its prior forecast, its simulated figure and the movement between them. A P&amp;L foots to the sum of those months; a balance never does — each month is a closing position and the foot is the closing month, so the months are never added up.</w:t>
      </w:r>
    </w:p>
    <w:p>
      <w:pPr>
        <w:spacing w:after="100"/>
        <w:ind w:left="360"/>
      </w:pPr>
      <w:r>
        <w:rPr>
          <w:b/>
          <w:bCs/>
        </w:rPr>
        <w:t xml:space="preserve">⤓ Excel</w:t>
      </w:r>
      <w:r>
        <w:t xml:space="preserve"> sits on the result itself and carries both tables, the impact on one sheet and the month-by-month on another. Each sheet opens with what was run and over what: the simulation's name and category, the scope in force (business, region, country, month), the basis and units, the forecast months and the source file — then a rule table setting out how it was applied, one row per rule with its scope, its second condition, the statement it touches, the adjustment, the change and the months — and then the figures.</w:t>
      </w:r>
    </w:p>
    <w:p>
      <w:pPr>
        <w:spacing w:after="100"/>
        <w:ind w:left="360"/>
      </w:pPr>
      <w:r>
        <w:rPr>
          <w:b/>
          <w:bCs/>
        </w:rPr>
        <w:t xml:space="preserve">Compare simulations</w:t>
      </w:r>
      <w:r>
        <w:t xml:space="preserve"> runs any number of saved simulations side by side against the prior forecast — the picker groups them by their Category — with a chart, an FY outlook table and a </w:t>
      </w:r>
      <w:r>
        <w:rPr>
          <w:b/>
          <w:bCs/>
        </w:rPr>
        <w:t xml:space="preserve">Comparison by month</w:t>
      </w:r>
      <w:r>
        <w:t xml:space="preserve"> table: the prior forecast path with each simulation in its own column, footing to the sum of the forecast months. Its </w:t>
      </w:r>
      <w:r>
        <w:rPr>
          <w:b/>
          <w:bCs/>
        </w:rPr>
        <w:t xml:space="preserve">⤓ Excel</w:t>
      </w:r>
      <w:r>
        <w:t xml:space="preserve"> carries the FY comparison on one sheet and the month-by-month on another, each opening with the scope, units and a rule table naming how every simulation in the comparison is applied. Simulations save by name (localStorage) for reload; the work-in-progress simulation survives refreshes.</w:t>
      </w:r>
    </w:p>
    <w:p>
      <w:pPr>
        <w:spacing w:after="140"/>
        <w:ind w:left="360"/>
      </w:pPr>
      <w:r>
        <w:rPr>
          <w:b/>
          <w:bCs/>
        </w:rPr>
        <w:t xml:space="preserve">Pre-loaded simulations from the config pack</w:t>
      </w:r>
      <w:r>
        <w:t xml:space="preserve"> — an optional </w:t>
      </w:r>
      <w:r>
        <w:rPr>
          <w:rFonts w:ascii="Consolas" w:cs="Consolas" w:eastAsia="Consolas" w:hAnsi="Consolas"/>
          <w:shd w:fill="F2F1ED" w:val="clear"/>
        </w:rPr>
        <w:t xml:space="preserve">Simulations</w:t>
      </w:r>
      <w:r>
        <w:t xml:space="preserve"> sheet in the configuration workbook ships ready-made simulations to every user who opens the dashboard, instead of each living in one person's browser. Columns: </w:t>
      </w:r>
      <w:r>
        <w:rPr>
          <w:rFonts w:ascii="Consolas" w:cs="Consolas" w:eastAsia="Consolas" w:hAnsi="Consolas"/>
          <w:shd w:fill="F2F1ED" w:val="clear"/>
        </w:rPr>
        <w:t xml:space="preserve">Simulation | Dim | Value | Dim2 | Value2 | Statement | Type | Change | From | To | Category</w:t>
      </w:r>
      <w:r>
        <w:t xml:space="preserve">.</w:t>
      </w:r>
    </w:p>
    <w:p>
      <w:pPr>
        <w:spacing w:after="140"/>
        <w:ind w:left="360"/>
      </w:pPr>
      <w:r>
        <w:t xml:space="preserve">Rows sharing a Simulation name become one multi-rule simulation, and </w:t>
      </w:r>
      <w:r>
        <w:rPr>
          <w:rFonts w:ascii="Consolas" w:cs="Consolas" w:eastAsia="Consolas" w:hAnsi="Consolas"/>
          <w:shd w:fill="F2F1ED" w:val="clear"/>
        </w:rPr>
        <w:t xml:space="preserve">Category</w:t>
      </w:r>
      <w:r>
        <w:t xml:space="preserve"> files it on the page — the Saved simulations list and the compare picker group under those headings (Cost, Macroeconomic, Geopolitical, or whatever the sheet says), with anything a person saved themselves last under </w:t>
      </w:r>
      <w:r>
        <w:rPr>
          <w:b/>
          <w:bCs/>
        </w:rPr>
        <w:t xml:space="preserve">My simulations</w:t>
      </w:r>
      <w:r>
        <w:t xml:space="preserve">. (A sheet still named </w:t>
      </w:r>
      <w:r>
        <w:rPr>
          <w:rFonts w:ascii="Consolas" w:cs="Consolas" w:eastAsia="Consolas" w:hAnsi="Consolas"/>
          <w:shd w:fill="F2F1ED" w:val="clear"/>
        </w:rPr>
        <w:t xml:space="preserve">Scenarios</w:t>
      </w:r>
      <w:r>
        <w:t xml:space="preserve">, the tab's earlier name, is read exactly the same way, so packs already in circulation keep working.) </w:t>
      </w:r>
      <w:r>
        <w:rPr>
          <w:rFonts w:ascii="Consolas" w:cs="Consolas" w:eastAsia="Consolas" w:hAnsi="Consolas"/>
          <w:shd w:fill="F2F1ED" w:val="clear"/>
        </w:rPr>
        <w:t xml:space="preserve">Dim</w:t>
      </w:r>
      <w:r>
        <w:t xml:space="preserve">/</w:t>
      </w:r>
      <w:r>
        <w:rPr>
          <w:rFonts w:ascii="Consolas" w:cs="Consolas" w:eastAsia="Consolas" w:hAnsi="Consolas"/>
          <w:shd w:fill="F2F1ED" w:val="clear"/>
        </w:rPr>
        <w:t xml:space="preserve">Value</w:t>
      </w:r>
      <w:r>
        <w:t xml:space="preserve"> is the main scope (e.g. </w:t>
      </w:r>
      <w:r>
        <w:rPr>
          <w:rFonts w:ascii="Consolas" w:cs="Consolas" w:eastAsia="Consolas" w:hAnsi="Consolas"/>
          <w:shd w:fill="F2F1ED" w:val="clear"/>
        </w:rPr>
        <w:t xml:space="preserve">MICA Level 3</w:t>
      </w:r>
      <w:r>
        <w:t xml:space="preserve"> = </w:t>
      </w:r>
      <w:r>
        <w:rPr>
          <w:rFonts w:ascii="Consolas" w:cs="Consolas" w:eastAsia="Consolas" w:hAnsi="Consolas"/>
          <w:shd w:fill="F2F1ED" w:val="clear"/>
        </w:rPr>
        <w:t xml:space="preserve">NII - Net Interest Income</w:t>
      </w:r>
      <w:r>
        <w:t xml:space="preserve">); </w:t>
      </w:r>
      <w:r>
        <w:rPr>
          <w:rFonts w:ascii="Consolas" w:cs="Consolas" w:eastAsia="Consolas" w:hAnsi="Consolas"/>
          <w:shd w:fill="F2F1ED" w:val="clear"/>
        </w:rPr>
        <w:t xml:space="preserve">Dim2</w:t>
      </w:r>
      <w:r>
        <w:t xml:space="preserve">/</w:t>
      </w:r>
      <w:r>
        <w:rPr>
          <w:rFonts w:ascii="Consolas" w:cs="Consolas" w:eastAsia="Consolas" w:hAnsi="Consolas"/>
          <w:shd w:fill="F2F1ED" w:val="clear"/>
        </w:rPr>
        <w:t xml:space="preserve">Value2</w:t>
      </w:r>
      <w:r>
        <w:t xml:space="preserve"> is an optional second condition — a line </w:t>
      </w:r>
      <w:r>
        <w:rPr>
          <w:i/>
          <w:iCs/>
        </w:rPr>
        <w:t xml:space="preserve">within</w:t>
      </w:r>
      <w:r>
        <w:t xml:space="preserve"> a geography — shown on the rule as "· within Region = MENAT" (dims accepted: Country, Region, Business, MICA Level 1–4, Product Level 1–3).</w:t>
      </w:r>
    </w:p>
    <w:p>
      <w:pPr>
        <w:spacing w:after="140"/>
        <w:ind w:left="360"/>
      </w:pPr>
      <w:r>
        <w:rPr>
          <w:rFonts w:ascii="Consolas" w:cs="Consolas" w:eastAsia="Consolas" w:hAnsi="Consolas"/>
          <w:shd w:fill="F2F1ED" w:val="clear"/>
        </w:rPr>
        <w:t xml:space="preserve">Statement</w:t>
      </w:r>
      <w:r>
        <w:t xml:space="preserve"> is </w:t>
      </w:r>
      <w:r>
        <w:rPr>
          <w:rFonts w:ascii="Consolas" w:cs="Consolas" w:eastAsia="Consolas" w:hAnsi="Consolas"/>
          <w:shd w:fill="F2F1ED" w:val="clear"/>
        </w:rPr>
        <w:t xml:space="preserve">pl</w:t>
      </w:r>
      <w:r>
        <w:t xml:space="preserve">, </w:t>
      </w:r>
      <w:r>
        <w:rPr>
          <w:rFonts w:ascii="Consolas" w:cs="Consolas" w:eastAsia="Consolas" w:hAnsi="Consolas"/>
          <w:shd w:fill="F2F1ED" w:val="clear"/>
        </w:rPr>
        <w:t xml:space="preserve">bs</w:t>
      </w:r>
      <w:r>
        <w:t xml:space="preserve"> or </w:t>
      </w:r>
      <w:r>
        <w:rPr>
          <w:rFonts w:ascii="Consolas" w:cs="Consolas" w:eastAsia="Consolas" w:hAnsi="Consolas"/>
          <w:shd w:fill="F2F1ED" w:val="clear"/>
        </w:rPr>
        <w:t xml:space="preserve">all</w:t>
      </w:r>
      <w:r>
        <w:t xml:space="preserve">; </w:t>
      </w:r>
      <w:r>
        <w:rPr>
          <w:rFonts w:ascii="Consolas" w:cs="Consolas" w:eastAsia="Consolas" w:hAnsi="Consolas"/>
          <w:shd w:fill="F2F1ED" w:val="clear"/>
        </w:rPr>
        <w:t xml:space="preserve">Type</w:t>
      </w:r>
      <w:r>
        <w:t xml:space="preserve"> is </w:t>
      </w:r>
      <w:r>
        <w:rPr>
          <w:rFonts w:ascii="Consolas" w:cs="Consolas" w:eastAsia="Consolas" w:hAnsi="Consolas"/>
          <w:shd w:fill="F2F1ED" w:val="clear"/>
        </w:rPr>
        <w:t xml:space="preserve">pct</w:t>
      </w:r>
      <w:r>
        <w:t xml:space="preserve"> (% change), </w:t>
      </w:r>
      <w:r>
        <w:rPr>
          <w:rFonts w:ascii="Consolas" w:cs="Consolas" w:eastAsia="Consolas" w:hAnsi="Consolas"/>
          <w:shd w:fill="F2F1ED" w:val="clear"/>
        </w:rPr>
        <w:t xml:space="preserve">pctfy</w:t>
      </w:r>
      <w:r>
        <w:t xml:space="preserve"> (% of full year), </w:t>
      </w:r>
      <w:r>
        <w:rPr>
          <w:rFonts w:ascii="Consolas" w:cs="Consolas" w:eastAsia="Consolas" w:hAnsi="Consolas"/>
          <w:shd w:fill="F2F1ED" w:val="clear"/>
        </w:rPr>
        <w:t xml:space="preserve">amt</w:t>
      </w:r>
      <w:r>
        <w:t xml:space="preserve"> (add amount) or </w:t>
      </w:r>
      <w:r>
        <w:rPr>
          <w:rFonts w:ascii="Consolas" w:cs="Consolas" w:eastAsia="Consolas" w:hAnsi="Consolas"/>
          <w:shd w:fill="F2F1ED" w:val="clear"/>
        </w:rPr>
        <w:t xml:space="preserve">setm</w:t>
      </w:r>
      <w:r>
        <w:t xml:space="preserve"> (set monthly total); </w:t>
      </w:r>
      <w:r>
        <w:rPr>
          <w:rFonts w:ascii="Consolas" w:cs="Consolas" w:eastAsia="Consolas" w:hAnsi="Consolas"/>
          <w:shd w:fill="F2F1ED" w:val="clear"/>
        </w:rPr>
        <w:t xml:space="preserve">Change</w:t>
      </w:r>
      <w:r>
        <w:t xml:space="preserve"> is the number; </w:t>
      </w:r>
      <w:r>
        <w:rPr>
          <w:rFonts w:ascii="Consolas" w:cs="Consolas" w:eastAsia="Consolas" w:hAnsi="Consolas"/>
          <w:shd w:fill="F2F1ED" w:val="clear"/>
        </w:rPr>
        <w:t xml:space="preserve">From</w:t>
      </w:r>
      <w:r>
        <w:t xml:space="preserve">/</w:t>
      </w:r>
      <w:r>
        <w:rPr>
          <w:rFonts w:ascii="Consolas" w:cs="Consolas" w:eastAsia="Consolas" w:hAnsi="Consolas"/>
          <w:shd w:fill="F2F1ED" w:val="clear"/>
        </w:rPr>
        <w:t xml:space="preserve">To</w:t>
      </w:r>
      <w:r>
        <w:t xml:space="preserve"> are month names (</w:t>
      </w:r>
      <w:r>
        <w:rPr>
          <w:rFonts w:ascii="Consolas" w:cs="Consolas" w:eastAsia="Consolas" w:hAnsi="Consolas"/>
          <w:shd w:fill="F2F1ED" w:val="clear"/>
        </w:rPr>
        <w:t xml:space="preserve">AUG</w:t>
      </w:r>
      <w:r>
        <w:t xml:space="preserve">…</w:t>
      </w:r>
      <w:r>
        <w:rPr>
          <w:rFonts w:ascii="Consolas" w:cs="Consolas" w:eastAsia="Consolas" w:hAnsi="Consolas"/>
          <w:shd w:fill="F2F1ED" w:val="clear"/>
        </w:rPr>
        <w:t xml:space="preserve">DEC</w:t>
      </w:r>
      <w:r>
        <w:t xml:space="preserve">). Seeding happens when the config loads and never overwrites a simulation the user already saved under the same name; a seeded rule whose scope matches nothing in the loaded TM1 extract shows the usual "no rows match" note rather than silently doing nothing.</w:t>
      </w:r>
    </w:p>
    <w:p>
      <w:pPr>
        <w:spacing w:after="140"/>
        <w:ind w:left="360"/>
      </w:pPr>
      <w:r>
        <w:t xml:space="preserve">The Group pack ships sixteen simulations built this way: six Middle East crisis cases (Gulf rate cuts, EGP devaluation, deposit flight, Gulf inflows upside, trade disruption, and an oil-spike counter-case), five macroeconomic cases (global rate cuts, China hard landing, US/Europe recession, a markets-rally upside, and stagflation), and five cost cases (pay review, variable pay true-up, savings programme, indirect cost inflation, and an offshoring footprint shift that lowers UK direct costs while raising Asia's), filed on the sheet as Geopolitical, Macroeconomic and Cost respectively.</w:t>
      </w:r>
    </w:p>
    <w:p>
      <w:pPr>
        <w:pStyle w:val="ListParagraph"/>
        <w:numPr>
          <w:ilvl w:val="0"/>
          <w:numId w:val="3"/>
        </w:numPr>
        <w:spacing w:after="80"/>
      </w:pPr>
      <w:r>
        <w:rPr>
          <w:b/>
          <w:bCs/>
        </w:rPr>
        <w:t xml:space="preserve">Data</w:t>
      </w:r>
      <w:r>
        <w:t xml:space="preserve"> — the filtered source rows, paginated with search. Every text column header carries a </w:t>
      </w:r>
      <w:r>
        <w:rPr>
          <w:b/>
          <w:bCs/>
        </w:rPr>
        <w:t xml:space="preserve">filter button</w:t>
      </w:r>
      <w:r>
        <w:t xml:space="preserve">: it opens a value picker (searchable, Select all / Clear, tick the values to keep) that combines with the page search and the left-pane filters; active funnels highlight and a Clear column filters button drops them all at once. The picker only offers values that can still appear under the other active filters.</w:t>
      </w:r>
    </w:p>
    <w:p>
      <w:pPr>
        <w:spacing w:after="140"/>
      </w:pPr>
      <w:r>
        <w:t xml:space="preserve">Clicking a KPI card (or a KPI in the left pane) focuses the </w:t>
      </w:r>
      <w:r>
        <w:rPr>
          <w:b/>
          <w:bCs/>
        </w:rPr>
        <w:t xml:space="preserve">Mix analysis</w:t>
      </w:r>
      <w:r>
        <w:t xml:space="preserve"> panel on that KPI — deeper slicing lives in the Query builder and the chart builder, which cover the old drill-down and more.</w:t>
      </w:r>
    </w:p>
    <w:p>
      <w:pPr>
        <w:spacing w:after="140"/>
      </w:pPr>
      <w:r>
        <w:t xml:space="preserve">The KPI summary also ends with a </w:t>
      </w:r>
      <w:r>
        <w:rPr>
          <w:b/>
          <w:bCs/>
        </w:rPr>
        <w:t xml:space="preserve">Mix analysis</w:t>
      </w:r>
      <w:r>
        <w:t xml:space="preserve"> panel: a flexible chart driven entirely by dropdowns — KPI scope, view-by dimension, measure and chart type (donut / column / horizontal bar) — that follows the global filters and remembers its last configuration.</w:t>
      </w:r>
    </w:p>
    <w:p>
      <w:pPr>
        <w:pStyle w:val="ListParagraph"/>
        <w:numPr>
          <w:ilvl w:val="0"/>
          <w:numId w:val="3"/>
        </w:numPr>
        <w:spacing w:after="100"/>
      </w:pPr>
      <w:r>
        <w:rPr>
          <w:b/>
          <w:bCs/>
        </w:rPr>
        <w:t xml:space="preserve">My dashboard</w:t>
      </w:r>
      <w:r>
        <w:t xml:space="preserve"> — a personal, drag-and-drop dashboard. A widget is composed on the add bar from four choices: </w:t>
      </w:r>
      <w:r>
        <w:rPr>
          <w:b/>
          <w:bCs/>
        </w:rPr>
        <w:t xml:space="preserve">type</w:t>
      </w:r>
      <w:r>
        <w:t xml:space="preserve"> (KPI card, monthly trend, YTD actuals vs forecast, breakdown by field, custom chart, KPI scorecard), </w:t>
      </w:r>
      <w:r>
        <w:rPr>
          <w:b/>
          <w:bCs/>
        </w:rPr>
        <w:t xml:space="preserve">KPI</w:t>
      </w:r>
      <w:r>
        <w:t xml:space="preserve"> (any metric, MICA line, or the total), </w:t>
      </w:r>
      <w:r>
        <w:rPr>
          <w:b/>
          <w:bCs/>
        </w:rPr>
        <w:t xml:space="preserve">field</w:t>
      </w:r>
      <w:r>
        <w:t xml:space="preserve"> and </w:t>
      </w:r>
      <w:r>
        <w:rPr>
          <w:b/>
          <w:bCs/>
        </w:rPr>
        <w:t xml:space="preserve">graph</w:t>
      </w:r>
      <w:r>
        <w:t xml:space="preserve">.</w:t>
      </w:r>
    </w:p>
    <w:p>
      <w:pPr>
        <w:spacing w:after="100"/>
        <w:ind w:left="360"/>
      </w:pPr>
      <w:r>
        <w:t xml:space="preserve">The field picker lists every dimension the loaded file carries — MICA levels, product, segment, function, entity, country, region, business line — and appears for the types where a field means something (breakdown and custom chart); the graph list is the one belonging to the type chosen, so a card offers horizontal bar / sparkline / column / table, a trend or trajectory offers line / area / column / bar, and a breakdown offers table / bar / column / donut / pie / Pareto / treemap. A breakdown drawn as a table keeps the RAG grid; drawn as anything else it renders as that chart.</w:t>
      </w:r>
    </w:p>
    <w:p>
      <w:pPr>
        <w:pStyle w:val="ListParagraph"/>
        <w:numPr>
          <w:ilvl w:val="0"/>
          <w:numId w:val="3"/>
        </w:numPr>
        <w:spacing w:after="80"/>
      </w:pPr>
      <w:r>
        <w:rPr>
          <w:b/>
          <w:bCs/>
        </w:rPr>
        <w:t xml:space="preserve">Every widget can be re-composed in place.</w:t>
      </w:r>
      <w:r>
        <w:t xml:space="preserve"> Its header carries the same pickers it was built with — field and graph on a breakdown, graph on a card, trend or trajectory, layout on the scorecard, view-by and chart type on a pinned chart — so nothing has to be deleted and rebuilt to change what it shows. The choice is saved with the widget, and the PowerPoint deck draws each widget the way the page draws it. Drag widgets by their header to rearrange, drag a KPI from the left pane onto the canvas to add it as a card, and remove widgets with ✕. The layout persists in the browser (localStorage) across sessions.</w:t>
      </w:r>
    </w:p>
    <w:p>
      <w:pPr>
        <w:pStyle w:val="ListParagraph"/>
        <w:numPr>
          <w:ilvl w:val="0"/>
          <w:numId w:val="3"/>
        </w:numPr>
        <w:spacing w:after="80"/>
      </w:pPr>
      <w:r>
        <w:t xml:space="preserve">A breakdown whose field mixes P&amp;L and balance-sheet lines shows its lines and </w:t>
      </w:r>
      <w:r>
        <w:rPr>
          <w:b/>
          <w:bCs/>
        </w:rPr>
        <w:t xml:space="preserve">no total</w:t>
      </w:r>
      <w:r>
        <w:t xml:space="preserve"> — on the page and in the Excel export alike — because the two statements are never added together.</w:t>
      </w:r>
    </w:p>
    <w:p>
      <w:pPr>
        <w:spacing w:after="140"/>
      </w:pPr>
      <w:r>
        <w:t xml:space="preserve">The design follows HSBC management-reporting conventions: a light left pane with a red brand block, section headers and pink-highlighted active items; a red uppercase eyebrow over large page titles; flat white stat tiles with big numbers (negatives in red brackets); and red monochrome charts with a grey prior-year series. The left pane is deliberately spare: the dashboards navigation, the Configuration section, the period controls (YTD-through month and variance period) and the Commentary templates picker — scoping happens in the top scope bar, and the Excel exports carry the default column set.</w:t>
      </w:r>
    </w:p>
    <w:p>
      <w:pPr>
        <w:spacing w:after="140"/>
      </w:pPr>
      <w:r>
        <w:t xml:space="preserve">The old Data drill down page is retired — the </w:t>
      </w:r>
      <w:r>
        <w:rPr>
          <w:b/>
          <w:bCs/>
        </w:rPr>
        <w:t xml:space="preserve">Query builder</w:t>
      </w:r>
      <w:r>
        <w:t xml:space="preserve"> covers it: drag the columns you want, filter and sort, run, and </w:t>
      </w:r>
      <w:r>
        <w:rPr>
          <w:b/>
          <w:bCs/>
        </w:rPr>
        <w:t xml:space="preserve">⤓ Export to Excel</w:t>
      </w:r>
      <w:r>
        <w:t xml:space="preserve"> on the Results panel downloads the result RAG compares YTD actuals with the same prior-year months: </w:t>
      </w:r>
      <w:r>
        <w:rPr>
          <w:b/>
          <w:bCs/>
        </w:rPr>
        <w:t xml:space="preserve">green at or above prior year, red below it</w:t>
      </w:r>
      <w:r>
        <w:t xml:space="preserve">. There is no amber and no watch band — an in-between rating only ever meant "within a tolerance nobody agreed", and it let the same figure read three ways depending on a setting.</w:t>
      </w:r>
    </w:p>
    <w:p>
      <w:pPr>
        <w:spacing w:after="140"/>
      </w:pPr>
      <w:r>
        <w:rPr>
          <w:rFonts w:ascii="Consolas" w:cs="Consolas" w:eastAsia="Consolas" w:hAnsi="Consolas"/>
          <w:shd w:fill="F2F1ED" w:val="clear"/>
        </w:rPr>
        <w:t xml:space="preserve">calc_rag_green_at</w:t>
      </w:r>
      <w:r>
        <w:t xml:space="preserve"> sets where favourable starts and is the whole of the policy; there is no tolerance control in the left pane. Ratings are direction-aware — an increase in revenue rates Favourable while an increase in costs or ECL rates Unfavourable, whichever sign convention the file stores costs in (signed negatives or positive magnitudes).</w:t>
      </w:r>
    </w:p>
    <w:p>
      <w:pPr>
        <w:pStyle w:val="Heading1"/>
        <w:spacing w:after="140" w:before="320"/>
      </w:pPr>
      <w:r>
        <w:rPr>
          <w:b/>
          <w:bCs/>
          <w:color w:val="DB0011"/>
        </w:rPr>
        <w:t xml:space="preserve">Configuration</w:t>
      </w:r>
    </w:p>
    <w:p>
      <w:pPr>
        <w:spacing w:after="140"/>
      </w:pPr>
      <w:r>
        <w:t xml:space="preserve">The app's behavioural rules are externalised into an uploadable configuration — </w:t>
      </w:r>
      <w:r>
        <w:rPr>
          <w:b/>
          <w:bCs/>
        </w:rPr>
        <w:t xml:space="preserve">left pane → Configuration → Upload config</w:t>
      </w:r>
      <w:r>
        <w:t xml:space="preserve">. There is </w:t>
      </w:r>
      <w:r>
        <w:rPr>
          <w:b/>
          <w:bCs/>
        </w:rPr>
        <w:t xml:space="preserve">one configuration file</w:t>
      </w:r>
      <w:r>
        <w:t xml:space="preserve">: </w:t>
      </w:r>
      <w:r>
        <w:rPr>
          <w:rFonts w:ascii="Consolas" w:cs="Consolas" w:eastAsia="Consolas" w:hAnsi="Consolas"/>
          <w:shd w:fill="F2F1ED" w:val="clear"/>
        </w:rPr>
        <w:t xml:space="preserve">Group_dashboard_config_pack.xlsx</w:t>
      </w:r>
      <w:r>
        <w:t xml:space="preserve"> in this folder, an xlsx workbook with a sheet per section — </w:t>
      </w:r>
      <w:r>
        <w:rPr>
          <w:rFonts w:ascii="Consolas" w:cs="Consolas" w:eastAsia="Consolas" w:hAnsi="Consolas"/>
          <w:shd w:fill="F2F1ED" w:val="clear"/>
        </w:rPr>
        <w:t xml:space="preserve">Settings</w:t>
      </w:r>
      <w:r>
        <w:t xml:space="preserve">, </w:t>
      </w:r>
      <w:r>
        <w:rPr>
          <w:rFonts w:ascii="Consolas" w:cs="Consolas" w:eastAsia="Consolas" w:hAnsi="Consolas"/>
          <w:shd w:fill="F2F1ED" w:val="clear"/>
        </w:rPr>
        <w:t xml:space="preserve">Tiles</w:t>
      </w:r>
      <w:r>
        <w:t xml:space="preserve">, </w:t>
      </w:r>
      <w:r>
        <w:rPr>
          <w:rFonts w:ascii="Consolas" w:cs="Consolas" w:eastAsia="Consolas" w:hAnsi="Consolas"/>
          <w:shd w:fill="F2F1ED" w:val="clear"/>
        </w:rPr>
        <w:t xml:space="preserve">TilePriority</w:t>
      </w:r>
      <w:r>
        <w:t xml:space="preserve">, </w:t>
      </w:r>
      <w:r>
        <w:rPr>
          <w:rFonts w:ascii="Consolas" w:cs="Consolas" w:eastAsia="Consolas" w:hAnsi="Consolas"/>
          <w:shd w:fill="F2F1ED" w:val="clear"/>
        </w:rPr>
        <w:t xml:space="preserve">Dimensions</w:t>
      </w:r>
      <w:r>
        <w:t xml:space="preserve">, </w:t>
      </w:r>
      <w:r>
        <w:rPr>
          <w:rFonts w:ascii="Consolas" w:cs="Consolas" w:eastAsia="Consolas" w:hAnsi="Consolas"/>
          <w:shd w:fill="F2F1ED" w:val="clear"/>
        </w:rPr>
        <w:t xml:space="preserve">Views</w:t>
      </w:r>
      <w:r>
        <w:t xml:space="preserve">, </w:t>
      </w:r>
      <w:r>
        <w:rPr>
          <w:rFonts w:ascii="Consolas" w:cs="Consolas" w:eastAsia="Consolas" w:hAnsi="Consolas"/>
          <w:shd w:fill="F2F1ED" w:val="clear"/>
        </w:rPr>
        <w:t xml:space="preserve">Metrics</w:t>
      </w:r>
      <w:r>
        <w:t xml:space="preserve">, </w:t>
      </w:r>
      <w:r>
        <w:rPr>
          <w:rFonts w:ascii="Consolas" w:cs="Consolas" w:eastAsia="Consolas" w:hAnsi="Consolas"/>
          <w:shd w:fill="F2F1ED" w:val="clear"/>
        </w:rPr>
        <w:t xml:space="preserve">Commentary</w:t>
      </w:r>
      <w:r>
        <w:t xml:space="preserve">, </w:t>
      </w:r>
      <w:r>
        <w:rPr>
          <w:rFonts w:ascii="Consolas" w:cs="Consolas" w:eastAsia="Consolas" w:hAnsi="Consolas"/>
          <w:shd w:fill="F2F1ED" w:val="clear"/>
        </w:rPr>
        <w:t xml:space="preserve">CommentaryTemplates</w:t>
      </w:r>
      <w:r>
        <w:t xml:space="preserve">, </w:t>
      </w:r>
      <w:r>
        <w:rPr>
          <w:rFonts w:ascii="Consolas" w:cs="Consolas" w:eastAsia="Consolas" w:hAnsi="Consolas"/>
          <w:shd w:fill="F2F1ED" w:val="clear"/>
        </w:rPr>
        <w:t xml:space="preserve">Simulations</w:t>
      </w:r>
      <w:r>
        <w:t xml:space="preserve">, </w:t>
      </w:r>
      <w:r>
        <w:rPr>
          <w:rFonts w:ascii="Consolas" w:cs="Consolas" w:eastAsia="Consolas" w:hAnsi="Consolas"/>
          <w:shd w:fill="F2F1ED" w:val="clear"/>
        </w:rPr>
        <w:t xml:space="preserve">Rollup</w:t>
      </w:r>
      <w:r>
        <w:t xml:space="preserve">, the hierarchies. Everything the page does is driven from it. (A flat CSV with columns </w:t>
      </w:r>
      <w:r>
        <w:rPr>
          <w:rFonts w:ascii="Consolas" w:cs="Consolas" w:eastAsia="Consolas" w:hAnsi="Consolas"/>
          <w:shd w:fill="F2F1ED" w:val="clear"/>
        </w:rPr>
        <w:t xml:space="preserve">Sheet,Key,Value,Extra1,Extra2,Extra3</w:t>
      </w:r>
      <w:r>
        <w:t xml:space="preserve"> is also accepted for tooling that emits CSV; the in-app download offers it. A sample lives under </w:t>
      </w:r>
      <w:r>
        <w:rPr>
          <w:rFonts w:ascii="Consolas" w:cs="Consolas" w:eastAsia="Consolas" w:hAnsi="Consolas"/>
          <w:shd w:fill="F2F1ED" w:val="clear"/>
        </w:rPr>
        <w:t xml:space="preserve">sample/</w:t>
      </w:r>
      <w:r>
        <w:t xml:space="preserve">.)</w:t>
      </w:r>
    </w:p>
    <w:p>
      <w:pPr>
        <w:spacing w:after="140"/>
      </w:pPr>
      <w:r>
        <w:t xml:space="preserve">What each section governs:</w:t>
      </w:r>
    </w:p>
    <w:p>
      <w:pPr>
        <w:pStyle w:val="ListParagraph"/>
        <w:numPr>
          <w:ilvl w:val="0"/>
          <w:numId w:val="3"/>
        </w:numPr>
        <w:spacing w:after="80"/>
      </w:pPr>
      <w:r>
        <w:rPr>
          <w:b/>
          <w:bCs/>
        </w:rPr>
        <w:t xml:space="preserve">Labels</w:t>
      </w:r>
      <w:r>
        <w:t xml:space="preserve"> — every heading, section title and control label the page shows, one </w:t>
      </w:r>
      <w:r>
        <w:rPr>
          <w:rFonts w:ascii="Consolas" w:cs="Consolas" w:eastAsia="Consolas" w:hAnsi="Consolas"/>
          <w:shd w:fill="F2F1ED" w:val="clear"/>
        </w:rPr>
        <w:t xml:space="preserve">Key | Text</w:t>
      </w:r>
      <w:r>
        <w:t xml:space="preserve"> row each. The whole left rail is worded here: the section headings (</w:t>
      </w:r>
      <w:r>
        <w:rPr>
          <w:rFonts w:ascii="Consolas" w:cs="Consolas" w:eastAsia="Consolas" w:hAnsi="Consolas"/>
          <w:shd w:fill="F2F1ED" w:val="clear"/>
        </w:rPr>
        <w:t xml:space="preserve">sect_dashboards</w:t>
      </w:r>
      <w:r>
        <w:t xml:space="preserve">, </w:t>
      </w:r>
      <w:r>
        <w:rPr>
          <w:rFonts w:ascii="Consolas" w:cs="Consolas" w:eastAsia="Consolas" w:hAnsi="Consolas"/>
          <w:shd w:fill="F2F1ED" w:val="clear"/>
        </w:rPr>
        <w:t xml:space="preserve">sect_config</w:t>
      </w:r>
      <w:r>
        <w:t xml:space="preserve">, </w:t>
      </w:r>
      <w:r>
        <w:rPr>
          <w:rFonts w:ascii="Consolas" w:cs="Consolas" w:eastAsia="Consolas" w:hAnsi="Consolas"/>
          <w:shd w:fill="F2F1ED" w:val="clear"/>
        </w:rPr>
        <w:t xml:space="preserve">sect_period</w:t>
      </w:r>
      <w:r>
        <w:t xml:space="preserve">, </w:t>
      </w:r>
      <w:r>
        <w:rPr>
          <w:rFonts w:ascii="Consolas" w:cs="Consolas" w:eastAsia="Consolas" w:hAnsi="Consolas"/>
          <w:shd w:fill="F2F1ED" w:val="clear"/>
        </w:rPr>
        <w:t xml:space="preserve">sect_comtpl</w:t>
      </w:r>
      <w:r>
        <w:t xml:space="preserve">), every navigation entry (</w:t>
      </w:r>
      <w:r>
        <w:rPr>
          <w:rFonts w:ascii="Consolas" w:cs="Consolas" w:eastAsia="Consolas" w:hAnsi="Consolas"/>
          <w:shd w:fill="F2F1ED" w:val="clear"/>
        </w:rPr>
        <w:t xml:space="preserve">nav_*</w:t>
      </w:r>
      <w:r>
        <w:t xml:space="preserve">), the ingest button and page (</w:t>
      </w:r>
      <w:r>
        <w:rPr>
          <w:rFonts w:ascii="Consolas" w:cs="Consolas" w:eastAsia="Consolas" w:hAnsi="Consolas"/>
          <w:shd w:fill="F2F1ED" w:val="clear"/>
        </w:rPr>
        <w:t xml:space="preserve">btn_newfile</w:t>
      </w:r>
      <w:r>
        <w:t xml:space="preserve">, </w:t>
      </w:r>
      <w:r>
        <w:rPr>
          <w:rFonts w:ascii="Consolas" w:cs="Consolas" w:eastAsia="Consolas" w:hAnsi="Consolas"/>
          <w:shd w:fill="F2F1ED" w:val="clear"/>
        </w:rPr>
        <w:t xml:space="preserve">ingest_title</w:t>
      </w:r>
      <w:r>
        <w:t xml:space="preserve">, </w:t>
      </w:r>
      <w:r>
        <w:rPr>
          <w:rFonts w:ascii="Consolas" w:cs="Consolas" w:eastAsia="Consolas" w:hAnsi="Consolas"/>
          <w:shd w:fill="F2F1ED" w:val="clear"/>
        </w:rPr>
        <w:t xml:space="preserve">ingest_drop</w:t>
      </w:r>
      <w:r>
        <w:t xml:space="preserve">) and the period controls (</w:t>
      </w:r>
      <w:r>
        <w:rPr>
          <w:rFonts w:ascii="Consolas" w:cs="Consolas" w:eastAsia="Consolas" w:hAnsi="Consolas"/>
          <w:shd w:fill="F2F1ED" w:val="clear"/>
        </w:rPr>
        <w:t xml:space="preserve">lbl_year</w:t>
      </w:r>
      <w:r>
        <w:t xml:space="preserve">, </w:t>
      </w:r>
      <w:r>
        <w:rPr>
          <w:rFonts w:ascii="Consolas" w:cs="Consolas" w:eastAsia="Consolas" w:hAnsi="Consolas"/>
          <w:shd w:fill="F2F1ED" w:val="clear"/>
        </w:rPr>
        <w:t xml:space="preserve">lbl_ytd</w:t>
      </w:r>
      <w:r>
        <w:t xml:space="preserve">, </w:t>
      </w:r>
      <w:r>
        <w:rPr>
          <w:rFonts w:ascii="Consolas" w:cs="Consolas" w:eastAsia="Consolas" w:hAnsi="Consolas"/>
          <w:shd w:fill="F2F1ED" w:val="clear"/>
        </w:rPr>
        <w:t xml:space="preserve">lbl_varper</w:t>
      </w:r>
      <w:r>
        <w:t xml:space="preserve">, </w:t>
      </w:r>
      <w:r>
        <w:rPr>
          <w:rFonts w:ascii="Consolas" w:cs="Consolas" w:eastAsia="Consolas" w:hAnsi="Consolas"/>
          <w:shd w:fill="F2F1ED" w:val="clear"/>
        </w:rPr>
        <w:t xml:space="preserve">lbl_units</w:t>
      </w:r>
      <w:r>
        <w:t xml:space="preserve">). Change a row and the pane follows on the next config load — nothing in the rail is hard-coded. The three packs carry the complete set, and </w:t>
      </w:r>
      <w:r>
        <w:rPr>
          <w:b/>
          <w:bCs/>
        </w:rPr>
        <w:t xml:space="preserve">Download template CSV</w:t>
      </w:r>
      <w:r>
        <w:t xml:space="preserve"> lists every key with its default, so the full surface is discoverable without reading the page source.</w:t>
      </w:r>
    </w:p>
    <w:p>
      <w:pPr>
        <w:pStyle w:val="ListParagraph"/>
        <w:numPr>
          <w:ilvl w:val="0"/>
          <w:numId w:val="3"/>
        </w:numPr>
        <w:spacing w:after="100"/>
      </w:pPr>
      <w:r>
        <w:rPr>
          <w:b/>
          <w:bCs/>
        </w:rPr>
        <w:t xml:space="preserve">Settings</w:t>
      </w:r>
      <w:r>
        <w:t xml:space="preserve"> — app title/subtitle/eyebrow (</w:t>
      </w:r>
      <w:r>
        <w:rPr>
          <w:rFonts w:ascii="Consolas" w:cs="Consolas" w:eastAsia="Consolas" w:hAnsi="Consolas"/>
          <w:shd w:fill="F2F1ED" w:val="clear"/>
        </w:rPr>
        <w:t xml:space="preserve">app_title</w:t>
      </w:r>
      <w:r>
        <w:t xml:space="preserve"> also drives the browser-tab title, the upload-page wording, the greeting, the export headers, the red logo badge and the Financial Summary page title, so the whole app rebrands from the config; </w:t>
      </w:r>
      <w:r>
        <w:rPr>
          <w:rFonts w:ascii="Consolas" w:cs="Consolas" w:eastAsia="Consolas" w:hAnsi="Consolas"/>
          <w:shd w:fill="F2F1ED" w:val="clear"/>
        </w:rPr>
        <w:t xml:space="preserve">logo_mark</w:t>
      </w:r>
      <w:r>
        <w:t xml:space="preserve"> optionally sets the badge letters, otherwise they derive from the title's initials; </w:t>
      </w:r>
      <w:r>
        <w:rPr>
          <w:rFonts w:ascii="Consolas" w:cs="Consolas" w:eastAsia="Consolas" w:hAnsi="Consolas"/>
          <w:shd w:fill="F2F1ED" w:val="clear"/>
        </w:rPr>
        <w:t xml:space="preserve">export_prefix</w:t>
      </w:r>
      <w:r>
        <w:t xml:space="preserve"> optionally sets the download filename prefix, otherwise it derives from the title; </w:t>
      </w:r>
      <w:r>
        <w:rPr>
          <w:rFonts w:ascii="Consolas" w:cs="Consolas" w:eastAsia="Consolas" w:hAnsi="Consolas"/>
          <w:shd w:fill="F2F1ED" w:val="clear"/>
        </w:rPr>
        <w:t xml:space="preserve">fsum_title</w:t>
      </w:r>
      <w:r>
        <w:t xml:space="preserve"> still overrides the Financial Summary heading explicitly), landing page title, total tile label, tile grouping level (</w:t>
      </w:r>
      <w:r>
        <w:rPr>
          <w:rFonts w:ascii="Consolas" w:cs="Consolas" w:eastAsia="Consolas" w:hAnsi="Consolas"/>
          <w:shd w:fill="F2F1ED" w:val="clear"/>
        </w:rPr>
        <w:t xml:space="preserve">auto</w:t>
      </w:r>
      <w:r>
        <w:t xml:space="preserve">/</w:t>
      </w:r>
      <w:r>
        <w:rPr>
          <w:rFonts w:ascii="Consolas" w:cs="Consolas" w:eastAsia="Consolas" w:hAnsi="Consolas"/>
          <w:shd w:fill="F2F1ED" w:val="clear"/>
        </w:rPr>
        <w:t xml:space="preserve">level1</w:t>
      </w:r>
      <w:r>
        <w:t xml:space="preserve">/</w:t>
      </w:r>
      <w:r>
        <w:rPr>
          <w:rFonts w:ascii="Consolas" w:cs="Consolas" w:eastAsia="Consolas" w:hAnsi="Consolas"/>
          <w:shd w:fill="F2F1ED" w:val="clear"/>
        </w:rPr>
        <w:t xml:space="preserve">level2</w:t>
      </w:r>
      <w:r>
        <w:t xml:space="preserve">), collapse of non-priority tiles, which tiles show at all (the plain-language form is the </w:t>
      </w:r>
      <w:r>
        <w:rPr>
          <w:b/>
          <w:bCs/>
        </w:rPr>
        <w:t xml:space="preserve">`Tiles` tab</w:t>
      </w:r>
      <w:r>
        <w:t xml:space="preserve"> — one row per tile, its name in column A, </w:t>
      </w:r>
      <w:r>
        <w:rPr>
          <w:rFonts w:ascii="Consolas" w:cs="Consolas" w:eastAsia="Consolas" w:hAnsi="Consolas"/>
          <w:shd w:fill="F2F1ED" w:val="clear"/>
        </w:rPr>
        <w:t xml:space="preserve">Y</w:t>
      </w:r>
      <w:r>
        <w:t xml:space="preserve"> or </w:t>
      </w:r>
      <w:r>
        <w:rPr>
          <w:rFonts w:ascii="Consolas" w:cs="Consolas" w:eastAsia="Consolas" w:hAnsi="Consolas"/>
          <w:shd w:fill="F2F1ED" w:val="clear"/>
        </w:rPr>
        <w:t xml:space="preserve">N</w:t>
      </w:r>
      <w:r>
        <w:t xml:space="preserve"> in column B; </w:t>
      </w:r>
      <w:r>
        <w:rPr>
          <w:rFonts w:ascii="Consolas" w:cs="Consolas" w:eastAsia="Consolas" w:hAnsi="Consolas"/>
          <w:shd w:fill="F2F1ED" w:val="clear"/>
        </w:rPr>
        <w:t xml:space="preserve">N</w:t>
      </w:r>
      <w:r>
        <w:t xml:space="preserve"> parks it, and a tab of only-</w:t>
      </w:r>
      <w:r>
        <w:rPr>
          <w:rFonts w:ascii="Consolas" w:cs="Consolas" w:eastAsia="Consolas" w:hAnsi="Consolas"/>
          <w:shd w:fill="F2F1ED" w:val="clear"/>
        </w:rPr>
        <w:t xml:space="preserve">Y</w:t>
      </w:r>
      <w:r>
        <w:t xml:space="preserve"> rows shows just those.</w:t>
      </w:r>
    </w:p>
    <w:p>
      <w:pPr>
        <w:spacing w:after="100"/>
        <w:ind w:left="360"/>
      </w:pPr>
      <w:r>
        <w:t xml:space="preserve">The Settings rows remain for pattern work: </w:t>
      </w:r>
      <w:r>
        <w:rPr>
          <w:rFonts w:ascii="Consolas" w:cs="Consolas" w:eastAsia="Consolas" w:hAnsi="Consolas"/>
          <w:shd w:fill="F2F1ED" w:val="clear"/>
        </w:rPr>
        <w:t xml:space="preserve">tile_hidden</w:t>
      </w:r>
      <w:r>
        <w:t xml:space="preserve"> parks the named tiles — exact names or patterns, so </w:t>
      </w:r>
      <w:r>
        <w:rPr>
          <w:rFonts w:ascii="Consolas" w:cs="Consolas" w:eastAsia="Consolas" w:hAnsi="Consolas"/>
          <w:shd w:fill="F2F1ED" w:val="clear"/>
        </w:rPr>
        <w:t xml:space="preserve">cost.*</w:t>
      </w:r>
      <w:r>
        <w:t xml:space="preserve"> parks every cost line — and </w:t>
      </w:r>
      <w:r>
        <w:rPr>
          <w:rFonts w:ascii="Consolas" w:cs="Consolas" w:eastAsia="Consolas" w:hAnsi="Consolas"/>
          <w:shd w:fill="F2F1ED" w:val="clear"/>
        </w:rPr>
        <w:t xml:space="preserve">tile_visible</w:t>
      </w:r>
      <w:r>
        <w:t xml:space="preserve"> keeps </w:t>
      </w:r>
      <w:r>
        <w:rPr>
          <w:b/>
          <w:bCs/>
        </w:rPr>
        <w:t xml:space="preserve">only</w:t>
      </w:r>
      <w:r>
        <w:t xml:space="preserve"> the named ones; parked tiles stay one click away behind the "Show parked tiles" strip, a reader's own show/hide toggle still wins on their screen, and uploading a configuration re-baselines the tiles to its policy), the RAG threshold (</w:t>
      </w:r>
      <w:r>
        <w:rPr>
          <w:rFonts w:ascii="Consolas" w:cs="Consolas" w:eastAsia="Consolas" w:hAnsi="Consolas"/>
          <w:shd w:fill="F2F1ED" w:val="clear"/>
        </w:rPr>
        <w:t xml:space="preserve">calc_rag_green_at</w:t>
      </w:r>
      <w:r>
        <w:t xml:space="preserve">), the regex patterns that recognise Forecast and Target columns, the cost/ECL direction patterns, the hidden-comparison patterns for target-only files, the My dashboard page size, and </w:t>
      </w:r>
      <w:r>
        <w:rPr>
          <w:rFonts w:ascii="Consolas" w:cs="Consolas" w:eastAsia="Consolas" w:hAnsi="Consolas"/>
          <w:shd w:fill="F2F1ED" w:val="clear"/>
        </w:rPr>
        <w:t xml:space="preserve">variance_periods</w:t>
      </w:r>
      <w:r>
        <w:t xml:space="preserve"> — the ordered list of comparison bases offered in the left pane.</w:t>
      </w:r>
    </w:p>
    <w:p>
      <w:pPr>
        <w:spacing w:after="100"/>
        <w:ind w:left="360"/>
      </w:pPr>
      <w:r>
        <w:t xml:space="preserve">By default this is exactly the six comparisons the All Commentaries pack writes, in the pack's order — </w:t>
      </w:r>
      <w:r>
        <w:rPr>
          <w:rFonts w:ascii="Consolas" w:cs="Consolas" w:eastAsia="Consolas" w:hAnsi="Consolas"/>
          <w:shd w:fill="F2F1ED" w:val="clear"/>
        </w:rPr>
        <w:t xml:space="preserve">qtr_py</w:t>
      </w:r>
      <w:r>
        <w:t xml:space="preserve">, </w:t>
      </w:r>
      <w:r>
        <w:rPr>
          <w:rFonts w:ascii="Consolas" w:cs="Consolas" w:eastAsia="Consolas" w:hAnsi="Consolas"/>
          <w:shd w:fill="F2F1ED" w:val="clear"/>
        </w:rPr>
        <w:t xml:space="preserve">ytd_tgt</w:t>
      </w:r>
      <w:r>
        <w:t xml:space="preserve">, </w:t>
      </w:r>
      <w:r>
        <w:rPr>
          <w:rFonts w:ascii="Consolas" w:cs="Consolas" w:eastAsia="Consolas" w:hAnsi="Consolas"/>
          <w:shd w:fill="F2F1ED" w:val="clear"/>
        </w:rPr>
        <w:t xml:space="preserve">mth_fc</w:t>
      </w:r>
      <w:r>
        <w:t xml:space="preserve">, </w:t>
      </w:r>
      <w:r>
        <w:rPr>
          <w:rFonts w:ascii="Consolas" w:cs="Consolas" w:eastAsia="Consolas" w:hAnsi="Consolas"/>
          <w:shd w:fill="F2F1ED" w:val="clear"/>
        </w:rPr>
        <w:t xml:space="preserve">fy_pfc</w:t>
      </w:r>
      <w:r>
        <w:t xml:space="preserve">, </w:t>
      </w:r>
      <w:r>
        <w:rPr>
          <w:rFonts w:ascii="Consolas" w:cs="Consolas" w:eastAsia="Consolas" w:hAnsi="Consolas"/>
          <w:shd w:fill="F2F1ED" w:val="clear"/>
        </w:rPr>
        <w:t xml:space="preserve">fy_py</w:t>
      </w:r>
      <w:r>
        <w:t xml:space="preserve">, </w:t>
      </w:r>
      <w:r>
        <w:rPr>
          <w:rFonts w:ascii="Consolas" w:cs="Consolas" w:eastAsia="Consolas" w:hAnsi="Consolas"/>
          <w:shd w:fill="F2F1ED" w:val="clear"/>
        </w:rPr>
        <w:t xml:space="preserve">fy_tgt</w:t>
      </w:r>
      <w:r>
        <w:t xml:space="preserve"> — so the selector and the pack read one basis list; the page lands on the first of them the file can serve. A config can still narrow or extend the list (</w:t>
      </w:r>
      <w:r>
        <w:rPr>
          <w:rFonts w:ascii="Consolas" w:cs="Consolas" w:eastAsia="Consolas" w:hAnsi="Consolas"/>
          <w:shd w:fill="F2F1ED" w:val="clear"/>
        </w:rPr>
        <w:t xml:space="preserve">auto</w:t>
      </w:r>
      <w:r>
        <w:t xml:space="preserve">, </w:t>
      </w:r>
      <w:r>
        <w:rPr>
          <w:rFonts w:ascii="Consolas" w:cs="Consolas" w:eastAsia="Consolas" w:hAnsi="Consolas"/>
          <w:shd w:fill="F2F1ED" w:val="clear"/>
        </w:rPr>
        <w:t xml:space="preserve">ytd_py</w:t>
      </w:r>
      <w:r>
        <w:t xml:space="preserve">, </w:t>
      </w:r>
      <w:r>
        <w:rPr>
          <w:rFonts w:ascii="Consolas" w:cs="Consolas" w:eastAsia="Consolas" w:hAnsi="Consolas"/>
          <w:shd w:fill="F2F1ED" w:val="clear"/>
        </w:rPr>
        <w:t xml:space="preserve">ytd_fc</w:t>
      </w:r>
      <w:r>
        <w:t xml:space="preserve">, </w:t>
      </w:r>
      <w:r>
        <w:rPr>
          <w:rFonts w:ascii="Consolas" w:cs="Consolas" w:eastAsia="Consolas" w:hAnsi="Consolas"/>
          <w:shd w:fill="F2F1ED" w:val="clear"/>
        </w:rPr>
        <w:t xml:space="preserve">mom</w:t>
      </w:r>
      <w:r>
        <w:t xml:space="preserve">, </w:t>
      </w:r>
      <w:r>
        <w:rPr>
          <w:rFonts w:ascii="Consolas" w:cs="Consolas" w:eastAsia="Consolas" w:hAnsi="Consolas"/>
          <w:shd w:fill="F2F1ED" w:val="clear"/>
        </w:rPr>
        <w:t xml:space="preserve">mth_py</w:t>
      </w:r>
      <w:r>
        <w:t xml:space="preserve">, </w:t>
      </w:r>
      <w:r>
        <w:rPr>
          <w:rFonts w:ascii="Consolas" w:cs="Consolas" w:eastAsia="Consolas" w:hAnsi="Consolas"/>
          <w:shd w:fill="F2F1ED" w:val="clear"/>
        </w:rPr>
        <w:t xml:space="preserve">mth_tgt</w:t>
      </w:r>
      <w:r>
        <w:t xml:space="preserve"> remain understood); entries a file cannot serve are hidden automatically.</w:t>
      </w:r>
    </w:p>
    <w:p>
      <w:pPr>
        <w:spacing w:after="140"/>
        <w:ind w:left="360"/>
      </w:pPr>
      <w:r>
        <w:t xml:space="preserve">The </w:t>
      </w:r>
      <w:r>
        <w:rPr>
          <w:b/>
          <w:bCs/>
        </w:rPr>
        <w:t xml:space="preserve">opening line</w:t>
      </w:r>
      <w:r>
        <w:t xml:space="preserve"> that used to stand above the page title — the one sentence naming the lead line, its movement and the outlook against target — is off by default (</w:t>
      </w:r>
      <w:r>
        <w:rPr>
          <w:rFonts w:ascii="Consolas" w:cs="Consolas" w:eastAsia="Consolas" w:hAnsi="Consolas"/>
          <w:shd w:fill="F2F1ED" w:val="clear"/>
        </w:rPr>
        <w:t xml:space="preserve">summary_lede</w:t>
      </w:r>
      <w:r>
        <w:t xml:space="preserve">). Set it to </w:t>
      </w:r>
      <w:r>
        <w:rPr>
          <w:rFonts w:ascii="Consolas" w:cs="Consolas" w:eastAsia="Consolas" w:hAnsi="Consolas"/>
          <w:shd w:fill="F2F1ED" w:val="clear"/>
        </w:rPr>
        <w:t xml:space="preserve">Y</w:t>
      </w:r>
      <w:r>
        <w:t xml:space="preserve"> to bring it back; the PowerPoint export follows the page either way.</w:t>
      </w:r>
    </w:p>
    <w:p>
      <w:pPr>
        <w:spacing w:after="140"/>
        <w:ind w:left="360"/>
      </w:pPr>
      <w:r>
        <w:rPr>
          <w:b/>
          <w:bCs/>
        </w:rPr>
        <w:t xml:space="preserve">Tile size</w:t>
      </w:r>
      <w:r>
        <w:t xml:space="preserve"> is configurable too: </w:t>
      </w:r>
      <w:r>
        <w:rPr>
          <w:rFonts w:ascii="Consolas" w:cs="Consolas" w:eastAsia="Consolas" w:hAnsi="Consolas"/>
          <w:shd w:fill="F2F1ED" w:val="clear"/>
        </w:rPr>
        <w:t xml:space="preserve">tile_height</w:t>
      </w:r>
      <w:r>
        <w:t xml:space="preserve"> (default </w:t>
      </w:r>
      <w:r>
        <w:rPr>
          <w:rFonts w:ascii="Consolas" w:cs="Consolas" w:eastAsia="Consolas" w:hAnsi="Consolas"/>
          <w:shd w:fill="F2F1ED" w:val="clear"/>
        </w:rPr>
        <w:t xml:space="preserve">150</w:t>
      </w:r>
      <w:r>
        <w:t xml:space="preserve">) is the height in pixels every tile shares, and </w:t>
      </w:r>
      <w:r>
        <w:rPr>
          <w:rFonts w:ascii="Consolas" w:cs="Consolas" w:eastAsia="Consolas" w:hAnsi="Consolas"/>
          <w:shd w:fill="F2F1ED" w:val="clear"/>
        </w:rPr>
        <w:t xml:space="preserve">tile_min_width</w:t>
      </w:r>
      <w:r>
        <w:t xml:space="preserve"> (default </w:t>
      </w:r>
      <w:r>
        <w:rPr>
          <w:rFonts w:ascii="Consolas" w:cs="Consolas" w:eastAsia="Consolas" w:hAnsi="Consolas"/>
          <w:shd w:fill="F2F1ED" w:val="clear"/>
        </w:rPr>
        <w:t xml:space="preserve">252</w:t>
      </w:r>
      <w:r>
        <w:t xml:space="preserve">) is the narrowest a tile may become before the grid drops a column — so it governs how many tiles sit in a row, and therefore how many rows the summary needs. Raise </w:t>
      </w:r>
      <w:r>
        <w:rPr>
          <w:rFonts w:ascii="Consolas" w:cs="Consolas" w:eastAsia="Consolas" w:hAnsi="Consolas"/>
          <w:shd w:fill="F2F1ED" w:val="clear"/>
        </w:rPr>
        <w:t xml:space="preserve">tile_height</w:t>
      </w:r>
      <w:r>
        <w:t xml:space="preserve"> for a roomier grid; raise </w:t>
      </w:r>
      <w:r>
        <w:rPr>
          <w:rFonts w:ascii="Consolas" w:cs="Consolas" w:eastAsia="Consolas" w:hAnsi="Consolas"/>
          <w:shd w:fill="F2F1ED" w:val="clear"/>
        </w:rPr>
        <w:t xml:space="preserve">tile_min_width</w:t>
      </w:r>
      <w:r>
        <w:t xml:space="preserve"> for fewer, wider tiles. </w:t>
      </w:r>
      <w:r>
        <w:rPr>
          <w:rFonts w:ascii="Consolas" w:cs="Consolas" w:eastAsia="Consolas" w:hAnsi="Consolas"/>
          <w:shd w:fill="F2F1ED" w:val="clear"/>
        </w:rPr>
        <w:t xml:space="preserve">tile_height</w:t>
      </w:r>
      <w:r>
        <w:t xml:space="preserve"> is a floor rather than a cap: a tile whose content needs more room still grows, so setting it very low simply lets the tiles find their natural height. Values that are not numbers, or below the workable minimums (60px high, 150px wide), fall back to the defaults rather than breaking the grid.</w:t>
      </w:r>
    </w:p>
    <w:p>
      <w:pPr>
        <w:pStyle w:val="ListParagraph"/>
        <w:numPr>
          <w:ilvl w:val="0"/>
          <w:numId w:val="3"/>
        </w:numPr>
        <w:spacing w:after="80"/>
      </w:pPr>
      <w:r>
        <w:rPr>
          <w:b/>
          <w:bCs/>
        </w:rPr>
        <w:t xml:space="preserve">Hierarchy check</w:t>
      </w:r>
      <w:r>
        <w:t xml:space="preserve"> — the ingest report states whether the cascade adds up: it names any row that matched no line (they group under Unmapped) and any line that keeps rows of its own while also having children, so the children would not add to it. A clean file reads "every row lands on a line, and every parent equals its children".</w:t>
      </w:r>
    </w:p>
    <w:p>
      <w:pPr>
        <w:pStyle w:val="ListParagraph"/>
        <w:numPr>
          <w:ilvl w:val="0"/>
          <w:numId w:val="3"/>
        </w:numPr>
        <w:spacing w:after="80"/>
      </w:pPr>
      <w:r>
        <w:rPr>
          <w:b/>
          <w:bCs/>
        </w:rPr>
        <w:t xml:space="preserve">AccountHierarchy</w:t>
      </w:r>
      <w:r>
        <w:t xml:space="preserve"> — the reporting pack's own line cascade: </w:t>
      </w:r>
      <w:r>
        <w:rPr>
          <w:rFonts w:ascii="Consolas" w:cs="Consolas" w:eastAsia="Consolas" w:hAnsi="Consolas"/>
          <w:shd w:fill="F2F1ED" w:val="clear"/>
        </w:rPr>
        <w:t xml:space="preserve">ID | Level 1 … Level 5 | Match</w:t>
      </w:r>
      <w:r>
        <w:t xml:space="preserve">, where Level 1 is the statement group (</w:t>
      </w:r>
      <w:r>
        <w:rPr>
          <w:rFonts w:ascii="Consolas" w:cs="Consolas" w:eastAsia="Consolas" w:hAnsi="Consolas"/>
          <w:shd w:fill="F2F1ED" w:val="clear"/>
        </w:rPr>
        <w:t xml:space="preserve">PBT ex Notables</w:t>
      </w:r>
      <w:r>
        <w:t xml:space="preserve">, </w:t>
      </w:r>
      <w:r>
        <w:rPr>
          <w:rFonts w:ascii="Consolas" w:cs="Consolas" w:eastAsia="Consolas" w:hAnsi="Consolas"/>
          <w:shd w:fill="F2F1ED" w:val="clear"/>
        </w:rPr>
        <w:t xml:space="preserve">Balance Sheet</w:t>
      </w:r>
      <w:r>
        <w:t xml:space="preserve">, </w:t>
      </w:r>
      <w:r>
        <w:rPr>
          <w:rFonts w:ascii="Consolas" w:cs="Consolas" w:eastAsia="Consolas" w:hAnsi="Consolas"/>
          <w:shd w:fill="F2F1ED" w:val="clear"/>
        </w:rPr>
        <w:t xml:space="preserve">Key Metrics</w:t>
      </w:r>
      <w:r>
        <w:t xml:space="preserve">) and </w:t>
      </w:r>
      <w:r>
        <w:rPr>
          <w:rFonts w:ascii="Consolas" w:cs="Consolas" w:eastAsia="Consolas" w:hAnsi="Consolas"/>
          <w:shd w:fill="F2F1ED" w:val="clear"/>
        </w:rPr>
        <w:t xml:space="preserve">Match</w:t>
      </w:r>
      <w:r>
        <w:t xml:space="preserve"> lists the TM1 extract line names that roll into the deepest level. Uploaded rows replace the defaults wholesale.</w:t>
      </w:r>
    </w:p>
    <w:p>
      <w:pPr>
        <w:pStyle w:val="ListParagraph"/>
        <w:numPr>
          <w:ilvl w:val="0"/>
          <w:numId w:val="3"/>
        </w:numPr>
        <w:spacing w:after="80"/>
      </w:pPr>
      <w:r>
        <w:rPr>
          <w:b/>
          <w:bCs/>
        </w:rPr>
        <w:t xml:space="preserve">Key metrics as memo lines</w:t>
      </w:r>
      <w:r>
        <w:t xml:space="preserve"> — </w:t>
      </w:r>
      <w:r>
        <w:rPr>
          <w:rFonts w:ascii="Consolas" w:cs="Consolas" w:eastAsia="Consolas" w:hAnsi="Consolas"/>
          <w:shd w:fill="F2F1ED" w:val="clear"/>
        </w:rPr>
        <w:t xml:space="preserve">memo_patterns</w:t>
      </w:r>
      <w:r>
        <w:t xml:space="preserve"> marks lines that are neither P&amp;L nor balance sheet (Premier Customers, CER %, FTE, NNM/NND/ NNIA, Wealth balances). They are </w:t>
      </w:r>
      <w:r>
        <w:rPr>
          <w:b/>
          <w:bCs/>
        </w:rPr>
        <w:t xml:space="preserve">never totalled into the P&amp;L or the balance sheet</w:t>
      </w:r>
      <w:r>
        <w:t xml:space="preserve">, are never restated onto the balance unit, and get their own Financial Summary band named by </w:t>
      </w:r>
      <w:r>
        <w:rPr>
          <w:rFonts w:ascii="Consolas" w:cs="Consolas" w:eastAsia="Consolas" w:hAnsi="Consolas"/>
          <w:shd w:fill="F2F1ED" w:val="clear"/>
        </w:rPr>
        <w:t xml:space="preserve">fsum_memo_label</w:t>
      </w:r>
      <w:r>
        <w:t xml:space="preserve"> (default "Key Metrics") — so the pack's three blocks appear as </w:t>
      </w:r>
      <w:r>
        <w:rPr>
          <w:rFonts w:ascii="Consolas" w:cs="Consolas" w:eastAsia="Consolas" w:hAnsi="Consolas"/>
          <w:shd w:fill="F2F1ED" w:val="clear"/>
        </w:rPr>
        <w:t xml:space="preserve">P&amp;L (US$m)</w:t>
      </w:r>
      <w:r>
        <w:t xml:space="preserve">, </w:t>
      </w:r>
      <w:r>
        <w:rPr>
          <w:rFonts w:ascii="Consolas" w:cs="Consolas" w:eastAsia="Consolas" w:hAnsi="Consolas"/>
          <w:shd w:fill="F2F1ED" w:val="clear"/>
        </w:rPr>
        <w:t xml:space="preserve">Balance Sheet (US$bn)</w:t>
      </w:r>
      <w:r>
        <w:t xml:space="preserve">, </w:t>
      </w:r>
      <w:r>
        <w:rPr>
          <w:rFonts w:ascii="Consolas" w:cs="Consolas" w:eastAsia="Consolas" w:hAnsi="Consolas"/>
          <w:shd w:fill="F2F1ED" w:val="clear"/>
        </w:rPr>
        <w:t xml:space="preserve">Key Metrics</w:t>
      </w:r>
      <w:r>
        <w:t xml:space="preserve">.</w:t>
      </w:r>
    </w:p>
    <w:p>
      <w:pPr>
        <w:pStyle w:val="ListParagraph"/>
        <w:numPr>
          <w:ilvl w:val="0"/>
          <w:numId w:val="3"/>
        </w:numPr>
        <w:spacing w:after="80"/>
      </w:pPr>
      <w:r>
        <w:rPr>
          <w:b/>
          <w:bCs/>
        </w:rPr>
        <w:t xml:space="preserve">A rate is not an amount</w:t>
      </w:r>
      <w:r>
        <w:t xml:space="preserve"> — </w:t>
      </w:r>
      <w:r>
        <w:rPr>
          <w:rFonts w:ascii="Consolas" w:cs="Consolas" w:eastAsia="Consolas" w:hAnsi="Consolas"/>
          <w:shd w:fill="F2F1ED" w:val="clear"/>
        </w:rPr>
        <w:t xml:space="preserve">ratio_patterns</w:t>
      </w:r>
      <w:r>
        <w:t xml:space="preserve"> (default </w:t>
      </w:r>
      <w:r>
        <w:rPr>
          <w:rFonts w:ascii="Consolas" w:cs="Consolas" w:eastAsia="Consolas" w:hAnsi="Consolas"/>
          <w:shd w:fill="F2F1ED" w:val="clear"/>
        </w:rPr>
        <w:t xml:space="preserve">%</w:t>
      </w:r>
      <w:r>
        <w:t xml:space="preserve">, </w:t>
      </w:r>
      <w:r>
        <w:rPr>
          <w:rFonts w:ascii="Consolas" w:cs="Consolas" w:eastAsia="Consolas" w:hAnsi="Consolas"/>
          <w:shd w:fill="F2F1ED" w:val="clear"/>
        </w:rPr>
        <w:t xml:space="preserve">bps</w:t>
      </w:r>
      <w:r>
        <w:t xml:space="preserve">, </w:t>
      </w:r>
      <w:r>
        <w:rPr>
          <w:rFonts w:ascii="Consolas" w:cs="Consolas" w:eastAsia="Consolas" w:hAnsi="Consolas"/>
          <w:shd w:fill="F2F1ED" w:val="clear"/>
        </w:rPr>
        <w:t xml:space="preserve">RoTE</w:t>
      </w:r>
      <w:r>
        <w:t xml:space="preserve">, </w:t>
      </w:r>
      <w:r>
        <w:rPr>
          <w:rFonts w:ascii="Consolas" w:cs="Consolas" w:eastAsia="Consolas" w:hAnsi="Consolas"/>
          <w:shd w:fill="F2F1ED" w:val="clear"/>
        </w:rPr>
        <w:t xml:space="preserve">CER</w:t>
      </w:r>
      <w:r>
        <w:t xml:space="preserve">, </w:t>
      </w:r>
      <w:r>
        <w:rPr>
          <w:rFonts w:ascii="Consolas" w:cs="Consolas" w:eastAsia="Consolas" w:hAnsi="Consolas"/>
          <w:shd w:fill="F2F1ED" w:val="clear"/>
        </w:rPr>
        <w:t xml:space="preserve">ratio</w:t>
      </w:r>
      <w:r>
        <w:t xml:space="preserve">, </w:t>
      </w:r>
      <w:r>
        <w:rPr>
          <w:rFonts w:ascii="Consolas" w:cs="Consolas" w:eastAsia="Consolas" w:hAnsi="Consolas"/>
          <w:shd w:fill="F2F1ED" w:val="clear"/>
        </w:rPr>
        <w:t xml:space="preserve">headcount</w:t>
      </w:r>
      <w:r>
        <w:t xml:space="preserve">, </w:t>
      </w:r>
      <w:r>
        <w:rPr>
          <w:rFonts w:ascii="Consolas" w:cs="Consolas" w:eastAsia="Consolas" w:hAnsi="Consolas"/>
          <w:shd w:fill="F2F1ED" w:val="clear"/>
        </w:rPr>
        <w:t xml:space="preserve">FTE</w:t>
      </w:r>
      <w:r>
        <w:t xml:space="preserve">, </w:t>
      </w:r>
      <w:r>
        <w:rPr>
          <w:rFonts w:ascii="Consolas" w:cs="Consolas" w:eastAsia="Consolas" w:hAnsi="Consolas"/>
          <w:shd w:fill="F2F1ED" w:val="clear"/>
        </w:rPr>
        <w:t xml:space="preserve">count</w:t>
      </w:r>
      <w:r>
        <w:t xml:space="preserve">) marks the memo lines that are rates or counts rather than money. They keep a balance's arithmetic — a closing value, never three months added — but are printed as reported, so a headcount of 14,186 stays 14,186 instead of being restated to 14.2bn, and a RoTE of 20.9% keeps its decimal instead of rounding to 21. Values of 100 and over print whole with a thousands separator, smaller ones to one or two decimals, on the page, in the workbook and on the slide alike.</w:t>
      </w:r>
    </w:p>
    <w:p>
      <w:pPr>
        <w:pStyle w:val="ListParagraph"/>
        <w:numPr>
          <w:ilvl w:val="0"/>
          <w:numId w:val="3"/>
        </w:numPr>
        <w:spacing w:after="80"/>
      </w:pPr>
      <w:r>
        <w:rPr>
          <w:b/>
          <w:bCs/>
        </w:rPr>
        <w:t xml:space="preserve">Calculations</w:t>
      </w:r>
      <w:r>
        <w:t xml:space="preserve"> — the calculation rules themselves: </w:t>
      </w:r>
      <w:r>
        <w:rPr>
          <w:rFonts w:ascii="Consolas" w:cs="Consolas" w:eastAsia="Consolas" w:hAnsi="Consolas"/>
          <w:shd w:fill="F2F1ED" w:val="clear"/>
        </w:rPr>
        <w:t xml:space="preserve">calc_ytd_actuals</w:t>
      </w:r>
      <w:r>
        <w:t xml:space="preserve"> (</w:t>
      </w:r>
      <w:r>
        <w:rPr>
          <w:rFonts w:ascii="Consolas" w:cs="Consolas" w:eastAsia="Consolas" w:hAnsi="Consolas"/>
          <w:shd w:fill="F2F1ED" w:val="clear"/>
        </w:rPr>
        <w:t xml:space="preserve">column</w:t>
      </w:r>
      <w:r>
        <w:t xml:space="preserve"> = a YTD column matching the selected month is authoritative everywhere, months are never added when one exists — including in files that also carry prior-year months; </w:t>
      </w:r>
      <w:r>
        <w:rPr>
          <w:rFonts w:ascii="Consolas" w:cs="Consolas" w:eastAsia="Consolas" w:hAnsi="Consolas"/>
          <w:shd w:fill="F2F1ED" w:val="clear"/>
        </w:rPr>
        <w:t xml:space="preserve">months</w:t>
      </w:r>
      <w:r>
        <w:t xml:space="preserve"> = always sum months), </w:t>
      </w:r>
      <w:r>
        <w:rPr>
          <w:rFonts w:ascii="Consolas" w:cs="Consolas" w:eastAsia="Consolas" w:hAnsi="Consolas"/>
          <w:shd w:fill="F2F1ED" w:val="clear"/>
        </w:rPr>
        <w:t xml:space="preserve">calc_fy_forecast</w:t>
      </w:r>
      <w:r>
        <w:t xml:space="preserve"> (</w:t>
      </w:r>
      <w:r>
        <w:rPr>
          <w:rFonts w:ascii="Consolas" w:cs="Consolas" w:eastAsia="Consolas" w:hAnsi="Consolas"/>
          <w:shd w:fill="F2F1ED" w:val="clear"/>
        </w:rPr>
        <w:t xml:space="preserve">column</w:t>
      </w:r>
      <w:r>
        <w:t xml:space="preserve"> = FY forecast column first / </w:t>
      </w:r>
      <w:r>
        <w:rPr>
          <w:rFonts w:ascii="Consolas" w:cs="Consolas" w:eastAsia="Consolas" w:hAnsi="Consolas"/>
          <w:shd w:fill="F2F1ED" w:val="clear"/>
        </w:rPr>
        <w:t xml:space="preserve">outlook</w:t>
      </w:r>
      <w:r>
        <w:t xml:space="preserve"> = always Jan–Dec months), </w:t>
      </w:r>
      <w:r>
        <w:rPr>
          <w:rFonts w:ascii="Consolas" w:cs="Consolas" w:eastAsia="Consolas" w:hAnsi="Consolas"/>
          <w:shd w:fill="F2F1ED" w:val="clear"/>
        </w:rPr>
        <w:t xml:space="preserve">calc_ytd_forecast</w:t>
      </w:r>
      <w:r>
        <w:t xml:space="preserve"> phasing (</w:t>
      </w:r>
      <w:r>
        <w:rPr>
          <w:rFonts w:ascii="Consolas" w:cs="Consolas" w:eastAsia="Consolas" w:hAnsi="Consolas"/>
          <w:shd w:fill="F2F1ED" w:val="clear"/>
        </w:rPr>
        <w:t xml:space="preserve">even</w:t>
      </w:r>
      <w:r>
        <w:t xml:space="preserve"> = elapsed÷12 / </w:t>
      </w:r>
      <w:r>
        <w:rPr>
          <w:rFonts w:ascii="Consolas" w:cs="Consolas" w:eastAsia="Consolas" w:hAnsi="Consolas"/>
          <w:shd w:fill="F2F1ED" w:val="clear"/>
        </w:rPr>
        <w:t xml:space="preserve">profile</w:t>
      </w:r>
      <w:r>
        <w:t xml:space="preserve"> = the file's own monthly shape / </w:t>
      </w:r>
      <w:r>
        <w:rPr>
          <w:rFonts w:ascii="Consolas" w:cs="Consolas" w:eastAsia="Consolas" w:hAnsi="Consolas"/>
          <w:shd w:fill="F2F1ED" w:val="clear"/>
        </w:rPr>
        <w:t xml:space="preserve">weights</w:t>
      </w:r>
      <w:r>
        <w:t xml:space="preserve"> = custom), </w:t>
      </w:r>
      <w:r>
        <w:rPr>
          <w:rFonts w:ascii="Consolas" w:cs="Consolas" w:eastAsia="Consolas" w:hAnsi="Consolas"/>
          <w:shd w:fill="F2F1ED" w:val="clear"/>
        </w:rPr>
        <w:t xml:space="preserve">calc_forecast_weights</w:t>
      </w:r>
      <w:r>
        <w:t xml:space="preserve"> (12 comma-separated weights for </w:t>
      </w:r>
      <w:r>
        <w:rPr>
          <w:rFonts w:ascii="Consolas" w:cs="Consolas" w:eastAsia="Consolas" w:hAnsi="Consolas"/>
          <w:shd w:fill="F2F1ED" w:val="clear"/>
        </w:rPr>
        <w:t xml:space="preserve">weights</w:t>
      </w:r>
      <w:r>
        <w:t xml:space="preserve"> mode, also drives the trend reference lines), </w:t>
      </w:r>
      <w:r>
        <w:rPr>
          <w:rFonts w:ascii="Consolas" w:cs="Consolas" w:eastAsia="Consolas" w:hAnsi="Consolas"/>
          <w:shd w:fill="F2F1ED" w:val="clear"/>
        </w:rPr>
        <w:t xml:space="preserve">calc_cmp_priority</w:t>
      </w:r>
      <w:r>
        <w:t xml:space="preserve"> (ordered comparison basis, e.g. </w:t>
      </w:r>
      <w:r>
        <w:rPr>
          <w:rFonts w:ascii="Consolas" w:cs="Consolas" w:eastAsia="Consolas" w:hAnsi="Consolas"/>
          <w:shd w:fill="F2F1ED" w:val="clear"/>
        </w:rPr>
        <w:t xml:space="preserve">py,fc,tgt</w:t>
      </w:r>
      <w:r>
        <w:t xml:space="preserve">, used when the variance period is </w:t>
      </w:r>
      <w:r>
        <w:rPr>
          <w:rFonts w:ascii="Consolas" w:cs="Consolas" w:eastAsia="Consolas" w:hAnsi="Consolas"/>
          <w:shd w:fill="F2F1ED" w:val="clear"/>
        </w:rPr>
        <w:t xml:space="preserve">auto</w:t>
      </w:r>
      <w:r>
        <w:t xml:space="preserve">), </w:t>
      </w:r>
      <w:r>
        <w:rPr>
          <w:rFonts w:ascii="Consolas" w:cs="Consolas" w:eastAsia="Consolas" w:hAnsi="Consolas"/>
          <w:shd w:fill="F2F1ED" w:val="clear"/>
        </w:rPr>
        <w:t xml:space="preserve">calc_variance_period</w:t>
      </w:r>
      <w:r>
        <w:t xml:space="preserve"> (the basis selected on load, e.g. </w:t>
      </w:r>
      <w:r>
        <w:rPr>
          <w:rFonts w:ascii="Consolas" w:cs="Consolas" w:eastAsia="Consolas" w:hAnsi="Consolas"/>
          <w:shd w:fill="F2F1ED" w:val="clear"/>
        </w:rPr>
        <w:t xml:space="preserve">ytd_py</w:t>
      </w:r>
      <w:r>
        <w:t xml:space="preserve">), </w:t>
      </w:r>
      <w:r>
        <w:rPr>
          <w:rFonts w:ascii="Consolas" w:cs="Consolas" w:eastAsia="Consolas" w:hAnsi="Consolas"/>
          <w:shd w:fill="F2F1ED" w:val="clear"/>
        </w:rPr>
        <w:t xml:space="preserve">calc_rag_green_at</w:t>
      </w:r>
      <w:r>
        <w:t xml:space="preserve"> (variance needed to rate Favourable, e.g. </w:t>
      </w:r>
      <w:r>
        <w:rPr>
          <w:rFonts w:ascii="Consolas" w:cs="Consolas" w:eastAsia="Consolas" w:hAnsi="Consolas"/>
          <w:shd w:fill="F2F1ED" w:val="clear"/>
        </w:rPr>
        <w:t xml:space="preserve">0.02</w:t>
      </w:r>
      <w:r>
        <w:t xml:space="preserve"> requires +2%), </w:t>
      </w:r>
      <w:r>
        <w:rPr>
          <w:rFonts w:ascii="Consolas" w:cs="Consolas" w:eastAsia="Consolas" w:hAnsi="Consolas"/>
          <w:shd w:fill="F2F1ED" w:val="clear"/>
        </w:rPr>
        <w:t xml:space="preserve">calc_rag_direction</w:t>
      </w:r>
      <w:r>
        <w:t xml:space="preserve"> (Y/N — direction-aware cost/ECL rating).</w:t>
      </w:r>
    </w:p>
    <w:p>
      <w:pPr>
        <w:pStyle w:val="ListParagraph"/>
        <w:numPr>
          <w:ilvl w:val="0"/>
          <w:numId w:val="3"/>
        </w:numPr>
        <w:spacing w:after="80"/>
      </w:pPr>
      <w:r>
        <w:rPr>
          <w:b/>
          <w:bCs/>
        </w:rPr>
        <w:t xml:space="preserve">TilePriority</w:t>
      </w:r>
      <w:r>
        <w:t xml:space="preserve"> — the ordered name patterns pinning the top KPI tiles.</w:t>
      </w:r>
    </w:p>
    <w:p>
      <w:pPr>
        <w:pStyle w:val="ListParagraph"/>
        <w:numPr>
          <w:ilvl w:val="0"/>
          <w:numId w:val="3"/>
        </w:numPr>
        <w:spacing w:after="100"/>
      </w:pPr>
      <w:r>
        <w:rPr>
          <w:b/>
          <w:bCs/>
        </w:rPr>
        <w:t xml:space="preserve">Dimensions</w:t>
      </w:r>
      <w:r>
        <w:t xml:space="preserve"> — per dimension: display label override, whether it appears in the left-pane filters (</w:t>
      </w:r>
      <w:r>
        <w:rPr>
          <w:rFonts w:ascii="Consolas" w:cs="Consolas" w:eastAsia="Consolas" w:hAnsi="Consolas"/>
          <w:shd w:fill="F2F1ED" w:val="clear"/>
        </w:rPr>
        <w:t xml:space="preserve">Extra1</w:t>
      </w:r>
      <w:r>
        <w:t xml:space="preserve"> = Y/N) and whether it is offered as a simulation rule scope (</w:t>
      </w:r>
      <w:r>
        <w:rPr>
          <w:rFonts w:ascii="Consolas" w:cs="Consolas" w:eastAsia="Consolas" w:hAnsi="Consolas"/>
          <w:shd w:fill="F2F1ED" w:val="clear"/>
        </w:rPr>
        <w:t xml:space="preserve">Extra2</w:t>
      </w:r>
      <w:r>
        <w:t xml:space="preserve"> = Y/N — every dimension defaults to Y, and the derived hierarchy levels are always offered, so a simulation can scope on any non-numeric field in the file; a blank cell inherits the default, an explicit N excludes).</w:t>
      </w:r>
    </w:p>
    <w:p>
      <w:pPr>
        <w:spacing w:after="100"/>
        <w:ind w:left="360"/>
      </w:pPr>
      <w:r>
        <w:t xml:space="preserve">A row whose key is </w:t>
      </w:r>
      <w:r>
        <w:rPr>
          <w:b/>
          <w:bCs/>
        </w:rPr>
        <w:t xml:space="preserve">not</w:t>
      </w:r>
      <w:r>
        <w:t xml:space="preserve"> one of the built-ins declares a </w:t>
      </w:r>
      <w:r>
        <w:rPr>
          <w:b/>
          <w:bCs/>
        </w:rPr>
        <w:t xml:space="preserve">new dimension</w:t>
      </w:r>
      <w:r>
        <w:t xml:space="preserve">: </w:t>
      </w:r>
      <w:r>
        <w:rPr>
          <w:rFonts w:ascii="Consolas" w:cs="Consolas" w:eastAsia="Consolas" w:hAnsi="Consolas"/>
          <w:shd w:fill="F2F1ED" w:val="clear"/>
        </w:rPr>
        <w:t xml:space="preserve">Extra3</w:t>
      </w:r>
      <w:r>
        <w:t xml:space="preserve"> holds the text to match against the TM1 extract's column headers (falling back to the label, then the key — matching ignores case, spaces and underscores). E.g. </w:t>
      </w:r>
      <w:r>
        <w:rPr>
          <w:rFonts w:ascii="Consolas" w:cs="Consolas" w:eastAsia="Consolas" w:hAnsi="Consolas"/>
          <w:shd w:fill="F2F1ED" w:val="clear"/>
        </w:rPr>
        <w:t xml:space="preserve">Dimensions,channel,Channel,Y,N,channel</w:t>
      </w:r>
      <w:r>
        <w:t xml:space="preserve"> turns a </w:t>
      </w:r>
      <w:r>
        <w:rPr>
          <w:rFonts w:ascii="Consolas" w:cs="Consolas" w:eastAsia="Consolas" w:hAnsi="Consolas"/>
          <w:shd w:fill="F2F1ED" w:val="clear"/>
        </w:rPr>
        <w:t xml:space="preserve">Channel</w:t>
      </w:r>
      <w:r>
        <w:t xml:space="preserve"> column into a full dimension across every view.</w:t>
      </w:r>
    </w:p>
    <w:p>
      <w:pPr>
        <w:pStyle w:val="ListParagraph"/>
        <w:numPr>
          <w:ilvl w:val="0"/>
          <w:numId w:val="3"/>
        </w:numPr>
        <w:spacing w:after="100"/>
      </w:pPr>
      <w:r>
        <w:rPr>
          <w:b/>
          <w:bCs/>
        </w:rPr>
        <w:t xml:space="preserve">AccountHierarchy / ProductHierarchy</w:t>
      </w:r>
      <w:r>
        <w:t xml:space="preserve"> — the reporting hierarchies as mapping tables, one row per node: </w:t>
      </w:r>
      <w:r>
        <w:rPr>
          <w:rFonts w:ascii="Consolas" w:cs="Consolas" w:eastAsia="Consolas" w:hAnsi="Consolas"/>
          <w:shd w:fill="F2F1ED" w:val="clear"/>
        </w:rPr>
        <w:t xml:space="preserve">Key</w:t>
      </w:r>
      <w:r>
        <w:t xml:space="preserve"> an ID, then up to five levels across </w:t>
      </w:r>
      <w:r>
        <w:rPr>
          <w:rFonts w:ascii="Consolas" w:cs="Consolas" w:eastAsia="Consolas" w:hAnsi="Consolas"/>
          <w:shd w:fill="F2F1ED" w:val="clear"/>
        </w:rPr>
        <w:t xml:space="preserve">Value…Extra4</w:t>
      </w:r>
      <w:r>
        <w:t xml:space="preserve"> (both run five deep — the account side mirrors the reporting pack: PBT → Revenue → Banking NII / Fees and Other Income → Retail Banking / Wealth / Others → Investment Distribution / Private Bank / Asset Management / Insurance, with ECLs, Operating Expenses → Direct Cost ex VP CC GT / Global Teams / Variable Pay ex CC / Indirect Costs, and Balance Sheet → Deposits, Loans and Advances, Wealth Balances → Wealth Deposits / Wealth Invested Assets → NNIA, NNM → NND; product — IWPB → Retail/Wealth/Others down to Payroll or Saving Accounts).</w:t>
      </w:r>
    </w:p>
    <w:p>
      <w:pPr>
        <w:spacing w:after="100"/>
        <w:ind w:left="360"/>
      </w:pPr>
      <w:r>
        <w:t xml:space="preserve">Revenue foots as Banking NII + Fees and Other Income, Operating Expenses as its four cost lines, and PBT as Revenue + ECLs + Operating Expenses — the same arithmetic as the pack slide. The app binds them at load: each TM1 extract row's line names (matched against the columns in </w:t>
      </w:r>
      <w:r>
        <w:rPr>
          <w:rFonts w:ascii="Consolas" w:cs="Consolas" w:eastAsia="Consolas" w:hAnsi="Consolas"/>
          <w:shd w:fill="F2F1ED" w:val="clear"/>
        </w:rPr>
        <w:t xml:space="preserve">account_hierarchy_from</w:t>
      </w:r>
      <w:r>
        <w:t xml:space="preserve"> / </w:t>
      </w:r>
      <w:r>
        <w:rPr>
          <w:rFonts w:ascii="Consolas" w:cs="Consolas" w:eastAsia="Consolas" w:hAnsi="Consolas"/>
          <w:shd w:fill="F2F1ED" w:val="clear"/>
        </w:rPr>
        <w:t xml:space="preserve">product_hierarchy_from</w:t>
      </w:r>
      <w:r>
        <w:t xml:space="preserve">, deepest match wins) place the row in each hierarchy, and every level becomes a derived dimension — </w:t>
      </w:r>
      <w:r>
        <w:rPr>
          <w:rFonts w:ascii="Consolas" w:cs="Consolas" w:eastAsia="Consolas" w:hAnsi="Consolas"/>
          <w:shd w:fill="F2F1ED" w:val="clear"/>
        </w:rPr>
        <w:t xml:space="preserve">Acct Hier L1–L4</w:t>
      </w:r>
      <w:r>
        <w:t xml:space="preserve">, </w:t>
      </w:r>
      <w:r>
        <w:rPr>
          <w:rFonts w:ascii="Consolas" w:cs="Consolas" w:eastAsia="Consolas" w:hAnsi="Consolas"/>
          <w:shd w:fill="F2F1ED" w:val="clear"/>
        </w:rPr>
        <w:t xml:space="preserve">Prod Hier L1–L5</w:t>
      </w:r>
      <w:r>
        <w:t xml:space="preserve"> — usable in the drag &amp; drop chart builder, dynamic dashboard widgets, Financial Summary cascade, commentary Driven-by and Mix analysis exactly like a TM1 extract column.</w:t>
      </w:r>
    </w:p>
    <w:p>
      <w:pPr>
        <w:spacing w:after="100"/>
        <w:ind w:left="360"/>
      </w:pPr>
      <w:r>
        <w:t xml:space="preserve">Beyond a node's own name, </w:t>
      </w:r>
      <w:r>
        <w:rPr>
          <w:rFonts w:ascii="Consolas" w:cs="Consolas" w:eastAsia="Consolas" w:hAnsi="Consolas"/>
          <w:shd w:fill="F2F1ED" w:val="clear"/>
        </w:rPr>
        <w:t xml:space="preserve">Extra5</w:t>
      </w:r>
      <w:r>
        <w:t xml:space="preserve"> </w:t>
      </w:r>
      <w:r>
        <w:rPr>
          <w:b/>
          <w:bCs/>
        </w:rPr>
        <w:t xml:space="preserve">stitches the node to the TM1 extract's MICA lines</w:t>
      </w:r>
      <w:r>
        <w:t xml:space="preserve">: a </w:t>
      </w:r>
      <w:r>
        <w:rPr>
          <w:rFonts w:ascii="Consolas" w:cs="Consolas" w:eastAsia="Consolas" w:hAnsi="Consolas"/>
          <w:shd w:fill="F2F1ED" w:val="clear"/>
        </w:rPr>
        <w:t xml:space="preserve">|</w:t>
      </w:r>
      <w:r>
        <w:t xml:space="preserve">-separated list of line names that belong to it (</w:t>
      </w:r>
      <w:r>
        <w:rPr>
          <w:rFonts w:ascii="Consolas" w:cs="Consolas" w:eastAsia="Consolas" w:hAnsi="Consolas"/>
          <w:shd w:fill="F2F1ED" w:val="clear"/>
        </w:rPr>
        <w:t xml:space="preserve">Banking NII</w:t>
      </w:r>
      <w:r>
        <w:t xml:space="preserve"> ← </w:t>
      </w:r>
      <w:r>
        <w:rPr>
          <w:rFonts w:ascii="Consolas" w:cs="Consolas" w:eastAsia="Consolas" w:hAnsi="Consolas"/>
          <w:shd w:fill="F2F1ED" w:val="clear"/>
        </w:rPr>
        <w:t xml:space="preserve">NII - Interest Income</w:t>
      </w:r>
      <w:r>
        <w:t xml:space="preserve">, </w:t>
      </w:r>
      <w:r>
        <w:rPr>
          <w:rFonts w:ascii="Consolas" w:cs="Consolas" w:eastAsia="Consolas" w:hAnsi="Consolas"/>
          <w:shd w:fill="F2F1ED" w:val="clear"/>
        </w:rPr>
        <w:t xml:space="preserve">Loans and Advances</w:t>
      </w:r>
      <w:r>
        <w:t xml:space="preserve"> ← </w:t>
      </w:r>
      <w:r>
        <w:rPr>
          <w:rFonts w:ascii="Consolas" w:cs="Consolas" w:eastAsia="Consolas" w:hAnsi="Consolas"/>
          <w:shd w:fill="F2F1ED" w:val="clear"/>
        </w:rPr>
        <w:t xml:space="preserve">Loans|Customer Loans</w:t>
      </w:r>
      <w:r>
        <w:t xml:space="preserve">, </w:t>
      </w:r>
      <w:r>
        <w:rPr>
          <w:rFonts w:ascii="Consolas" w:cs="Consolas" w:eastAsia="Consolas" w:hAnsi="Consolas"/>
          <w:shd w:fill="F2F1ED" w:val="clear"/>
        </w:rPr>
        <w:t xml:space="preserve">Direct Cost</w:t>
      </w:r>
      <w:r>
        <w:t xml:space="preserve"> ← </w:t>
      </w:r>
      <w:r>
        <w:rPr>
          <w:rFonts w:ascii="Consolas" w:cs="Consolas" w:eastAsia="Consolas" w:hAnsi="Consolas"/>
          <w:shd w:fill="F2F1ED" w:val="clear"/>
        </w:rPr>
        <w:t xml:space="preserve">Total Direct Cost|Staff Costs</w:t>
      </w:r>
      <w:r>
        <w:t xml:space="preserve">, …). A stitched match always beats an incidental name equality, so </w:t>
      </w:r>
      <w:r>
        <w:rPr>
          <w:rFonts w:ascii="Consolas" w:cs="Consolas" w:eastAsia="Consolas" w:hAnsi="Consolas"/>
          <w:shd w:fill="F2F1ED" w:val="clear"/>
        </w:rPr>
        <w:t xml:space="preserve">Deposits</w:t>
      </w:r>
      <w:r>
        <w:t xml:space="preserve"> lands on Customer Deposits even though a deeper node happens to be called Deposits too.</w:t>
      </w:r>
    </w:p>
    <w:p>
      <w:pPr>
        <w:spacing w:after="100"/>
        <w:ind w:left="360"/>
      </w:pPr>
      <w:r>
        <w:t xml:space="preserve">Rows naming nothing in a hierarchy fall into </w:t>
      </w:r>
      <w:r>
        <w:rPr>
          <w:rFonts w:ascii="Consolas" w:cs="Consolas" w:eastAsia="Consolas" w:hAnsi="Consolas"/>
          <w:shd w:fill="F2F1ED" w:val="clear"/>
        </w:rPr>
        <w:t xml:space="preserve">hierarchy_unmapped_label</w:t>
      </w:r>
      <w:r>
        <w:t xml:space="preserve"> (</w:t>
      </w:r>
      <w:r>
        <w:rPr>
          <w:rFonts w:ascii="Consolas" w:cs="Consolas" w:eastAsia="Consolas" w:hAnsi="Consolas"/>
          <w:shd w:fill="F2F1ED" w:val="clear"/>
        </w:rPr>
        <w:t xml:space="preserve">Unmapped</w:t>
      </w:r>
      <w:r>
        <w:t xml:space="preserve">). Uploading rows for a section replaces the built-in mapping wholesale; a section row with a blank first level clears it. The Financial Performance page itself binds through </w:t>
      </w:r>
      <w:r>
        <w:rPr>
          <w:rFonts w:ascii="Consolas" w:cs="Consolas" w:eastAsia="Consolas" w:hAnsi="Consolas"/>
          <w:shd w:fill="F2F1ED" w:val="clear"/>
        </w:rPr>
        <w:t xml:space="preserve">tile_dims</w:t>
      </w:r>
      <w:r>
        <w:t xml:space="preserve"> (e.g. </w:t>
      </w:r>
      <w:r>
        <w:rPr>
          <w:rFonts w:ascii="Consolas" w:cs="Consolas" w:eastAsia="Consolas" w:hAnsi="Consolas"/>
          <w:shd w:fill="F2F1ED" w:val="clear"/>
        </w:rPr>
        <w:t xml:space="preserve">accH1,accH2</w:t>
      </w:r>
      <w:r>
        <w:t xml:space="preserve">, or just </w:t>
      </w:r>
      <w:r>
        <w:rPr>
          <w:rFonts w:ascii="Consolas" w:cs="Consolas" w:eastAsia="Consolas" w:hAnsi="Consolas"/>
          <w:shd w:fill="F2F1ED" w:val="clear"/>
        </w:rPr>
        <w:t xml:space="preserve">accH2</w:t>
      </w:r>
      <w:r>
        <w:t xml:space="preserve">): the KPI tiles, left-rail KPI list, trajectory line picker, narrative ranking and the one-slide PPT all regroup by those dimensions instead of MICA Level 1/2.</w:t>
      </w:r>
    </w:p>
    <w:p>
      <w:pPr>
        <w:pStyle w:val="ListParagraph"/>
        <w:numPr>
          <w:ilvl w:val="0"/>
          <w:numId w:val="3"/>
        </w:numPr>
        <w:spacing w:after="100"/>
      </w:pPr>
      <w:r>
        <w:rPr>
          <w:b/>
          <w:bCs/>
        </w:rPr>
        <w:t xml:space="preserve">Metrics</w:t>
      </w:r>
      <w:r>
        <w:t xml:space="preserve"> — the reporting pack's scorecard metrics as named scopes: each row is </w:t>
      </w:r>
      <w:r>
        <w:rPr>
          <w:rFonts w:ascii="Consolas" w:cs="Consolas" w:eastAsia="Consolas" w:hAnsi="Consolas"/>
          <w:shd w:fill="F2F1ED" w:val="clear"/>
        </w:rPr>
        <w:t xml:space="preserve">Metrics,&lt;name&gt;,&lt;scope&gt;</w:t>
      </w:r>
      <w:r>
        <w:t xml:space="preserve"> where the scope selects the rows the metric speaks about, as </w:t>
      </w:r>
      <w:r>
        <w:rPr>
          <w:rFonts w:ascii="Consolas" w:cs="Consolas" w:eastAsia="Consolas" w:hAnsi="Consolas"/>
          <w:shd w:fill="F2F1ED" w:val="clear"/>
        </w:rPr>
        <w:t xml:space="preserve">dimension=value</w:t>
      </w:r>
      <w:r>
        <w:t xml:space="preserve"> pairs ANDed with </w:t>
      </w:r>
      <w:r>
        <w:rPr>
          <w:rFonts w:ascii="Consolas" w:cs="Consolas" w:eastAsia="Consolas" w:hAnsi="Consolas"/>
          <w:shd w:fill="F2F1ED" w:val="clear"/>
        </w:rPr>
        <w:t xml:space="preserve">;</w:t>
      </w:r>
      <w:r>
        <w:t xml:space="preserve"> — any dimension works, hierarchy levels included (</w:t>
      </w:r>
      <w:r>
        <w:rPr>
          <w:rFonts w:ascii="Consolas" w:cs="Consolas" w:eastAsia="Consolas" w:hAnsi="Consolas"/>
          <w:shd w:fill="F2F1ED" w:val="clear"/>
        </w:rPr>
        <w:t xml:space="preserve">accH3=Wealth Balances;cgL2=Private Bank</w:t>
      </w:r>
      <w:r>
        <w:t xml:space="preserve"> is </w:t>
      </w:r>
      <w:r>
        <w:rPr>
          <w:i/>
          <w:iCs/>
        </w:rPr>
        <w:t xml:space="preserve">PB Wealth Balance</w:t>
      </w:r>
      <w:r>
        <w:t xml:space="preserve">). Twelve ship by default: Revenue, Banking NII, Wealth Fees, PBT, Direct Cost ex VP CC GT, ECL, Deposits, Loans and Advances, Retail &amp; Premier / PB Wealth Balances, NNM and FY ROTE (the last needs a ROTE line in the TM1 extract). A metric a file cannot serve simply doesn't appear.</w:t>
      </w:r>
    </w:p>
    <w:p>
      <w:pPr>
        <w:spacing w:after="100"/>
        <w:ind w:left="360"/>
      </w:pPr>
      <w:r>
        <w:t xml:space="preserve">Metrics are first-class scopes everywhere — and by default they ARE the KPI cards: whenever at least two metrics resolve against the loaded file, the Financial Performance grid and the left-rail KPI list show the scorecard metrics (in catalogue order, each with its own unit and variances) instead of plain MICA grouping — </w:t>
      </w:r>
      <w:r>
        <w:rPr>
          <w:rFonts w:ascii="Consolas" w:cs="Consolas" w:eastAsia="Consolas" w:hAnsi="Consolas"/>
          <w:shd w:fill="F2F1ED" w:val="clear"/>
        </w:rPr>
        <w:t xml:space="preserve">tile_metrics: N</w:t>
      </w:r>
      <w:r>
        <w:t xml:space="preserve"> restores the old grouping, and an explicit </w:t>
      </w:r>
      <w:r>
        <w:rPr>
          <w:rFonts w:ascii="Consolas" w:cs="Consolas" w:eastAsia="Consolas" w:hAnsi="Consolas"/>
          <w:shd w:fill="F2F1ED" w:val="clear"/>
        </w:rPr>
        <w:t xml:space="preserve">tile_lines</w:t>
      </w:r>
      <w:r>
        <w:t xml:space="preserve"> (separate with </w:t>
      </w:r>
      <w:r>
        <w:rPr>
          <w:rFonts w:ascii="Consolas" w:cs="Consolas" w:eastAsia="Consolas" w:hAnsi="Consolas"/>
          <w:shd w:fill="F2F1ED" w:val="clear"/>
        </w:rPr>
        <w:t xml:space="preserve">;</w:t>
      </w:r>
      <w:r>
        <w:t xml:space="preserve"> so comma-bearing names stay whole) always wins.</w:t>
      </w:r>
    </w:p>
    <w:p>
      <w:pPr>
        <w:spacing w:after="100"/>
        <w:ind w:left="360"/>
      </w:pPr>
      <w:r>
        <w:t xml:space="preserve">From each card the usual flows make graphs and tables: click for the trajectory, drag a left-rail metric onto </w:t>
      </w:r>
      <w:r>
        <w:rPr>
          <w:b/>
          <w:bCs/>
        </w:rPr>
        <w:t xml:space="preserve">My dashboard</w:t>
      </w:r>
      <w:r>
        <w:t xml:space="preserve"> for a card/spark/table widget scoped to it — dashboard KPI cards carry the same multi-comparison stack as the tiles and the reporting pack (the selected basis, vs PY, vs Fcst and FY vs Tgt, whichever the file can serve, each as coloured amount + %) above the mini chart — and the "Metrics" group heads the scope pickers in Mix analysis and the drag &amp; drop chart builder. A </w:t>
      </w:r>
      <w:r>
        <w:rPr>
          <w:b/>
          <w:bCs/>
        </w:rPr>
        <w:t xml:space="preserve">KPI scorecard table</w:t>
      </w:r>
      <w:r>
        <w:t xml:space="preserve"> widget puts every metric on one page, in the reporting pack's own format by default: a grid of bordered boxes, each headed by the metric's name (with its unit) and value, with the comparison bases beneath as coloured triangle + amount + % rows — a header switch flips to a flat table (RAG dot, value, unit, comparison column pairs) instead. Boxes and rows click through to the KPI summary, the widget exports to Excel, and it never totals across statements (each metric keeps its own unit and no narrative is drawn).</w:t>
      </w:r>
    </w:p>
    <w:p>
      <w:pPr>
        <w:spacing w:after="100"/>
        <w:ind w:left="360"/>
      </w:pPr>
      <w:r>
        <w:rPr>
          <w:b/>
          <w:bCs/>
        </w:rPr>
        <w:t xml:space="preserve">Any metric can be hidden</w:t>
      </w:r>
      <w:r>
        <w:t xml:space="preserve">, exactly as a KPI tile can: the </w:t>
      </w:r>
      <w:r>
        <w:rPr>
          <w:b/>
          <w:bCs/>
        </w:rPr>
        <w:t xml:space="preserve">✕</w:t>
      </w:r>
      <w:r>
        <w:t xml:space="preserve"> on a box (or beside a row name in the flat table) parks it, the widget ends with a </w:t>
      </w:r>
      <w:r>
        <w:rPr>
          <w:i/>
          <w:iCs/>
        </w:rPr>
        <w:t xml:space="preserve">"N hidden metrics — show"</w:t>
      </w:r>
      <w:r>
        <w:t xml:space="preserve"> button that brings them back dimmed, and the </w:t>
      </w:r>
      <w:r>
        <w:rPr>
          <w:b/>
          <w:bCs/>
        </w:rPr>
        <w:t xml:space="preserve">↺</w:t>
      </w:r>
      <w:r>
        <w:t xml:space="preserve"> on a parked metric restores it. The choice is remembered in the browser, kept separate from the parked KPI tiles so the two surfaces stay independent, and carried into the widget's Excel export and its PowerPoint slide so the pack matches the page. Set </w:t>
      </w:r>
      <w:r>
        <w:rPr>
          <w:rFonts w:ascii="Consolas" w:cs="Consolas" w:eastAsia="Consolas" w:hAnsi="Consolas"/>
          <w:shd w:fill="F2F1ED" w:val="clear"/>
        </w:rPr>
        <w:t xml:space="preserve">scorecard_hidden</w:t>
      </w:r>
      <w:r>
        <w:t xml:space="preserve"> (a </w:t>
      </w:r>
      <w:r>
        <w:rPr>
          <w:rFonts w:ascii="Consolas" w:cs="Consolas" w:eastAsia="Consolas" w:hAnsi="Consolas"/>
          <w:shd w:fill="F2F1ED" w:val="clear"/>
        </w:rPr>
        <w:t xml:space="preserve">;</w:t>
      </w:r>
      <w:r>
        <w:t xml:space="preserve">- or </w:t>
      </w:r>
      <w:r>
        <w:rPr>
          <w:rFonts w:ascii="Consolas" w:cs="Consolas" w:eastAsia="Consolas" w:hAnsi="Consolas"/>
          <w:shd w:fill="F2F1ED" w:val="clear"/>
        </w:rPr>
        <w:t xml:space="preserve">,</w:t>
      </w:r>
      <w:r>
        <w:t xml:space="preserve">-separated list of metric names) to open with metrics already parked; the reader's first hide or restore takes over from then on.</w:t>
      </w:r>
    </w:p>
    <w:p>
      <w:pPr>
        <w:spacing w:after="100"/>
        <w:ind w:left="360"/>
      </w:pPr>
      <w:r>
        <w:t xml:space="preserve">The dashboard's PPT export renders the scorecard in the same pack-box format — native PowerPoint shapes (bordered box per KPI, name + headline value, coloured triangle variance rows, three boxes per row, paginating onto extra slides when needed), editable after export; a widget switched to the Flat table layout exports as a table slide instead. In the drag &amp; drop chart builder a </w:t>
      </w:r>
      <w:r>
        <w:rPr>
          <w:b/>
          <w:bCs/>
        </w:rPr>
        <w:t xml:space="preserve">Metric</w:t>
      </w:r>
      <w:r>
        <w:t xml:space="preserve"> field chip fans one category per catalogue metric — drop it in Group by (it always groups, never splits — a drop on Split by lands in Group by) and any chart type compares the metrics side by side, split-able by any other dimension, with balance metrics on their closing basis.</w:t>
      </w:r>
    </w:p>
    <w:p>
      <w:pPr>
        <w:spacing w:after="100"/>
        <w:ind w:left="360"/>
      </w:pPr>
      <w:r>
        <w:t xml:space="preserve">A </w:t>
      </w:r>
      <w:r>
        <w:rPr>
          <w:b/>
          <w:bCs/>
        </w:rPr>
        <w:t xml:space="preserve">Comparison</w:t>
      </w:r>
      <w:r>
        <w:t xml:space="preserve"> field chip puts actuals against forecast, target and prior year on one chart: grouped alone it draws one bar per basis (YTD actuals, YTD forecast, YTD PY, then FY forecast, FY target, FY PY — whichever the file serves, never summed, and never phased: the YTD forecast basis appears only when the file carries a genuine YTD forecast column for the selected month, and targets compare at the FY grain only); dropped as a split against Metric or any dimension it clusters those bases side by side per category, scorecard-style.</w:t>
      </w:r>
    </w:p>
    <w:p>
      <w:pPr>
        <w:spacing w:after="100"/>
        <w:ind w:left="360"/>
      </w:pPr>
      <w:r>
        <w:t xml:space="preserve">The table and Excel views add Variance and Var % per base, each computed at its own grain exactly as the KPI cards do — YTD bases against YTD actuals, FY bases against the FY forecast/outlook, never across grains — and skip the Total row when grouping by overlapping metrics. On a mixed P&amp;L + balance-sheet scope the comparison covers the P&amp;L side only (pick a balance-sheet KPI scope to compare balances: closing balance vs FY target and PY closing). Everything resolves through one scope machinery, exports included. Uploaded Metrics rows replace the built-in list wholesale.</w:t>
      </w:r>
    </w:p>
    <w:p>
      <w:pPr>
        <w:pStyle w:val="ListParagraph"/>
        <w:numPr>
          <w:ilvl w:val="0"/>
          <w:numId w:val="3"/>
        </w:numPr>
        <w:spacing w:after="100"/>
      </w:pPr>
      <w:r>
        <w:rPr>
          <w:b/>
          <w:bCs/>
        </w:rPr>
        <w:t xml:space="preserve">Rollup</w:t>
      </w:r>
      <w:r>
        <w:t xml:space="preserve"> — which lines foot to their children and which are taken as the file reports them, declared at MICA Level 1 and 2 (Level 3/4 accepted too). Columns: </w:t>
      </w:r>
      <w:r>
        <w:rPr>
          <w:rFonts w:ascii="Consolas" w:cs="Consolas" w:eastAsia="Consolas" w:hAnsi="Consolas"/>
          <w:shd w:fill="F2F1ED" w:val="clear"/>
        </w:rPr>
        <w:t xml:space="preserve">Level | Line | Roll up | Basis | Unit | Grain | Match | Notes</w:t>
      </w:r>
      <w:r>
        <w:t xml:space="preserve">, </w:t>
      </w:r>
      <w:r>
        <w:rPr>
          <w:b/>
          <w:bCs/>
        </w:rPr>
        <w:t xml:space="preserve">read by their headings</w:t>
      </w:r>
      <w:r>
        <w:t xml:space="preserve">, so a column may be moved or a new one added without breaking a pack already in circulation. </w:t>
      </w:r>
      <w:r>
        <w:rPr>
          <w:rFonts w:ascii="Consolas" w:cs="Consolas" w:eastAsia="Consolas" w:hAnsi="Consolas"/>
          <w:shd w:fill="F2F1ED" w:val="clear"/>
        </w:rPr>
        <w:t xml:space="preserve">Roll up</w:t>
      </w:r>
      <w:r>
        <w:t xml:space="preserve"> is </w:t>
      </w:r>
      <w:r>
        <w:rPr>
          <w:rFonts w:ascii="Consolas" w:cs="Consolas" w:eastAsia="Consolas" w:hAnsi="Consolas"/>
          <w:shd w:fill="F2F1ED" w:val="clear"/>
        </w:rPr>
        <w:t xml:space="preserve">Sum</w:t>
      </w:r>
      <w:r>
        <w:t xml:space="preserve"> (the parent equals its components), </w:t>
      </w:r>
      <w:r>
        <w:rPr>
          <w:rFonts w:ascii="Consolas" w:cs="Consolas" w:eastAsia="Consolas" w:hAnsi="Consolas"/>
          <w:shd w:fill="F2F1ED" w:val="clear"/>
        </w:rPr>
        <w:t xml:space="preserve">As reported</w:t>
      </w:r>
      <w:r>
        <w:t xml:space="preserve"> (the row is authoritative and its children are information — a fee metric reported at country, region, global </w:t>
      </w:r>
      <w:r>
        <w:rPr>
          <w:i/>
          <w:iCs/>
        </w:rPr>
        <w:t xml:space="preserve">and</w:t>
      </w:r>
      <w:r>
        <w:t xml:space="preserve"> group belongs here), </w:t>
      </w:r>
      <w:r>
        <w:rPr>
          <w:rFonts w:ascii="Consolas" w:cs="Consolas" w:eastAsia="Consolas" w:hAnsi="Consolas"/>
          <w:shd w:fill="F2F1ED" w:val="clear"/>
        </w:rPr>
        <w:t xml:space="preserve">Never</w:t>
      </w:r>
      <w:r>
        <w:t xml:space="preserve"> (non-additive — a ratio) or </w:t>
      </w:r>
      <w:r>
        <w:rPr>
          <w:rFonts w:ascii="Consolas" w:cs="Consolas" w:eastAsia="Consolas" w:hAnsi="Consolas"/>
          <w:shd w:fill="F2F1ED" w:val="clear"/>
        </w:rPr>
        <w:t xml:space="preserve">Memo</w:t>
      </w:r>
      <w:r>
        <w:t xml:space="preserve"> (disclosure only; never contributes to a parent).</w:t>
      </w:r>
    </w:p>
    <w:p>
      <w:pPr>
        <w:spacing w:after="100"/>
        <w:ind w:left="360"/>
      </w:pPr>
      <w:r>
        <w:rPr>
          <w:rFonts w:ascii="Consolas" w:cs="Consolas" w:eastAsia="Consolas" w:hAnsi="Consolas"/>
          <w:shd w:fill="F2F1ED" w:val="clear"/>
        </w:rPr>
        <w:t xml:space="preserve">Basis</w:t>
      </w:r>
      <w:r>
        <w:t xml:space="preserve"> is </w:t>
      </w:r>
      <w:r>
        <w:rPr>
          <w:rFonts w:ascii="Consolas" w:cs="Consolas" w:eastAsia="Consolas" w:hAnsi="Consolas"/>
          <w:shd w:fill="F2F1ED" w:val="clear"/>
        </w:rPr>
        <w:t xml:space="preserve">P&amp;L</w:t>
      </w:r>
      <w:r>
        <w:t xml:space="preserve">, </w:t>
      </w:r>
      <w:r>
        <w:rPr>
          <w:rFonts w:ascii="Consolas" w:cs="Consolas" w:eastAsia="Consolas" w:hAnsi="Consolas"/>
          <w:shd w:fill="F2F1ED" w:val="clear"/>
        </w:rPr>
        <w:t xml:space="preserve">Balance</w:t>
      </w:r>
      <w:r>
        <w:t xml:space="preserve"> or </w:t>
      </w:r>
      <w:r>
        <w:rPr>
          <w:rFonts w:ascii="Consolas" w:cs="Consolas" w:eastAsia="Consolas" w:hAnsi="Consolas"/>
          <w:shd w:fill="F2F1ED" w:val="clear"/>
        </w:rPr>
        <w:t xml:space="preserve">Ratio</w:t>
      </w:r>
      <w:r>
        <w:t xml:space="preserve">. </w:t>
      </w:r>
      <w:r>
        <w:rPr>
          <w:rFonts w:ascii="Consolas" w:cs="Consolas" w:eastAsia="Consolas" w:hAnsi="Consolas"/>
          <w:shd w:fill="F2F1ED" w:val="clear"/>
        </w:rPr>
        <w:t xml:space="preserve">Grain</w:t>
      </w:r>
      <w:r>
        <w:t xml:space="preserve"> names the geographic levels a line may be read at — </w:t>
      </w:r>
      <w:r>
        <w:rPr>
          <w:rFonts w:ascii="Consolas" w:cs="Consolas" w:eastAsia="Consolas" w:hAnsi="Consolas"/>
          <w:shd w:fill="F2F1ED" w:val="clear"/>
        </w:rPr>
        <w:t xml:space="preserve">Country, Region, Global, Group</w:t>
      </w:r>
      <w:r>
        <w:t xml:space="preserve">, or </w:t>
      </w:r>
      <w:r>
        <w:rPr>
          <w:rFonts w:ascii="Consolas" w:cs="Consolas" w:eastAsia="Consolas" w:hAnsi="Consolas"/>
          <w:shd w:fill="F2F1ED" w:val="clear"/>
        </w:rPr>
        <w:t xml:space="preserve">All</w:t>
      </w:r>
      <w:r>
        <w:t xml:space="preserve"> — and nothing is ever apportioned below the finest grain declared. </w:t>
      </w:r>
      <w:r>
        <w:rPr>
          <w:rFonts w:ascii="Consolas" w:cs="Consolas" w:eastAsia="Consolas" w:hAnsi="Consolas"/>
          <w:shd w:fill="F2F1ED" w:val="clear"/>
        </w:rPr>
        <w:t xml:space="preserve">Match</w:t>
      </w:r>
      <w:r>
        <w:t xml:space="preserve"> lists alternative names for the same line, separated by </w:t>
      </w:r>
      <w:r>
        <w:rPr>
          <w:rFonts w:ascii="Consolas" w:cs="Consolas" w:eastAsia="Consolas" w:hAnsi="Consolas"/>
          <w:shd w:fill="F2F1ED" w:val="clear"/>
        </w:rPr>
        <w:t xml:space="preserve">|</w:t>
      </w:r>
      <w:r>
        <w:t xml:space="preserve">, so one declaration covers the naming a pack actually uses (</w:t>
      </w:r>
      <w:r>
        <w:rPr>
          <w:rFonts w:ascii="Consolas" w:cs="Consolas" w:eastAsia="Consolas" w:hAnsi="Consolas"/>
          <w:shd w:fill="F2F1ED" w:val="clear"/>
        </w:rPr>
        <w:t xml:space="preserve">PBT|PBT ex Notables</w:t>
      </w:r>
      <w:r>
        <w:t xml:space="preserve">). Calculated metrics belong here as well: a metric the </w:t>
      </w:r>
      <w:r>
        <w:rPr>
          <w:b/>
          <w:bCs/>
        </w:rPr>
        <w:t xml:space="preserve">Definitions</w:t>
      </w:r>
      <w:r>
        <w:t xml:space="preserve"> tab builds from other rows (Banking NII, for instance) is a view of those rows, so it is a </w:t>
      </w:r>
      <w:r>
        <w:rPr>
          <w:rFonts w:ascii="Consolas" w:cs="Consolas" w:eastAsia="Consolas" w:hAnsi="Consolas"/>
          <w:shd w:fill="F2F1ED" w:val="clear"/>
        </w:rPr>
        <w:t xml:space="preserve">Memo</w:t>
      </w:r>
      <w:r>
        <w:t xml:space="preserve"> — it is shown on its tile and never added beside its own components.</w:t>
      </w:r>
    </w:p>
    <w:p>
      <w:pPr>
        <w:spacing w:after="140"/>
        <w:ind w:left="360"/>
      </w:pPr>
      <w:r>
        <w:rPr>
          <w:b/>
          <w:bCs/>
        </w:rPr>
        <w:t xml:space="preserve">`Unit` — what the line is reported in.</w:t>
      </w:r>
      <w:r>
        <w:t xml:space="preserve"> A unit is two things and one cell states both: the </w:t>
      </w:r>
      <w:r>
        <w:rPr>
          <w:b/>
          <w:bCs/>
        </w:rPr>
        <w:t xml:space="preserve">scale</w:t>
      </w:r>
      <w:r>
        <w:t xml:space="preserve"> (millions, billions, thousands) and the </w:t>
      </w:r>
      <w:r>
        <w:rPr>
          <w:b/>
          <w:bCs/>
        </w:rPr>
        <w:t xml:space="preserve">kind</w:t>
      </w:r>
      <w:r>
        <w:t xml:space="preserve"> of thing being counted. </w:t>
      </w:r>
      <w:r>
        <w:rPr>
          <w:b/>
          <w:bCs/>
        </w:rPr>
        <w:t xml:space="preserve">The currency symbol is what separates them</w:t>
      </w:r>
      <w:r>
        <w:t xml:space="preserve"> — </w:t>
      </w:r>
      <w:r>
        <w:rPr>
          <w:rFonts w:ascii="Consolas" w:cs="Consolas" w:eastAsia="Consolas" w:hAnsi="Consolas"/>
          <w:shd w:fill="F2F1ED" w:val="clear"/>
        </w:rPr>
        <w:t xml:space="preserve">$mn</w:t>
      </w:r>
      <w:r>
        <w:t xml:space="preserve"> is money in millions, </w:t>
      </w:r>
      <w:r>
        <w:rPr>
          <w:rFonts w:ascii="Consolas" w:cs="Consolas" w:eastAsia="Consolas" w:hAnsi="Consolas"/>
          <w:shd w:fill="F2F1ED" w:val="clear"/>
        </w:rPr>
        <w:t xml:space="preserve">mn</w:t>
      </w:r>
      <w:r>
        <w:t xml:space="preserve"> on its own is a number in millions, and the two are never added together however alike their scales look.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7E9EA" w:val="clear"/>
            <w:tcMar>
              <w:top w:type="dxa" w:w="60"/>
              <w:left w:type="dxa" w:w="100"/>
              <w:bottom w:type="dxa" w:w="60"/>
              <w:right w:type="dxa" w:w="100"/>
            </w:tcMar>
          </w:tcPr>
          <w:p>
            <w:r>
              <w:rPr>
                <w:b/>
                <w:bCs/>
                <w:color w:val="DB0011"/>
              </w:rPr>
              <w:t xml:space="preserve">Written as</w:t>
            </w:r>
          </w:p>
        </w:tc>
        <w:tc>
          <w:tcPr>
            <w:shd w:fill="F7E9EA" w:val="clear"/>
            <w:tcMar>
              <w:top w:type="dxa" w:w="60"/>
              <w:left w:type="dxa" w:w="100"/>
              <w:bottom w:type="dxa" w:w="60"/>
              <w:right w:type="dxa" w:w="100"/>
            </w:tcMar>
          </w:tcPr>
          <w:p>
            <w:r>
              <w:rPr>
                <w:b/>
                <w:bCs/>
                <w:color w:val="DB0011"/>
              </w:rPr>
              <w:t xml:space="preserve">Kind</w:t>
            </w:r>
          </w:p>
        </w:tc>
        <w:tc>
          <w:tcPr>
            <w:shd w:fill="F7E9EA" w:val="clear"/>
            <w:tcMar>
              <w:top w:type="dxa" w:w="60"/>
              <w:left w:type="dxa" w:w="100"/>
              <w:bottom w:type="dxa" w:w="60"/>
              <w:right w:type="dxa" w:w="100"/>
            </w:tcMar>
          </w:tcPr>
          <w:p>
            <w:r>
              <w:rPr>
                <w:b/>
                <w:bCs/>
                <w:color w:val="DB0011"/>
              </w:rPr>
              <w:t xml:space="preserve">Reads as</w:t>
            </w:r>
          </w:p>
        </w:tc>
      </w:tr>
      <w:tr>
        <w:tc>
          <w:tcPr>
            <w:tcMar>
              <w:top w:type="dxa" w:w="60"/>
              <w:left w:type="dxa" w:w="100"/>
              <w:bottom w:type="dxa" w:w="60"/>
              <w:right w:type="dxa" w:w="100"/>
            </w:tcMar>
          </w:tcPr>
          <w:p>
            <w:pPr>
              <w:spacing w:after="0"/>
            </w:pPr>
            <w:r>
              <w:rPr>
                <w:rFonts w:ascii="Consolas" w:cs="Consolas" w:eastAsia="Consolas" w:hAnsi="Consolas"/>
                <w:shd w:fill="F2F1ED" w:val="clear"/>
              </w:rPr>
              <w:t xml:space="preserve">$mn</w:t>
            </w:r>
            <w:r>
              <w:t xml:space="preserve">, </w:t>
            </w:r>
            <w:r>
              <w:rPr>
                <w:rFonts w:ascii="Consolas" w:cs="Consolas" w:eastAsia="Consolas" w:hAnsi="Consolas"/>
                <w:shd w:fill="F2F1ED" w:val="clear"/>
              </w:rPr>
              <w:t xml:space="preserve">US$m</w:t>
            </w:r>
            <w:r>
              <w:t xml:space="preserve">, </w:t>
            </w:r>
            <w:r>
              <w:rPr>
                <w:rFonts w:ascii="Consolas" w:cs="Consolas" w:eastAsia="Consolas" w:hAnsi="Consolas"/>
                <w:shd w:fill="F2F1ED" w:val="clear"/>
              </w:rPr>
              <w:t xml:space="preserve">$bn</w:t>
            </w:r>
            <w:r>
              <w:t xml:space="preserve">, </w:t>
            </w:r>
            <w:r>
              <w:rPr>
                <w:rFonts w:ascii="Consolas" w:cs="Consolas" w:eastAsia="Consolas" w:hAnsi="Consolas"/>
                <w:shd w:fill="F2F1ED" w:val="clear"/>
              </w:rPr>
              <w:t xml:space="preserve">US$k</w:t>
            </w:r>
          </w:p>
        </w:tc>
        <w:tc>
          <w:tcPr>
            <w:tcMar>
              <w:top w:type="dxa" w:w="60"/>
              <w:left w:type="dxa" w:w="100"/>
              <w:bottom w:type="dxa" w:w="60"/>
              <w:right w:type="dxa" w:w="100"/>
            </w:tcMar>
          </w:tcPr>
          <w:p>
            <w:pPr>
              <w:spacing w:after="0"/>
            </w:pPr>
            <w:r>
              <w:t xml:space="preserve">money</w:t>
            </w:r>
          </w:p>
        </w:tc>
        <w:tc>
          <w:tcPr>
            <w:tcMar>
              <w:top w:type="dxa" w:w="60"/>
              <w:left w:type="dxa" w:w="100"/>
              <w:bottom w:type="dxa" w:w="60"/>
              <w:right w:type="dxa" w:w="100"/>
            </w:tcMar>
          </w:tcPr>
          <w:p>
            <w:pPr>
              <w:spacing w:after="0"/>
            </w:pPr>
            <w:r>
              <w:t xml:space="preserve">US$m, US$bn, US$k</w:t>
            </w:r>
          </w:p>
        </w:tc>
      </w:tr>
      <w:tr>
        <w:tc>
          <w:tcPr>
            <w:tcMar>
              <w:top w:type="dxa" w:w="60"/>
              <w:left w:type="dxa" w:w="100"/>
              <w:bottom w:type="dxa" w:w="60"/>
              <w:right w:type="dxa" w:w="100"/>
            </w:tcMar>
          </w:tcPr>
          <w:p>
            <w:pPr>
              <w:spacing w:after="0"/>
            </w:pPr>
            <w:r>
              <w:rPr>
                <w:rFonts w:ascii="Consolas" w:cs="Consolas" w:eastAsia="Consolas" w:hAnsi="Consolas"/>
                <w:shd w:fill="F2F1ED" w:val="clear"/>
              </w:rPr>
              <w:t xml:space="preserve">mn</w:t>
            </w:r>
            <w:r>
              <w:t xml:space="preserve">, </w:t>
            </w:r>
            <w:r>
              <w:rPr>
                <w:rFonts w:ascii="Consolas" w:cs="Consolas" w:eastAsia="Consolas" w:hAnsi="Consolas"/>
                <w:shd w:fill="F2F1ED" w:val="clear"/>
              </w:rPr>
              <w:t xml:space="preserve">bn</w:t>
            </w:r>
            <w:r>
              <w:t xml:space="preserve">, </w:t>
            </w:r>
            <w:r>
              <w:rPr>
                <w:rFonts w:ascii="Consolas" w:cs="Consolas" w:eastAsia="Consolas" w:hAnsi="Consolas"/>
                <w:shd w:fill="F2F1ED" w:val="clear"/>
              </w:rPr>
              <w:t xml:space="preserve">000s</w:t>
            </w:r>
            <w:r>
              <w:t xml:space="preserve"> (no currency)</w:t>
            </w:r>
          </w:p>
        </w:tc>
        <w:tc>
          <w:tcPr>
            <w:tcMar>
              <w:top w:type="dxa" w:w="60"/>
              <w:left w:type="dxa" w:w="100"/>
              <w:bottom w:type="dxa" w:w="60"/>
              <w:right w:type="dxa" w:w="100"/>
            </w:tcMar>
          </w:tcPr>
          <w:p>
            <w:pPr>
              <w:spacing w:after="0"/>
            </w:pPr>
            <w:r>
              <w:t xml:space="preserve">number</w:t>
            </w:r>
          </w:p>
        </w:tc>
        <w:tc>
          <w:tcPr>
            <w:tcMar>
              <w:top w:type="dxa" w:w="60"/>
              <w:left w:type="dxa" w:w="100"/>
              <w:bottom w:type="dxa" w:w="60"/>
              <w:right w:type="dxa" w:w="100"/>
            </w:tcMar>
          </w:tcPr>
          <w:p>
            <w:pPr>
              <w:spacing w:after="0"/>
            </w:pPr>
            <w:r>
              <w:t xml:space="preserve">mn, bn, k</w:t>
            </w:r>
          </w:p>
        </w:tc>
      </w:tr>
      <w:tr>
        <w:tc>
          <w:tcPr>
            <w:tcMar>
              <w:top w:type="dxa" w:w="60"/>
              <w:left w:type="dxa" w:w="100"/>
              <w:bottom w:type="dxa" w:w="60"/>
              <w:right w:type="dxa" w:w="100"/>
            </w:tcMar>
          </w:tcPr>
          <w:p>
            <w:pPr>
              <w:spacing w:after="0"/>
            </w:pPr>
            <w:r>
              <w:rPr>
                <w:rFonts w:ascii="Consolas" w:cs="Consolas" w:eastAsia="Consolas" w:hAnsi="Consolas"/>
                <w:shd w:fill="F2F1ED" w:val="clear"/>
              </w:rPr>
              <w:t xml:space="preserve">Absolute</w:t>
            </w:r>
            <w:r>
              <w:t xml:space="preserve">, </w:t>
            </w:r>
            <w:r>
              <w:rPr>
                <w:rFonts w:ascii="Consolas" w:cs="Consolas" w:eastAsia="Consolas" w:hAnsi="Consolas"/>
                <w:shd w:fill="F2F1ED" w:val="clear"/>
              </w:rPr>
              <w:t xml:space="preserve">Number</w:t>
            </w:r>
            <w:r>
              <w:t xml:space="preserve">, </w:t>
            </w:r>
            <w:r>
              <w:rPr>
                <w:rFonts w:ascii="Consolas" w:cs="Consolas" w:eastAsia="Consolas" w:hAnsi="Consolas"/>
                <w:shd w:fill="F2F1ED" w:val="clear"/>
              </w:rPr>
              <w:t xml:space="preserve">Count</w:t>
            </w:r>
            <w:r>
              <w:t xml:space="preserve">, </w:t>
            </w:r>
            <w:r>
              <w:rPr>
                <w:rFonts w:ascii="Consolas" w:cs="Consolas" w:eastAsia="Consolas" w:hAnsi="Consolas"/>
                <w:shd w:fill="F2F1ED" w:val="clear"/>
              </w:rPr>
              <w:t xml:space="preserve">FTE</w:t>
            </w:r>
            <w:r>
              <w:t xml:space="preserve">, </w:t>
            </w:r>
            <w:r>
              <w:rPr>
                <w:rFonts w:ascii="Consolas" w:cs="Consolas" w:eastAsia="Consolas" w:hAnsi="Consolas"/>
                <w:shd w:fill="F2F1ED" w:val="clear"/>
              </w:rPr>
              <w:t xml:space="preserve">Nos</w:t>
            </w:r>
          </w:p>
        </w:tc>
        <w:tc>
          <w:tcPr>
            <w:tcMar>
              <w:top w:type="dxa" w:w="60"/>
              <w:left w:type="dxa" w:w="100"/>
              <w:bottom w:type="dxa" w:w="60"/>
              <w:right w:type="dxa" w:w="100"/>
            </w:tcMar>
          </w:tcPr>
          <w:p>
            <w:pPr>
              <w:spacing w:after="0"/>
            </w:pPr>
            <w:r>
              <w:t xml:space="preserve">number</w:t>
            </w:r>
          </w:p>
        </w:tc>
        <w:tc>
          <w:tcPr>
            <w:tcMar>
              <w:top w:type="dxa" w:w="60"/>
              <w:left w:type="dxa" w:w="100"/>
              <w:bottom w:type="dxa" w:w="60"/>
              <w:right w:type="dxa" w:w="100"/>
            </w:tcMar>
          </w:tcPr>
          <w:p>
            <w:pPr>
              <w:spacing w:after="0"/>
            </w:pPr>
            <w:r>
              <w:t xml:space="preserve">a plain number</w:t>
            </w:r>
          </w:p>
        </w:tc>
      </w:tr>
      <w:tr>
        <w:tc>
          <w:tcPr>
            <w:tcMar>
              <w:top w:type="dxa" w:w="60"/>
              <w:left w:type="dxa" w:w="100"/>
              <w:bottom w:type="dxa" w:w="60"/>
              <w:right w:type="dxa" w:w="100"/>
            </w:tcMar>
          </w:tcPr>
          <w:p>
            <w:pPr>
              <w:spacing w:after="0"/>
            </w:pPr>
            <w:r>
              <w:rPr>
                <w:rFonts w:ascii="Consolas" w:cs="Consolas" w:eastAsia="Consolas" w:hAnsi="Consolas"/>
                <w:shd w:fill="F2F1ED" w:val="clear"/>
              </w:rPr>
              <w:t xml:space="preserve">%</w:t>
            </w:r>
            <w:r>
              <w:t xml:space="preserve">, </w:t>
            </w:r>
            <w:r>
              <w:rPr>
                <w:rFonts w:ascii="Consolas" w:cs="Consolas" w:eastAsia="Consolas" w:hAnsi="Consolas"/>
                <w:shd w:fill="F2F1ED" w:val="clear"/>
              </w:rPr>
              <w:t xml:space="preserve">pct</w:t>
            </w:r>
            <w:r>
              <w:t xml:space="preserve">, </w:t>
            </w:r>
            <w:r>
              <w:rPr>
                <w:rFonts w:ascii="Consolas" w:cs="Consolas" w:eastAsia="Consolas" w:hAnsi="Consolas"/>
                <w:shd w:fill="F2F1ED" w:val="clear"/>
              </w:rPr>
              <w:t xml:space="preserve">bps</w:t>
            </w:r>
            <w:r>
              <w:t xml:space="preserve">, </w:t>
            </w:r>
            <w:r>
              <w:rPr>
                <w:rFonts w:ascii="Consolas" w:cs="Consolas" w:eastAsia="Consolas" w:hAnsi="Consolas"/>
                <w:shd w:fill="F2F1ED" w:val="clear"/>
              </w:rPr>
              <w:t xml:space="preserve">ratio</w:t>
            </w:r>
          </w:p>
        </w:tc>
        <w:tc>
          <w:tcPr>
            <w:tcMar>
              <w:top w:type="dxa" w:w="60"/>
              <w:left w:type="dxa" w:w="100"/>
              <w:bottom w:type="dxa" w:w="60"/>
              <w:right w:type="dxa" w:w="100"/>
            </w:tcMar>
          </w:tcPr>
          <w:p>
            <w:pPr>
              <w:spacing w:after="0"/>
            </w:pPr>
            <w:r>
              <w:t xml:space="preserve">ratio</w:t>
            </w:r>
          </w:p>
        </w:tc>
        <w:tc>
          <w:tcPr>
            <w:tcMar>
              <w:top w:type="dxa" w:w="60"/>
              <w:left w:type="dxa" w:w="100"/>
              <w:bottom w:type="dxa" w:w="60"/>
              <w:right w:type="dxa" w:w="100"/>
            </w:tcMar>
          </w:tcPr>
          <w:p>
            <w:pPr>
              <w:spacing w:after="0"/>
            </w:pPr>
            <w:r>
              <w:t xml:space="preserve">a ratio — never additive</w:t>
            </w:r>
          </w:p>
        </w:tc>
      </w:tr>
      <w:tr>
        <w:tc>
          <w:tcPr>
            <w:tcMar>
              <w:top w:type="dxa" w:w="60"/>
              <w:left w:type="dxa" w:w="100"/>
              <w:bottom w:type="dxa" w:w="60"/>
              <w:right w:type="dxa" w:w="100"/>
            </w:tcMar>
          </w:tcPr>
          <w:p>
            <w:pPr>
              <w:spacing w:after="0"/>
            </w:pPr>
            <w:r>
              <w:rPr>
                <w:rFonts w:ascii="Consolas" w:cs="Consolas" w:eastAsia="Consolas" w:hAnsi="Consolas"/>
                <w:shd w:fill="F2F1ED" w:val="clear"/>
              </w:rPr>
              <w:t xml:space="preserve">$ as is</w:t>
            </w:r>
            <w:r>
              <w:t xml:space="preserve">, </w:t>
            </w:r>
            <w:r>
              <w:rPr>
                <w:rFonts w:ascii="Consolas" w:cs="Consolas" w:eastAsia="Consolas" w:hAnsi="Consolas"/>
                <w:shd w:fill="F2F1ED" w:val="clear"/>
              </w:rPr>
              <w:t xml:space="preserve">as reported</w:t>
            </w:r>
          </w:p>
        </w:tc>
        <w:tc>
          <w:tcPr>
            <w:tcMar>
              <w:top w:type="dxa" w:w="60"/>
              <w:left w:type="dxa" w:w="100"/>
              <w:bottom w:type="dxa" w:w="60"/>
              <w:right w:type="dxa" w:w="100"/>
            </w:tcMar>
          </w:tcPr>
          <w:p>
            <w:pPr>
              <w:spacing w:after="0"/>
            </w:pPr>
            <w:r>
              <w:t xml:space="preserve">money</w:t>
            </w:r>
          </w:p>
        </w:tc>
        <w:tc>
          <w:tcPr>
            <w:tcMar>
              <w:top w:type="dxa" w:w="60"/>
              <w:left w:type="dxa" w:w="100"/>
              <w:bottom w:type="dxa" w:w="60"/>
              <w:right w:type="dxa" w:w="100"/>
            </w:tcMar>
          </w:tcPr>
          <w:p>
            <w:pPr>
              <w:spacing w:after="0"/>
            </w:pPr>
            <w:r>
              <w:t xml:space="preserve">the unit the file itself carries</w:t>
            </w:r>
          </w:p>
        </w:tc>
      </w:tr>
    </w:tbl>
    <w:p>
      <w:pPr>
        <w:spacing w:after="160"/>
      </w:pPr>
    </w:p>
    <w:p>
      <w:pPr>
        <w:spacing w:after="140"/>
        <w:ind w:left="360"/>
      </w:pPr>
      <w:r>
        <w:rPr>
          <w:b/>
          <w:bCs/>
        </w:rPr>
        <w:t xml:space="preserve">The two kinds scale from different bases</w:t>
      </w:r>
      <w:r>
        <w:t xml:space="preserve">, because they start from different places. Money is stated against the file's own unit — a file in US$m carrying a line declared </w:t>
      </w:r>
      <w:r>
        <w:rPr>
          <w:rFonts w:ascii="Consolas" w:cs="Consolas" w:eastAsia="Consolas" w:hAnsi="Consolas"/>
          <w:shd w:fill="F2F1ED" w:val="clear"/>
        </w:rPr>
        <w:t xml:space="preserve">US$m</w:t>
      </w:r>
      <w:r>
        <w:t xml:space="preserve"> divides by one, and one declared </w:t>
      </w:r>
      <w:r>
        <w:rPr>
          <w:rFonts w:ascii="Consolas" w:cs="Consolas" w:eastAsia="Consolas" w:hAnsi="Consolas"/>
          <w:shd w:fill="F2F1ED" w:val="clear"/>
        </w:rPr>
        <w:t xml:space="preserve">US$bn</w:t>
      </w:r>
      <w:r>
        <w:t xml:space="preserve"> by a thousand. A count has no such base: 162,369 customers is 162,369 units, so a count declared </w:t>
      </w:r>
      <w:r>
        <w:rPr>
          <w:rFonts w:ascii="Consolas" w:cs="Consolas" w:eastAsia="Consolas" w:hAnsi="Consolas"/>
          <w:shd w:fill="F2F1ED" w:val="clear"/>
        </w:rPr>
        <w:t xml:space="preserve">mn</w:t>
      </w:r>
      <w:r>
        <w:t xml:space="preserve"> divides by a </w:t>
      </w:r>
      <w:r>
        <w:rPr>
          <w:b/>
          <w:bCs/>
        </w:rPr>
        <w:t xml:space="preserve">million</w:t>
      </w:r>
      <w:r>
        <w:t xml:space="preserve"> and prints as </w:t>
      </w:r>
      <w:r>
        <w:rPr>
          <w:rFonts w:ascii="Consolas" w:cs="Consolas" w:eastAsia="Consolas" w:hAnsi="Consolas"/>
          <w:shd w:fill="F2F1ED" w:val="clear"/>
        </w:rPr>
        <w:t xml:space="preserve">0.16mn</w:t>
      </w:r>
      <w:r>
        <w:t xml:space="preserve">. A count declared </w:t>
      </w:r>
      <w:r>
        <w:rPr>
          <w:rFonts w:ascii="Consolas" w:cs="Consolas" w:eastAsia="Consolas" w:hAnsi="Consolas"/>
          <w:shd w:fill="F2F1ED" w:val="clear"/>
        </w:rPr>
        <w:t xml:space="preserve">Absolute</w:t>
      </w:r>
      <w:r>
        <w:t xml:space="preserve"> divides by one. A figure scaled below one keeps two decimals rather than rounding itself away.</w:t>
      </w:r>
    </w:p>
    <w:p>
      <w:pPr>
        <w:spacing w:after="140"/>
        <w:ind w:left="360"/>
      </w:pPr>
      <w:r>
        <w:t xml:space="preserve">Declared per line at MICA Level 1 and 2. This is the pack's policy, not the reader's preference: a declared unit governs that line wherever it is printed, exactly as </w:t>
      </w:r>
      <w:r>
        <w:rPr>
          <w:rFonts w:ascii="Consolas" w:cs="Consolas" w:eastAsia="Consolas" w:hAnsi="Consolas"/>
          <w:shd w:fill="F2F1ED" w:val="clear"/>
        </w:rPr>
        <w:t xml:space="preserve">bs_unit</w:t>
      </w:r>
      <w:r>
        <w:t xml:space="preserve"> governs a balance, and the unit picker at the top of the page does not override it. Two rules keep it honest.</w:t>
      </w:r>
    </w:p>
    <w:p>
      <w:pPr>
        <w:spacing w:after="140"/>
        <w:ind w:left="360"/>
      </w:pPr>
      <w:r>
        <w:rPr>
          <w:b/>
          <w:bCs/>
        </w:rPr>
        <w:t xml:space="preserve">It restates the unit, never the figure</w:t>
      </w:r>
      <w:r>
        <w:t xml:space="preserve"> — a P&amp;L line is still the actuals YTD column for the month in hand, a balance still its closing month, taken exactly as the roll-up rules above describe. And </w:t>
      </w:r>
      <w:r>
        <w:rPr>
          <w:b/>
          <w:bCs/>
        </w:rPr>
        <w:t xml:space="preserve">a declaration only changes what it has to</w:t>
      </w:r>
      <w:r>
        <w:t xml:space="preserve">: naming the unit the file already carries (</w:t>
      </w:r>
      <w:r>
        <w:rPr>
          <w:rFonts w:ascii="Consolas" w:cs="Consolas" w:eastAsia="Consolas" w:hAnsi="Consolas"/>
          <w:shd w:fill="F2F1ED" w:val="clear"/>
        </w:rPr>
        <w:t xml:space="preserve">US$m</w:t>
      </w:r>
      <w:r>
        <w:t xml:space="preserve"> on a file stated in US$m) sets the label and leaves every figure formatted as before, while </w:t>
      </w:r>
      <w:r>
        <w:rPr>
          <w:rFonts w:ascii="Consolas" w:cs="Consolas" w:eastAsia="Consolas" w:hAnsi="Consolas"/>
          <w:shd w:fill="F2F1ED" w:val="clear"/>
        </w:rPr>
        <w:t xml:space="preserve">As reported</w:t>
      </w:r>
      <w:r>
        <w:t xml:space="preserve"> on a balance is what takes that line back out of billions. A row may carry a </w:t>
      </w:r>
      <w:r>
        <w:rPr>
          <w:rFonts w:ascii="Consolas" w:cs="Consolas" w:eastAsia="Consolas" w:hAnsi="Consolas"/>
          <w:shd w:fill="F2F1ED" w:val="clear"/>
        </w:rPr>
        <w:t xml:space="preserve">Unit</w:t>
      </w:r>
      <w:r>
        <w:t xml:space="preserve"> with the </w:t>
      </w:r>
      <w:r>
        <w:rPr>
          <w:rFonts w:ascii="Consolas" w:cs="Consolas" w:eastAsia="Consolas" w:hAnsi="Consolas"/>
          <w:shd w:fill="F2F1ED" w:val="clear"/>
        </w:rPr>
        <w:t xml:space="preserve">Roll up</w:t>
      </w:r>
      <w:r>
        <w:t xml:space="preserve"> column left blank — it then declares the unit and says nothing about how the line aggregates.</w:t>
      </w:r>
    </w:p>
    <w:p>
      <w:pPr>
        <w:spacing w:after="140"/>
        <w:ind w:left="360"/>
      </w:pPr>
      <w:r>
        <w:t xml:space="preserve">This governs the KPI tiles and the KPI summary (including the scorecard and dashboard widgets), </w:t>
      </w:r>
      <w:r>
        <w:rPr>
          <w:b/>
          <w:bCs/>
        </w:rPr>
        <w:t xml:space="preserve">Business performance</w:t>
      </w:r>
      <w:r>
        <w:t xml:space="preserve"> — each column is cast and headed in its own line's unit — and the </w:t>
      </w:r>
      <w:r>
        <w:rPr>
          <w:b/>
          <w:bCs/>
        </w:rPr>
        <w:t xml:space="preserve">Financial Summary</w:t>
      </w:r>
      <w:r>
        <w:t xml:space="preserve"> on screen, in its Excel export, in its PowerPoint table and in the words it writes, with each block headed in the unit its lines are declared in. The simulation pages, the drag &amp; drop charts and the mix analysis still follow the P&amp;L / balance convention (</w:t>
      </w:r>
      <w:r>
        <w:rPr>
          <w:rFonts w:ascii="Consolas" w:cs="Consolas" w:eastAsia="Consolas" w:hAnsi="Consolas"/>
          <w:shd w:fill="F2F1ED" w:val="clear"/>
        </w:rPr>
        <w:t xml:space="preserve">unit_label</w:t>
      </w:r>
      <w:r>
        <w:t xml:space="preserve"> and </w:t>
      </w:r>
      <w:r>
        <w:rPr>
          <w:rFonts w:ascii="Consolas" w:cs="Consolas" w:eastAsia="Consolas" w:hAnsi="Consolas"/>
          <w:shd w:fill="F2F1ED" w:val="clear"/>
        </w:rPr>
        <w:t xml:space="preserve">bs_unit</w:t>
      </w:r>
      <w:r>
        <w:t xml:space="preserve">).</w:t>
      </w:r>
    </w:p>
    <w:p>
      <w:pPr>
        <w:spacing w:after="140"/>
        <w:ind w:left="360"/>
      </w:pPr>
      <w:r>
        <w:rPr>
          <w:b/>
          <w:bCs/>
        </w:rPr>
        <w:t xml:space="preserve">The extract may state its own units.</w:t>
      </w:r>
      <w:r>
        <w:t xml:space="preserve"> Where the TM1 extract carries a </w:t>
      </w:r>
      <w:r>
        <w:rPr>
          <w:rFonts w:ascii="Consolas" w:cs="Consolas" w:eastAsia="Consolas" w:hAnsi="Consolas"/>
          <w:shd w:fill="F2F1ED" w:val="clear"/>
        </w:rPr>
        <w:t xml:space="preserve">Unit</w:t>
      </w:r>
      <w:r>
        <w:t xml:space="preserve"> column beside the hierarchy (also </w:t>
      </w:r>
      <w:r>
        <w:rPr>
          <w:rFonts w:ascii="Consolas" w:cs="Consolas" w:eastAsia="Consolas" w:hAnsi="Consolas"/>
          <w:shd w:fill="F2F1ED" w:val="clear"/>
        </w:rPr>
        <w:t xml:space="preserve">Units</w:t>
      </w:r>
      <w:r>
        <w:t xml:space="preserve">, </w:t>
      </w:r>
      <w:r>
        <w:rPr>
          <w:rFonts w:ascii="Consolas" w:cs="Consolas" w:eastAsia="Consolas" w:hAnsi="Consolas"/>
          <w:shd w:fill="F2F1ED" w:val="clear"/>
        </w:rPr>
        <w:t xml:space="preserve">UOM</w:t>
      </w:r>
      <w:r>
        <w:t xml:space="preserve">, </w:t>
      </w:r>
      <w:r>
        <w:rPr>
          <w:rFonts w:ascii="Consolas" w:cs="Consolas" w:eastAsia="Consolas" w:hAnsi="Consolas"/>
          <w:shd w:fill="F2F1ED" w:val="clear"/>
        </w:rPr>
        <w:t xml:space="preserve">Reported in</w:t>
      </w:r>
      <w:r>
        <w:t xml:space="preserve">, </w:t>
      </w:r>
      <w:r>
        <w:rPr>
          <w:rFonts w:ascii="Consolas" w:cs="Consolas" w:eastAsia="Consolas" w:hAnsi="Consolas"/>
          <w:shd w:fill="F2F1ED" w:val="clear"/>
        </w:rPr>
        <w:t xml:space="preserve">Scale</w:t>
      </w:r>
      <w:r>
        <w:t xml:space="preserve">) — one value per line, exactly as a reporting pack writes it — the app reads it and resolves each line's unit from it. It is not offered as a dimension to slice by; it is what the figures beside it mean.</w:t>
      </w:r>
    </w:p>
    <w:p>
      <w:pPr>
        <w:spacing w:after="140"/>
        <w:ind w:left="360"/>
      </w:pPr>
      <w:r>
        <w:t xml:space="preserve">Precedence: </w:t>
      </w:r>
      <w:r>
        <w:rPr>
          <w:b/>
          <w:bCs/>
        </w:rPr>
        <w:t xml:space="preserve">the pack's declaration first</w:t>
      </w:r>
      <w:r>
        <w:t xml:space="preserve"> (that is policy, and it is how a typo or an inconsistency in the extract gets overruled), </w:t>
      </w:r>
      <w:r>
        <w:rPr>
          <w:b/>
          <w:bCs/>
        </w:rPr>
        <w:t xml:space="preserve">then the file's own column</w:t>
      </w:r>
      <w:r>
        <w:t xml:space="preserve">, </w:t>
      </w:r>
      <w:r>
        <w:rPr>
          <w:b/>
          <w:bCs/>
        </w:rPr>
        <w:t xml:space="preserve">then the P&amp;L / balance convention.</w:t>
      </w:r>
      <w:r>
        <w:t xml:space="preserve"> A line whose rows disagree on their unit is taken from neither, a token the app cannot read (</w:t>
      </w:r>
      <w:r>
        <w:rPr>
          <w:rFonts w:ascii="Consolas" w:cs="Consolas" w:eastAsia="Consolas" w:hAnsi="Consolas"/>
          <w:shd w:fill="F2F1ED" w:val="clear"/>
        </w:rPr>
        <w:t xml:space="preserve">$mb</w:t>
      </w:r>
      <w:r>
        <w:t xml:space="preserve">) is named in the ingest report rather than guessed at, and the report lists the money, number and ratio units it found.</w:t>
      </w:r>
    </w:p>
    <w:p>
      <w:pPr>
        <w:spacing w:after="140"/>
        <w:ind w:left="360"/>
      </w:pPr>
      <w:r>
        <w:rPr>
          <w:b/>
          <w:bCs/>
        </w:rPr>
        <w:t xml:space="preserve">How a component names its line.</w:t>
      </w:r>
      <w:r>
        <w:t xml:space="preserve"> The </w:t>
      </w:r>
      <w:r>
        <w:rPr>
          <w:rFonts w:ascii="Consolas" w:cs="Consolas" w:eastAsia="Consolas" w:hAnsi="Consolas"/>
          <w:shd w:fill="F2F1ED" w:val="clear"/>
        </w:rPr>
        <w:t xml:space="preserve">MICA level</w:t>
      </w:r>
      <w:r>
        <w:t xml:space="preserve"> column names the column the line lives in, written however the extract heads it — </w:t>
      </w:r>
      <w:r>
        <w:rPr>
          <w:rFonts w:ascii="Consolas" w:cs="Consolas" w:eastAsia="Consolas" w:hAnsi="Consolas"/>
          <w:shd w:fill="F2F1ED" w:val="clear"/>
        </w:rPr>
        <w:t xml:space="preserve">L3</w:t>
      </w:r>
      <w:r>
        <w:t xml:space="preserve">, </w:t>
      </w:r>
      <w:r>
        <w:rPr>
          <w:rFonts w:ascii="Consolas" w:cs="Consolas" w:eastAsia="Consolas" w:hAnsi="Consolas"/>
          <w:shd w:fill="F2F1ED" w:val="clear"/>
        </w:rPr>
        <w:t xml:space="preserve">MICA_Level_3</w:t>
      </w:r>
      <w:r>
        <w:t xml:space="preserve">, </w:t>
      </w:r>
      <w:r>
        <w:rPr>
          <w:rFonts w:ascii="Consolas" w:cs="Consolas" w:eastAsia="Consolas" w:hAnsi="Consolas"/>
          <w:shd w:fill="F2F1ED" w:val="clear"/>
        </w:rPr>
        <w:t xml:space="preserve">Product_Level_7</w:t>
      </w:r>
      <w:r>
        <w:t xml:space="preserve">, </w:t>
      </w:r>
      <w:r>
        <w:rPr>
          <w:rFonts w:ascii="Consolas" w:cs="Consolas" w:eastAsia="Consolas" w:hAnsi="Consolas"/>
          <w:shd w:fill="F2F1ED" w:val="clear"/>
        </w:rPr>
        <w:t xml:space="preserve">CG_Level_2</w:t>
      </w:r>
      <w:r>
        <w:t xml:space="preserve">, </w:t>
      </w:r>
      <w:r>
        <w:rPr>
          <w:rFonts w:ascii="Consolas" w:cs="Consolas" w:eastAsia="Consolas" w:hAnsi="Consolas"/>
          <w:shd w:fill="F2F1ED" w:val="clear"/>
        </w:rPr>
        <w:t xml:space="preserve">Function_Level_1</w:t>
      </w:r>
      <w:r>
        <w:t xml:space="preserve">, </w:t>
      </w:r>
      <w:r>
        <w:rPr>
          <w:rFonts w:ascii="Consolas" w:cs="Consolas" w:eastAsia="Consolas" w:hAnsi="Consolas"/>
          <w:shd w:fill="F2F1ED" w:val="clear"/>
        </w:rPr>
        <w:t xml:space="preserve">accH3</w:t>
      </w:r>
      <w:r>
        <w:t xml:space="preserve"> all resolve. An optional </w:t>
      </w:r>
      <w:r>
        <w:rPr>
          <w:b/>
          <w:bCs/>
        </w:rPr>
        <w:t xml:space="preserve">`Product Level`</w:t>
      </w:r>
      <w:r>
        <w:t xml:space="preserve"> column qualifies the component further, in either of two forms: a bare column name (</w:t>
      </w:r>
      <w:r>
        <w:rPr>
          <w:rFonts w:ascii="Consolas" w:cs="Consolas" w:eastAsia="Consolas" w:hAnsi="Consolas"/>
          <w:shd w:fill="F2F1ED" w:val="clear"/>
        </w:rPr>
        <w:t xml:space="preserve">Product_Level_7</w:t>
      </w:r>
      <w:r>
        <w:t xml:space="preserve">) lets the same line be found in that column as well, for a pack whose line sits in the product hierarchy rather than the MICA one; and </w:t>
      </w:r>
      <w:r>
        <w:rPr>
          <w:rFonts w:ascii="Consolas" w:cs="Consolas" w:eastAsia="Consolas" w:hAnsi="Consolas"/>
          <w:shd w:fill="F2F1ED" w:val="clear"/>
        </w:rPr>
        <w:t xml:space="preserve">Product_Level_7 = Wealth</w:t>
      </w:r>
      <w:r>
        <w:t xml:space="preserve"> restricts the component to rows holding that value. The sheet is read by its headings, so a column may be added or moved without shifting the ones behind it.</w:t>
      </w:r>
    </w:p>
    <w:p>
      <w:pPr>
        <w:spacing w:after="140"/>
        <w:ind w:left="360"/>
      </w:pPr>
      <w:r>
        <w:rPr>
          <w:b/>
          <w:bCs/>
        </w:rPr>
        <w:t xml:space="preserve">Banking NII, as the global dataset actually files it.</w:t>
      </w:r>
      <w:r>
        <w:t xml:space="preserve"> The insurance piece of NII is not a MICA line of its own — it is the </w:t>
      </w:r>
      <w:r>
        <w:rPr>
          <w:i/>
          <w:iCs/>
        </w:rPr>
        <w:t xml:space="preserve">same</w:t>
      </w:r>
      <w:r>
        <w:t xml:space="preserve"> </w:t>
      </w:r>
      <w:r>
        <w:rPr>
          <w:rFonts w:ascii="Consolas" w:cs="Consolas" w:eastAsia="Consolas" w:hAnsi="Consolas"/>
          <w:shd w:fill="F2F1ED" w:val="clear"/>
        </w:rPr>
        <w:t xml:space="preserve">NII - Net Interest Income</w:t>
      </w:r>
      <w:r>
        <w:t xml:space="preserve"> line, filed under </w:t>
      </w:r>
      <w:r>
        <w:rPr>
          <w:rFonts w:ascii="Consolas" w:cs="Consolas" w:eastAsia="Consolas" w:hAnsi="Consolas"/>
          <w:shd w:fill="F2F1ED" w:val="clear"/>
        </w:rPr>
        <w:t xml:space="preserve">Product_Level_7 = Insurance Manufacturing</w:t>
      </w:r>
      <w:r>
        <w:t xml:space="preserve">. So Banking NII is that line less those rows, and the Definitions tab says exactly that:</w:t>
      </w:r>
    </w:p>
    <w:p>
      <w:pPr>
        <w:shd w:fill="F2F1ED" w:val="clear"/>
        <w:spacing w:after="0"/>
      </w:pPr>
      <w:r>
        <w:rPr>
          <w:rFonts w:ascii="Consolas" w:cs="Consolas" w:eastAsia="Consolas" w:hAnsi="Consolas"/>
          <w:sz w:val="18"/>
          <w:szCs w:val="18"/>
        </w:rPr>
        <w:t xml:space="preserve">Calculation | Business | Line                      | Include | MICA level   | Product Level</w:t>
      </w:r>
    </w:p>
    <w:p>
      <w:pPr>
        <w:shd w:fill="F2F1ED" w:val="clear"/>
        <w:spacing w:after="0"/>
      </w:pPr>
      <w:r>
        <w:rPr>
          <w:rFonts w:ascii="Consolas" w:cs="Consolas" w:eastAsia="Consolas" w:hAnsi="Consolas"/>
          <w:sz w:val="18"/>
          <w:szCs w:val="18"/>
        </w:rPr>
        <w:t xml:space="preserve">Banking NII | IWPB     | NII - Net Interest Income |    +    | MICA_Level_3 |</w:t>
      </w:r>
    </w:p>
    <w:p>
      <w:pPr>
        <w:shd w:fill="F2F1ED" w:val="clear"/>
        <w:spacing w:after="0"/>
      </w:pPr>
      <w:r>
        <w:rPr>
          <w:rFonts w:ascii="Consolas" w:cs="Consolas" w:eastAsia="Consolas" w:hAnsi="Consolas"/>
          <w:sz w:val="18"/>
          <w:szCs w:val="18"/>
        </w:rPr>
        <w:t xml:space="preserve">Banking NII | IWPB     | NII - Net Interest Income |    −    | MICA_Level_3 | Product_Level_7 = Insurance Manufacturing</w:t>
      </w:r>
    </w:p>
    <w:p>
      <w:pPr>
        <w:spacing w:after="120"/>
      </w:pPr>
    </w:p>
    <w:p>
      <w:pPr>
        <w:spacing w:after="140"/>
        <w:ind w:left="360"/>
      </w:pPr>
      <w:r>
        <w:t xml:space="preserve">Because those rows sit </w:t>
      </w:r>
      <w:r>
        <w:rPr>
          <w:b/>
          <w:bCs/>
        </w:rPr>
        <w:t xml:space="preserve">inside</w:t>
      </w:r>
      <w:r>
        <w:t xml:space="preserve"> the base, they are removed from the selection rather than deducted — no </w:t>
      </w:r>
      <w:r>
        <w:rPr>
          <w:rFonts w:ascii="Consolas" w:cs="Consolas" w:eastAsia="Consolas" w:hAnsi="Consolas"/>
          <w:shd w:fill="F2F1ED" w:val="clear"/>
        </w:rPr>
        <w:t xml:space="preserve">less</w:t>
      </w:r>
      <w:r>
        <w:t xml:space="preserve"> row is created, which is the cleaner of the two readings. On the shipped </w:t>
      </w:r>
      <w:r>
        <w:rPr>
          <w:rFonts w:ascii="Consolas" w:cs="Consolas" w:eastAsia="Consolas" w:hAnsi="Consolas"/>
          <w:shd w:fill="F2F1ED" w:val="clear"/>
        </w:rPr>
        <w:t xml:space="preserve">IWPB_SG_InsMfg_Shape</w:t>
      </w:r>
      <w:r>
        <w:t xml:space="preserve"> fixture this gives 1,760 less (536) = </w:t>
      </w:r>
      <w:r>
        <w:rPr>
          <w:b/>
          <w:bCs/>
        </w:rPr>
        <w:t xml:space="preserve">2,296</w:t>
      </w:r>
      <w:r>
        <w:t xml:space="preserve">, and Singapore on its own reads 1,100 less (396) = </w:t>
      </w:r>
      <w:r>
        <w:rPr>
          <w:b/>
          <w:bCs/>
        </w:rPr>
        <w:t xml:space="preserve">1,496</w:t>
      </w:r>
      <w:r>
        <w:t xml:space="preserve">, with each country's carve-out landing in that country. </w:t>
      </w:r>
      <w:r>
        <w:rPr>
          <w:rFonts w:ascii="Consolas" w:cs="Consolas" w:eastAsia="Consolas" w:hAnsi="Consolas"/>
          <w:shd w:fill="F2F1ED" w:val="clear"/>
        </w:rPr>
        <w:t xml:space="preserve">IWPB_Global_config_pack.xlsx</w:t>
      </w:r>
      <w:r>
        <w:t xml:space="preserve"> ships with these rows already in place; </w:t>
      </w:r>
      <w:r>
        <w:rPr>
          <w:rFonts w:ascii="Consolas" w:cs="Consolas" w:eastAsia="Consolas" w:hAnsi="Consolas"/>
          <w:shd w:fill="F2F1ED" w:val="clear"/>
        </w:rPr>
        <w:t xml:space="preserve">Group_dashboard_config_pack.xlsx</w:t>
      </w:r>
      <w:r>
        <w:t xml:space="preserve"> keeps the simpler Revenue-based form the other sample files reconcile against.</w:t>
      </w:r>
    </w:p>
    <w:p>
      <w:pPr>
        <w:spacing w:after="140"/>
        <w:ind w:left="360"/>
      </w:pPr>
      <w:r>
        <w:rPr>
          <w:b/>
          <w:bCs/>
        </w:rPr>
        <w:t xml:space="preserve">A calculation the file cannot produce keeps its place.</w:t>
      </w:r>
      <w:r>
        <w:t xml:space="preserve"> Naming a line the extract does not carry is an ordinary mistake — </w:t>
      </w:r>
      <w:r>
        <w:rPr>
          <w:rFonts w:ascii="Consolas" w:cs="Consolas" w:eastAsia="Consolas" w:hAnsi="Consolas"/>
          <w:shd w:fill="F2F1ED" w:val="clear"/>
        </w:rPr>
        <w:t xml:space="preserve">NII - Net Interest Income</w:t>
      </w:r>
      <w:r>
        <w:t xml:space="preserve"> against a file that heads it </w:t>
      </w:r>
      <w:r>
        <w:rPr>
          <w:rFonts w:ascii="Consolas" w:cs="Consolas" w:eastAsia="Consolas" w:hAnsi="Consolas"/>
          <w:shd w:fill="F2F1ED" w:val="clear"/>
        </w:rPr>
        <w:t xml:space="preserve">NII - Interest Income</w:t>
      </w:r>
      <w:r>
        <w:t xml:space="preserve"> is one word out — and the page must not answer it by removing the tile: a gap the reader cannot see is a gap they cannot question. No figure is invented, but the tile holds its place on the grid and says why, naming what the file does carry:</w:t>
      </w:r>
    </w:p>
    <w:p>
      <w:pPr>
        <w:pBdr>
          <w:left w:val="single" w:color="DB0011" w:sz="12" w:space="12"/>
        </w:pBdr>
        <w:spacing w:after="160" w:before="60"/>
        <w:ind w:left="360"/>
      </w:pPr>
      <w:r>
        <w:rPr>
          <w:b/>
          <w:bCs/>
          <w:i/>
          <w:iCs/>
        </w:rPr>
        <w:t xml:space="preserve">Banking NII</w:t>
      </w:r>
      <w:r>
        <w:rPr>
          <w:i/>
          <w:iCs/>
        </w:rPr>
        <w:t xml:space="preserve"> — no figure on this file </w:t>
      </w:r>
      <w:r>
        <w:rPr>
          <w:i/>
          <w:iCs/>
        </w:rPr>
        <w:t xml:space="preserve">"NII - Net Interest Income" is not a line at MICA_Level_3 here — the file carries "NII - Interest Income"</w:t>
      </w:r>
    </w:p>
    <w:p>
      <w:pPr>
        <w:spacing w:after="140"/>
        <w:ind w:left="360"/>
      </w:pPr>
      <w:r>
        <w:t xml:space="preserve">Names are compared as sets of words, so word order and punctuation do not defeat the suggestion, and a name with nothing in common offers nothing rather than a misleading guess. Where the line </w:t>
      </w:r>
      <w:r>
        <w:rPr>
          <w:b/>
          <w:bCs/>
        </w:rPr>
        <w:t xml:space="preserve">is</w:t>
      </w:r>
      <w:r>
        <w:t xml:space="preserve"> there and a </w:t>
      </w:r>
      <w:r>
        <w:rPr>
          <w:rFonts w:ascii="Consolas" w:cs="Consolas" w:eastAsia="Consolas" w:hAnsi="Consolas"/>
          <w:shd w:fill="F2F1ED" w:val="clear"/>
        </w:rPr>
        <w:t xml:space="preserve">Product Level</w:t>
      </w:r>
      <w:r>
        <w:t xml:space="preserve"> qualifier is the one thing keeping it out, the card says that instead — </w:t>
      </w:r>
      <w:r>
        <w:rPr>
          <w:i/>
          <w:iCs/>
        </w:rPr>
        <w:t xml:space="preserve">"NII - Interest Income" is here, but no row of it meets "Product_Level_7 = Wealth"</w:t>
      </w:r>
      <w:r>
        <w:t xml:space="preserve"> — because "line not found" would send the reader after the wrong thing.</w:t>
      </w:r>
    </w:p>
    <w:p>
      <w:pPr>
        <w:spacing w:after="140"/>
        <w:ind w:left="360"/>
      </w:pPr>
      <w:r>
        <w:t xml:space="preserve">The ingest report carries the same distinction: a component that merely fails to match leaves the total too big or too small and says so, while a definition </w:t>
      </w:r>
      <w:r>
        <w:rPr>
          <w:b/>
          <w:bCs/>
        </w:rPr>
        <w:t xml:space="preserve">none</w:t>
      </w:r>
      <w:r>
        <w:t xml:space="preserve"> of whose lines are in the file reads </w:t>
      </w:r>
      <w:r>
        <w:rPr>
          <w:i/>
          <w:iCs/>
        </w:rPr>
        <w:t xml:space="preserve">"nothing this definition names is in the file, so Banking NII has no figure here and no tile"</w:t>
      </w:r>
      <w:r>
        <w:t xml:space="preserve">.</w:t>
      </w:r>
    </w:p>
    <w:p>
      <w:pPr>
        <w:spacing w:after="140"/>
        <w:ind w:left="360"/>
      </w:pPr>
      <w:r>
        <w:rPr>
          <w:b/>
          <w:bCs/>
        </w:rPr>
        <w:t xml:space="preserve">What `−` does.</w:t>
      </w:r>
      <w:r>
        <w:t xml:space="preserve"> It reads as one sentence — </w:t>
      </w:r>
      <w:r>
        <w:rPr>
          <w:i/>
          <w:iCs/>
        </w:rPr>
        <w:t xml:space="preserve">the base, less that line</w:t>
      </w:r>
      <w:r>
        <w:t xml:space="preserve"> — and takes whichever of two forms the data calls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7E9EA" w:val="clear"/>
            <w:tcMar>
              <w:top w:type="dxa" w:w="60"/>
              <w:left w:type="dxa" w:w="100"/>
              <w:bottom w:type="dxa" w:w="60"/>
              <w:right w:type="dxa" w:w="100"/>
            </w:tcMar>
          </w:tcPr>
          <w:p>
            <w:r>
              <w:rPr>
                <w:b/>
                <w:bCs/>
                <w:color w:val="DB0011"/>
              </w:rPr>
              <w:t xml:space="preserve">Where the line taken out sits</w:t>
            </w:r>
          </w:p>
        </w:tc>
        <w:tc>
          <w:tcPr>
            <w:shd w:fill="F7E9EA" w:val="clear"/>
            <w:tcMar>
              <w:top w:type="dxa" w:w="60"/>
              <w:left w:type="dxa" w:w="100"/>
              <w:bottom w:type="dxa" w:w="60"/>
              <w:right w:type="dxa" w:w="100"/>
            </w:tcMar>
          </w:tcPr>
          <w:p>
            <w:r>
              <w:rPr>
                <w:b/>
                <w:bCs/>
                <w:color w:val="DB0011"/>
              </w:rPr>
              <w:t xml:space="preserve">What happens</w:t>
            </w:r>
          </w:p>
        </w:tc>
      </w:tr>
      <w:tr>
        <w:tc>
          <w:tcPr>
            <w:tcMar>
              <w:top w:type="dxa" w:w="60"/>
              <w:left w:type="dxa" w:w="100"/>
              <w:bottom w:type="dxa" w:w="60"/>
              <w:right w:type="dxa" w:w="100"/>
            </w:tcMar>
          </w:tcPr>
          <w:p>
            <w:pPr>
              <w:spacing w:after="0"/>
            </w:pPr>
            <w:r>
              <w:rPr>
                <w:b/>
                <w:bCs/>
              </w:rPr>
              <w:t xml:space="preserve">inside the base</w:t>
            </w:r>
            <w:r>
              <w:t xml:space="preserve"> — </w:t>
            </w:r>
            <w:r>
              <w:rPr>
                <w:rFonts w:ascii="Consolas" w:cs="Consolas" w:eastAsia="Consolas" w:hAnsi="Consolas"/>
                <w:shd w:fill="F2F1ED" w:val="clear"/>
              </w:rPr>
              <w:t xml:space="preserve">Net Insurance Revenue</w:t>
            </w:r>
            <w:r>
              <w:t xml:space="preserve"> carved out of </w:t>
            </w:r>
            <w:r>
              <w:rPr>
                <w:rFonts w:ascii="Consolas" w:cs="Consolas" w:eastAsia="Consolas" w:hAnsi="Consolas"/>
                <w:shd w:fill="F2F1ED" w:val="clear"/>
              </w:rPr>
              <w:t xml:space="preserve">Revenue</w:t>
            </w:r>
          </w:p>
        </w:tc>
        <w:tc>
          <w:tcPr>
            <w:tcMar>
              <w:top w:type="dxa" w:w="60"/>
              <w:left w:type="dxa" w:w="100"/>
              <w:bottom w:type="dxa" w:w="60"/>
              <w:right w:type="dxa" w:w="100"/>
            </w:tcMar>
          </w:tcPr>
          <w:p>
            <w:pPr>
              <w:spacing w:after="0"/>
            </w:pPr>
            <w:r>
              <w:t xml:space="preserve">its rows are </w:t>
            </w:r>
            <w:r>
              <w:rPr>
                <w:b/>
                <w:bCs/>
              </w:rPr>
              <w:t xml:space="preserve">removed from the selection</w:t>
            </w:r>
          </w:p>
        </w:tc>
      </w:tr>
      <w:tr>
        <w:tc>
          <w:tcPr>
            <w:tcMar>
              <w:top w:type="dxa" w:w="60"/>
              <w:left w:type="dxa" w:w="100"/>
              <w:bottom w:type="dxa" w:w="60"/>
              <w:right w:type="dxa" w:w="100"/>
            </w:tcMar>
          </w:tcPr>
          <w:p>
            <w:pPr>
              <w:spacing w:after="0"/>
            </w:pPr>
            <w:r>
              <w:rPr>
                <w:b/>
                <w:bCs/>
              </w:rPr>
              <w:t xml:space="preserve">outside the base</w:t>
            </w:r>
            <w:r>
              <w:t xml:space="preserve"> — the same line carved out of </w:t>
            </w:r>
            <w:r>
              <w:rPr>
                <w:rFonts w:ascii="Consolas" w:cs="Consolas" w:eastAsia="Consolas" w:hAnsi="Consolas"/>
                <w:shd w:fill="F2F1ED" w:val="clear"/>
              </w:rPr>
              <w:t xml:space="preserve">NII - Net Interest Income</w:t>
            </w:r>
          </w:p>
        </w:tc>
        <w:tc>
          <w:tcPr>
            <w:tcMar>
              <w:top w:type="dxa" w:w="60"/>
              <w:left w:type="dxa" w:w="100"/>
              <w:bottom w:type="dxa" w:w="60"/>
              <w:right w:type="dxa" w:w="100"/>
            </w:tcMar>
          </w:tcPr>
          <w:p>
            <w:pPr>
              <w:spacing w:after="0"/>
            </w:pPr>
            <w:r>
              <w:t xml:space="preserve">there is nothing to remove, so its </w:t>
            </w:r>
            <w:r>
              <w:rPr>
                <w:b/>
                <w:bCs/>
              </w:rPr>
              <w:t xml:space="preserve">value is subtracted</w:t>
            </w:r>
          </w:p>
        </w:tc>
      </w:tr>
    </w:tbl>
    <w:p>
      <w:pPr>
        <w:spacing w:after="160"/>
      </w:pPr>
    </w:p>
    <w:p>
      <w:pPr>
        <w:spacing w:after="140"/>
        <w:ind w:left="360"/>
      </w:pPr>
      <w:r>
        <w:t xml:space="preserve">Both give "the base less that line". The second is carried as rows of its own, named </w:t>
      </w:r>
      <w:r>
        <w:rPr>
          <w:rFonts w:ascii="Consolas" w:cs="Consolas" w:eastAsia="Consolas" w:hAnsi="Consolas"/>
          <w:shd w:fill="F2F1ED" w:val="clear"/>
        </w:rPr>
        <w:t xml:space="preserve">less &lt;line&gt;</w:t>
      </w:r>
      <w:r>
        <w:t xml:space="preserve">, so every figure downstream sums it exactly as it sums everything else and a drill-down shows it rather than hiding it. There is </w:t>
      </w:r>
      <w:r>
        <w:rPr>
          <w:b/>
          <w:bCs/>
        </w:rPr>
        <w:t xml:space="preserve">one such row per row it stands for</w:t>
      </w:r>
      <w:r>
        <w:t xml:space="preserve">, keeping that row's country, product and segment: a single lumped deduction would carry the first row's dimensions, so the total would still foot while every split by geography was wrong — the worst kind of error, because nothing looks amiss.</w:t>
      </w:r>
    </w:p>
    <w:p>
      <w:pPr>
        <w:spacing w:after="140"/>
        <w:ind w:left="360"/>
      </w:pPr>
      <w:r>
        <w:t xml:space="preserve">The ingest report says which form applied and what it was worth. Note that where the line removed is itself negative, "less" </w:t>
      </w:r>
      <w:r>
        <w:rPr>
          <w:b/>
          <w:bCs/>
        </w:rPr>
        <w:t xml:space="preserve">raises</w:t>
      </w:r>
      <w:r>
        <w:t xml:space="preserve"> the total — insurance at (396) taken out of NII of 1,100 gives 1,496 — which is arithmetic, not a fault.</w:t>
      </w:r>
    </w:p>
    <w:p>
      <w:pPr>
        <w:spacing w:after="140"/>
        <w:ind w:left="360"/>
      </w:pPr>
      <w:r>
        <w:rPr>
          <w:b/>
          <w:bCs/>
        </w:rPr>
        <w:t xml:space="preserve">A metric must equal what it says it is.</w:t>
      </w:r>
      <w:r>
        <w:t xml:space="preserve"> Where a definition starts from a line — </w:t>
      </w:r>
      <w:r>
        <w:rPr>
          <w:rFonts w:ascii="Consolas" w:cs="Consolas" w:eastAsia="Consolas" w:hAnsi="Consolas"/>
          <w:shd w:fill="F2F1ED" w:val="clear"/>
        </w:rPr>
        <w:t xml:space="preserve">Banking NII = Revenue less Net Insurance Revenue</w:t>
      </w:r>
      <w:r>
        <w:t xml:space="preserve"> — the ingest report tests that identity on the loaded file, per business: the metric's own rows against the line less the rows taken out. It is the identity that is checked, not the sizes, because where the line taken out is itself negative the metric </w:t>
      </w:r>
      <w:r>
        <w:rPr>
          <w:i/>
          <w:iCs/>
        </w:rPr>
        <w:t xml:space="preserve">should</w:t>
      </w:r>
      <w:r>
        <w:t xml:space="preserve"> come out above its base. Two things can be said: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7E9EA" w:val="clear"/>
            <w:tcMar>
              <w:top w:type="dxa" w:w="60"/>
              <w:left w:type="dxa" w:w="100"/>
              <w:bottom w:type="dxa" w:w="60"/>
              <w:right w:type="dxa" w:w="100"/>
            </w:tcMar>
          </w:tcPr>
          <w:p>
            <w:r>
              <w:rPr>
                <w:b/>
                <w:bCs/>
                <w:color w:val="DB0011"/>
              </w:rPr>
              <w:t xml:space="preserve">What the report finds</w:t>
            </w:r>
          </w:p>
        </w:tc>
        <w:tc>
          <w:tcPr>
            <w:shd w:fill="F7E9EA" w:val="clear"/>
            <w:tcMar>
              <w:top w:type="dxa" w:w="60"/>
              <w:left w:type="dxa" w:w="100"/>
              <w:bottom w:type="dxa" w:w="60"/>
              <w:right w:type="dxa" w:w="100"/>
            </w:tcMar>
          </w:tcPr>
          <w:p>
            <w:r>
              <w:rPr>
                <w:b/>
                <w:bCs/>
                <w:color w:val="DB0011"/>
              </w:rPr>
              <w:t xml:space="preserve">What it says</w:t>
            </w:r>
          </w:p>
        </w:tc>
      </w:tr>
      <w:tr>
        <w:tc>
          <w:tcPr>
            <w:tcMar>
              <w:top w:type="dxa" w:w="60"/>
              <w:left w:type="dxa" w:w="100"/>
              <w:bottom w:type="dxa" w:w="60"/>
              <w:right w:type="dxa" w:w="100"/>
            </w:tcMar>
          </w:tcPr>
          <w:p>
            <w:pPr>
              <w:spacing w:after="0"/>
            </w:pPr>
            <w:r>
              <w:t xml:space="preserve">the identity fails</w:t>
            </w:r>
          </w:p>
        </w:tc>
        <w:tc>
          <w:tcPr>
            <w:tcMar>
              <w:top w:type="dxa" w:w="60"/>
              <w:left w:type="dxa" w:w="100"/>
              <w:bottom w:type="dxa" w:w="60"/>
              <w:right w:type="dxa" w:w="100"/>
            </w:tcMar>
          </w:tcPr>
          <w:p>
            <w:pPr>
              <w:spacing w:after="0"/>
            </w:pPr>
            <w:r>
              <w:rPr>
                <w:i/>
                <w:iCs/>
              </w:rPr>
              <w:t xml:space="preserve">"</w:t>
            </w:r>
            <w:r>
              <w:rPr>
                <w:i/>
                <w:iCs/>
              </w:rPr>
              <w:t xml:space="preserve">Banking NII (IWPB) reads 812 where Revenue less what it excludes is 750</w:t>
            </w:r>
            <w:r>
              <w:t xml:space="preserve">* — its selection reaches rows outside Revenue."*</w:t>
            </w:r>
          </w:p>
        </w:tc>
      </w:tr>
      <w:tr>
        <w:tc>
          <w:tcPr>
            <w:tcMar>
              <w:top w:type="dxa" w:w="60"/>
              <w:left w:type="dxa" w:w="100"/>
              <w:bottom w:type="dxa" w:w="60"/>
              <w:right w:type="dxa" w:w="100"/>
            </w:tcMar>
          </w:tcPr>
          <w:p>
            <w:pPr>
              <w:spacing w:after="0"/>
            </w:pPr>
            <w:r>
              <w:t xml:space="preserve">the identity holds, but the metric is above its base because the excluded line is negative</w:t>
            </w:r>
          </w:p>
        </w:tc>
        <w:tc>
          <w:tcPr>
            <w:tcMar>
              <w:top w:type="dxa" w:w="60"/>
              <w:left w:type="dxa" w:w="100"/>
              <w:bottom w:type="dxa" w:w="60"/>
              <w:right w:type="dxa" w:w="100"/>
            </w:tcMar>
          </w:tcPr>
          <w:p>
            <w:pPr>
              <w:spacing w:after="0"/>
            </w:pPr>
            <w:r>
              <w:rPr>
                <w:i/>
                <w:iCs/>
              </w:rPr>
              <w:t xml:space="preserve">"Banking NII (IWPB) reads 1,146, above Revenue at 750, because Net Insurance Revenue is itself negative at (396) — taking it out raises the total. The definition is doing what it says."</w:t>
            </w:r>
          </w:p>
        </w:tc>
      </w:tr>
    </w:tbl>
    <w:p>
      <w:pPr>
        <w:spacing w:after="160"/>
      </w:pPr>
    </w:p>
    <w:p>
      <w:pPr>
        <w:spacing w:after="140"/>
        <w:ind w:left="360"/>
      </w:pPr>
      <w:r>
        <w:t xml:space="preserve">The first is bold, because it is a fault to look into; the second is plain, because it is arithmetic and needs only to be understood.</w:t>
      </w:r>
    </w:p>
    <w:p>
      <w:pPr>
        <w:spacing w:after="140"/>
        <w:ind w:left="360"/>
      </w:pPr>
      <w:r>
        <w:rPr>
          <w:b/>
          <w:bCs/>
        </w:rPr>
        <w:t xml:space="preserve">A count is not money either.</w:t>
      </w:r>
      <w:r>
        <w:t xml:space="preserve"> </w:t>
      </w:r>
      <w:r>
        <w:rPr>
          <w:rFonts w:ascii="Consolas" w:cs="Consolas" w:eastAsia="Consolas" w:hAnsi="Consolas"/>
          <w:shd w:fill="F2F1ED" w:val="clear"/>
        </w:rPr>
        <w:t xml:space="preserve">count_patterns</w:t>
      </w:r>
      <w:r>
        <w:t xml:space="preserve"> (default: </w:t>
      </w:r>
      <w:r>
        <w:rPr>
          <w:rFonts w:ascii="Consolas" w:cs="Consolas" w:eastAsia="Consolas" w:hAnsi="Consolas"/>
          <w:shd w:fill="F2F1ED" w:val="clear"/>
        </w:rPr>
        <w:t xml:space="preserve">headcount</w:t>
      </w:r>
      <w:r>
        <w:t xml:space="preserve">, </w:t>
      </w:r>
      <w:r>
        <w:rPr>
          <w:rFonts w:ascii="Consolas" w:cs="Consolas" w:eastAsia="Consolas" w:hAnsi="Consolas"/>
          <w:shd w:fill="F2F1ED" w:val="clear"/>
        </w:rPr>
        <w:t xml:space="preserve">fte</w:t>
      </w:r>
      <w:r>
        <w:t xml:space="preserve">, </w:t>
      </w:r>
      <w:r>
        <w:rPr>
          <w:rFonts w:ascii="Consolas" w:cs="Consolas" w:eastAsia="Consolas" w:hAnsi="Consolas"/>
          <w:shd w:fill="F2F1ED" w:val="clear"/>
        </w:rPr>
        <w:t xml:space="preserve">count(s)</w:t>
      </w:r>
      <w:r>
        <w:t xml:space="preserve">, </w:t>
      </w:r>
      <w:r>
        <w:rPr>
          <w:rFonts w:ascii="Consolas" w:cs="Consolas" w:eastAsia="Consolas" w:hAnsi="Consolas"/>
          <w:shd w:fill="F2F1ED" w:val="clear"/>
        </w:rPr>
        <w:t xml:space="preserve">customers</w:t>
      </w:r>
      <w:r>
        <w:t xml:space="preserve">, </w:t>
      </w:r>
      <w:r>
        <w:rPr>
          <w:rFonts w:ascii="Consolas" w:cs="Consolas" w:eastAsia="Consolas" w:hAnsi="Consolas"/>
          <w:shd w:fill="F2F1ED" w:val="clear"/>
        </w:rPr>
        <w:t xml:space="preserve">nos</w:t>
      </w:r>
      <w:r>
        <w:t xml:space="preserve">, </w:t>
      </w:r>
      <w:r>
        <w:rPr>
          <w:rFonts w:ascii="Consolas" w:cs="Consolas" w:eastAsia="Consolas" w:hAnsi="Consolas"/>
          <w:shd w:fill="F2F1ED" w:val="clear"/>
        </w:rPr>
        <w:t xml:space="preserve">number</w:t>
      </w:r>
      <w:r>
        <w:t xml:space="preserve">, </w:t>
      </w:r>
      <w:r>
        <w:rPr>
          <w:rFonts w:ascii="Consolas" w:cs="Consolas" w:eastAsia="Consolas" w:hAnsi="Consolas"/>
          <w:shd w:fill="F2F1ED" w:val="clear"/>
        </w:rPr>
        <w:t xml:space="preserve">heads</w:t>
      </w:r>
      <w:r>
        <w:t xml:space="preserve">) names the lines that are a number of things rather than an amount of money. Such a line is printed as a plain number — no currency, no restatement into millions or billions because its rows sit under a Key Metrics or memo heading — and it never joins a money total. This is what the </w:t>
      </w:r>
      <w:r>
        <w:rPr>
          <w:rFonts w:ascii="Consolas" w:cs="Consolas" w:eastAsia="Consolas" w:hAnsi="Consolas"/>
          <w:shd w:fill="F2F1ED" w:val="clear"/>
        </w:rPr>
        <w:t xml:space="preserve">Unit</w:t>
      </w:r>
      <w:r>
        <w:t xml:space="preserve"> column says explicitly where a file carries one; the patterns are how a file that carries no units is still read correctly. (</w:t>
      </w:r>
      <w:r>
        <w:rPr>
          <w:rFonts w:ascii="Consolas" w:cs="Consolas" w:eastAsia="Consolas" w:hAnsi="Consolas"/>
          <w:shd w:fill="F2F1ED" w:val="clear"/>
        </w:rPr>
        <w:t xml:space="preserve">fte</w:t>
      </w:r>
      <w:r>
        <w:t xml:space="preserve">, </w:t>
      </w:r>
      <w:r>
        <w:rPr>
          <w:rFonts w:ascii="Consolas" w:cs="Consolas" w:eastAsia="Consolas" w:hAnsi="Consolas"/>
          <w:shd w:fill="F2F1ED" w:val="clear"/>
        </w:rPr>
        <w:t xml:space="preserve">headcount</w:t>
      </w:r>
      <w:r>
        <w:t xml:space="preserve"> and </w:t>
      </w:r>
      <w:r>
        <w:rPr>
          <w:rFonts w:ascii="Consolas" w:cs="Consolas" w:eastAsia="Consolas" w:hAnsi="Consolas"/>
          <w:shd w:fill="F2F1ED" w:val="clear"/>
        </w:rPr>
        <w:t xml:space="preserve">count</w:t>
      </w:r>
      <w:r>
        <w:t xml:space="preserve"> used to sit in </w:t>
      </w:r>
      <w:r>
        <w:rPr>
          <w:rFonts w:ascii="Consolas" w:cs="Consolas" w:eastAsia="Consolas" w:hAnsi="Consolas"/>
          <w:shd w:fill="F2F1ED" w:val="clear"/>
        </w:rPr>
        <w:t xml:space="preserve">ratio_patterns</w:t>
      </w:r>
      <w:r>
        <w:t xml:space="preserve">, which made a headcount a ratio; they now have their own setting.)</w:t>
      </w:r>
    </w:p>
    <w:p>
      <w:pPr>
        <w:spacing w:after="140"/>
        <w:ind w:left="360"/>
      </w:pPr>
      <w:r>
        <w:rPr>
          <w:b/>
          <w:bCs/>
        </w:rPr>
        <w:t xml:space="preserve">A ratio is never printed on a money basis.</w:t>
      </w:r>
      <w:r>
        <w:t xml:space="preserve"> Three things can say a line is a ratio, and any one is enough: the file states its unit as </w:t>
      </w:r>
      <w:r>
        <w:rPr>
          <w:rFonts w:ascii="Consolas" w:cs="Consolas" w:eastAsia="Consolas" w:hAnsi="Consolas"/>
          <w:shd w:fill="F2F1ED" w:val="clear"/>
        </w:rPr>
        <w:t xml:space="preserve">%</w:t>
      </w:r>
      <w:r>
        <w:t xml:space="preserve">, the pack declares its </w:t>
      </w:r>
      <w:r>
        <w:rPr>
          <w:rFonts w:ascii="Consolas" w:cs="Consolas" w:eastAsia="Consolas" w:hAnsi="Consolas"/>
          <w:shd w:fill="F2F1ED" w:val="clear"/>
        </w:rPr>
        <w:t xml:space="preserve">Basis</w:t>
      </w:r>
      <w:r>
        <w:t xml:space="preserve"> as </w:t>
      </w:r>
      <w:r>
        <w:rPr>
          <w:rFonts w:ascii="Consolas" w:cs="Consolas" w:eastAsia="Consolas" w:hAnsi="Consolas"/>
          <w:shd w:fill="F2F1ED" w:val="clear"/>
        </w:rPr>
        <w:t xml:space="preserve">Ratio</w:t>
      </w:r>
      <w:r>
        <w:t xml:space="preserve">, or the name itself says so (</w:t>
      </w:r>
      <w:r>
        <w:rPr>
          <w:rFonts w:ascii="Consolas" w:cs="Consolas" w:eastAsia="Consolas" w:hAnsi="Consolas"/>
          <w:shd w:fill="F2F1ED" w:val="clear"/>
        </w:rPr>
        <w:t xml:space="preserve">ratio_patterns</w:t>
      </w:r>
      <w:r>
        <w:t xml:space="preserve"> — CER, ROTE, bps, %). Such a line is shown as the ratio it is — no currency, no restatement into billions because its rows happen to sit beside the balance sheet, and read year to date rather than as a closing balance, since a ratio is not a stock.</w:t>
      </w:r>
    </w:p>
    <w:p>
      <w:pPr>
        <w:spacing w:after="140"/>
        <w:ind w:left="360"/>
      </w:pPr>
      <w:r>
        <w:t xml:space="preserve">Its movements are in ratio points (</w:t>
      </w:r>
      <w:r>
        <w:rPr>
          <w:rFonts w:ascii="Consolas" w:cs="Consolas" w:eastAsia="Consolas" w:hAnsi="Consolas"/>
          <w:shd w:fill="F2F1ED" w:val="clear"/>
        </w:rPr>
        <w:t xml:space="preserve">▼0.01</w:t>
      </w:r>
      <w:r>
        <w:t xml:space="preserve">) with the percentage change beside them. The same precedence applies here as everywhere: what the pack declares, then what the file states, and only then the name patterns — so a line the file calls </w:t>
      </w:r>
      <w:r>
        <w:rPr>
          <w:rFonts w:ascii="Consolas" w:cs="Consolas" w:eastAsia="Consolas" w:hAnsi="Consolas"/>
          <w:shd w:fill="F2F1ED" w:val="clear"/>
        </w:rPr>
        <w:t xml:space="preserve">Absolute</w:t>
      </w:r>
      <w:r>
        <w:t xml:space="preserve"> is a count even if the patterns would have caught its name.</w:t>
      </w:r>
    </w:p>
    <w:p>
      <w:pPr>
        <w:spacing w:after="140"/>
        <w:ind w:left="360"/>
      </w:pPr>
      <w:r>
        <w:rPr>
          <w:b/>
          <w:bCs/>
        </w:rPr>
        <w:t xml:space="preserve">A ratio is never carried up.</w:t>
      </w:r>
      <w:r>
        <w:t xml:space="preserve"> By default it is shown exactly as the file reports it, at the level the file reports it, and is never added, averaged or rolled into anything — Group CER is not the mean of the countries' CERs, so the page does not offer one.</w:t>
      </w:r>
    </w:p>
    <w:p>
      <w:pPr>
        <w:spacing w:after="140"/>
        <w:ind w:left="360"/>
      </w:pPr>
      <w:r>
        <w:rPr>
          <w:b/>
          <w:bCs/>
        </w:rPr>
        <w:t xml:space="preserve">`ratio_recompute` (off by default)</w:t>
      </w:r>
      <w:r>
        <w:t xml:space="preserve"> turns on the alternative: rebuilding the ratio at whatever level is asked for, from its components. The </w:t>
      </w:r>
      <w:r>
        <w:rPr>
          <w:b/>
          <w:bCs/>
        </w:rPr>
        <w:t xml:space="preserve">Definitions</w:t>
      </w:r>
      <w:r>
        <w:t xml:space="preserve"> tab states it in the lineage form already used for calculated metrics, with one addition — a component whose </w:t>
      </w:r>
      <w:r>
        <w:rPr>
          <w:rFonts w:ascii="Consolas" w:cs="Consolas" w:eastAsia="Consolas" w:hAnsi="Consolas"/>
          <w:shd w:fill="F2F1ED" w:val="clear"/>
        </w:rPr>
        <w:t xml:space="preserve">Include</w:t>
      </w:r>
      <w:r>
        <w:t xml:space="preserve"> cell reads </w:t>
      </w:r>
      <w:r>
        <w:rPr>
          <w:b/>
          <w:bCs/>
        </w:rPr>
        <w:t xml:space="preserve">`/`</w:t>
      </w:r>
      <w:r>
        <w:t xml:space="preserve"> (or </w:t>
      </w:r>
      <w:r>
        <w:rPr>
          <w:rFonts w:ascii="Consolas" w:cs="Consolas" w:eastAsia="Consolas" w:hAnsi="Consolas"/>
          <w:shd w:fill="F2F1ED" w:val="clear"/>
        </w:rPr>
        <w:t xml:space="preserve">÷</w:t>
      </w:r>
      <w:r>
        <w:t xml:space="preserve">, </w:t>
      </w:r>
      <w:r>
        <w:rPr>
          <w:rFonts w:ascii="Consolas" w:cs="Consolas" w:eastAsia="Consolas" w:hAnsi="Consolas"/>
          <w:shd w:fill="F2F1ED" w:val="clear"/>
        </w:rPr>
        <w:t xml:space="preserve">den</w:t>
      </w:r>
      <w:r>
        <w:t xml:space="preserve">, </w:t>
      </w:r>
      <w:r>
        <w:rPr>
          <w:rFonts w:ascii="Consolas" w:cs="Consolas" w:eastAsia="Consolas" w:hAnsi="Consolas"/>
          <w:shd w:fill="F2F1ED" w:val="clear"/>
        </w:rPr>
        <w:t xml:space="preserve">over</w:t>
      </w:r>
      <w:r>
        <w:t xml:space="preserve">) is the </w:t>
      </w:r>
      <w:r>
        <w:rPr>
          <w:b/>
          <w:bCs/>
        </w:rPr>
        <w:t xml:space="preserve">denominator</w:t>
      </w:r>
      <w:r>
        <w:t xml:space="preserve">, and the </w:t>
      </w:r>
      <w:r>
        <w:rPr>
          <w:rFonts w:ascii="Consolas" w:cs="Consolas" w:eastAsia="Consolas" w:hAnsi="Consolas"/>
          <w:shd w:fill="F2F1ED" w:val="clear"/>
        </w:rPr>
        <w:t xml:space="preserve">+</w:t>
      </w:r>
      <w:r>
        <w:t xml:space="preserve"> / </w:t>
      </w:r>
      <w:r>
        <w:rPr>
          <w:rFonts w:ascii="Consolas" w:cs="Consolas" w:eastAsia="Consolas" w:hAnsi="Consolas"/>
          <w:shd w:fill="F2F1ED" w:val="clear"/>
        </w:rPr>
        <w:t xml:space="preserve">−</w:t>
      </w:r>
      <w:r>
        <w:t xml:space="preserve"> components are the numerator.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F7E9EA" w:val="clear"/>
            <w:tcMar>
              <w:top w:type="dxa" w:w="60"/>
              <w:left w:type="dxa" w:w="100"/>
              <w:bottom w:type="dxa" w:w="60"/>
              <w:right w:type="dxa" w:w="100"/>
            </w:tcMar>
          </w:tcPr>
          <w:p>
            <w:r>
              <w:rPr>
                <w:b/>
                <w:bCs/>
                <w:color w:val="DB0011"/>
              </w:rPr>
              <w:t xml:space="preserve">Calculation</w:t>
            </w:r>
          </w:p>
        </w:tc>
        <w:tc>
          <w:tcPr>
            <w:shd w:fill="F7E9EA" w:val="clear"/>
            <w:tcMar>
              <w:top w:type="dxa" w:w="60"/>
              <w:left w:type="dxa" w:w="100"/>
              <w:bottom w:type="dxa" w:w="60"/>
              <w:right w:type="dxa" w:w="100"/>
            </w:tcMar>
          </w:tcPr>
          <w:p>
            <w:r>
              <w:rPr>
                <w:b/>
                <w:bCs/>
                <w:color w:val="DB0011"/>
              </w:rPr>
              <w:t xml:space="preserve">Business</w:t>
            </w:r>
          </w:p>
        </w:tc>
        <w:tc>
          <w:tcPr>
            <w:shd w:fill="F7E9EA" w:val="clear"/>
            <w:tcMar>
              <w:top w:type="dxa" w:w="60"/>
              <w:left w:type="dxa" w:w="100"/>
              <w:bottom w:type="dxa" w:w="60"/>
              <w:right w:type="dxa" w:w="100"/>
            </w:tcMar>
          </w:tcPr>
          <w:p>
            <w:r>
              <w:rPr>
                <w:b/>
                <w:bCs/>
                <w:color w:val="DB0011"/>
              </w:rPr>
              <w:t xml:space="preserve">Line</w:t>
            </w:r>
          </w:p>
        </w:tc>
        <w:tc>
          <w:tcPr>
            <w:shd w:fill="F7E9EA" w:val="clear"/>
            <w:tcMar>
              <w:top w:type="dxa" w:w="60"/>
              <w:left w:type="dxa" w:w="100"/>
              <w:bottom w:type="dxa" w:w="60"/>
              <w:right w:type="dxa" w:w="100"/>
            </w:tcMar>
          </w:tcPr>
          <w:p>
            <w:r>
              <w:rPr>
                <w:b/>
                <w:bCs/>
                <w:color w:val="DB0011"/>
              </w:rPr>
              <w:t xml:space="preserve">Include</w:t>
            </w:r>
          </w:p>
        </w:tc>
        <w:tc>
          <w:tcPr>
            <w:shd w:fill="F7E9EA" w:val="clear"/>
            <w:tcMar>
              <w:top w:type="dxa" w:w="60"/>
              <w:left w:type="dxa" w:w="100"/>
              <w:bottom w:type="dxa" w:w="60"/>
              <w:right w:type="dxa" w:w="100"/>
            </w:tcMar>
          </w:tcPr>
          <w:p>
            <w:r>
              <w:rPr>
                <w:b/>
                <w:bCs/>
                <w:color w:val="DB0011"/>
              </w:rPr>
              <w:t xml:space="preserve">MICA level</w:t>
            </w:r>
          </w:p>
        </w:tc>
      </w:tr>
      <w:tr>
        <w:tc>
          <w:tcPr>
            <w:tcMar>
              <w:top w:type="dxa" w:w="60"/>
              <w:left w:type="dxa" w:w="100"/>
              <w:bottom w:type="dxa" w:w="60"/>
              <w:right w:type="dxa" w:w="100"/>
            </w:tcMar>
          </w:tcPr>
          <w:p>
            <w:pPr>
              <w:spacing w:after="0"/>
            </w:pPr>
            <w:r>
              <w:t xml:space="preserve">CER</w:t>
            </w:r>
          </w:p>
        </w:tc>
        <w:tc>
          <w:tcPr>
            <w:tcMar>
              <w:top w:type="dxa" w:w="60"/>
              <w:left w:type="dxa" w:w="100"/>
              <w:bottom w:type="dxa" w:w="60"/>
              <w:right w:type="dxa" w:w="100"/>
            </w:tcMar>
          </w:tcPr>
          <w:p>
            <w:pPr>
              <w:spacing w:after="0"/>
            </w:pPr>
            <w:r>
              <w:t xml:space="preserve"> </w:t>
            </w:r>
          </w:p>
        </w:tc>
        <w:tc>
          <w:tcPr>
            <w:tcMar>
              <w:top w:type="dxa" w:w="60"/>
              <w:left w:type="dxa" w:w="100"/>
              <w:bottom w:type="dxa" w:w="60"/>
              <w:right w:type="dxa" w:w="100"/>
            </w:tcMar>
          </w:tcPr>
          <w:p>
            <w:pPr>
              <w:spacing w:after="0"/>
            </w:pPr>
            <w:r>
              <w:t xml:space="preserve">Total Direct Cost</w:t>
            </w:r>
          </w:p>
        </w:tc>
        <w:tc>
          <w:tcPr>
            <w:tcMar>
              <w:top w:type="dxa" w:w="60"/>
              <w:left w:type="dxa" w:w="100"/>
              <w:bottom w:type="dxa" w:w="60"/>
              <w:right w:type="dxa" w:w="100"/>
            </w:tcMar>
          </w:tcPr>
          <w:p>
            <w:pPr>
              <w:spacing w:after="0"/>
            </w:pPr>
            <w:r>
              <w:t xml:space="preserve">+</w:t>
            </w:r>
          </w:p>
        </w:tc>
        <w:tc>
          <w:tcPr>
            <w:tcMar>
              <w:top w:type="dxa" w:w="60"/>
              <w:left w:type="dxa" w:w="100"/>
              <w:bottom w:type="dxa" w:w="60"/>
              <w:right w:type="dxa" w:w="100"/>
            </w:tcMar>
          </w:tcPr>
          <w:p>
            <w:pPr>
              <w:spacing w:after="0"/>
            </w:pPr>
            <w:r>
              <w:t xml:space="preserve">L2</w:t>
            </w:r>
          </w:p>
        </w:tc>
      </w:tr>
      <w:tr>
        <w:tc>
          <w:tcPr>
            <w:tcMar>
              <w:top w:type="dxa" w:w="60"/>
              <w:left w:type="dxa" w:w="100"/>
              <w:bottom w:type="dxa" w:w="60"/>
              <w:right w:type="dxa" w:w="100"/>
            </w:tcMar>
          </w:tcPr>
          <w:p>
            <w:pPr>
              <w:spacing w:after="0"/>
            </w:pPr>
            <w:r>
              <w:t xml:space="preserve">CER</w:t>
            </w:r>
          </w:p>
        </w:tc>
        <w:tc>
          <w:tcPr>
            <w:tcMar>
              <w:top w:type="dxa" w:w="60"/>
              <w:left w:type="dxa" w:w="100"/>
              <w:bottom w:type="dxa" w:w="60"/>
              <w:right w:type="dxa" w:w="100"/>
            </w:tcMar>
          </w:tcPr>
          <w:p>
            <w:pPr>
              <w:spacing w:after="0"/>
            </w:pPr>
            <w:r>
              <w:t xml:space="preserve"> </w:t>
            </w:r>
          </w:p>
        </w:tc>
        <w:tc>
          <w:tcPr>
            <w:tcMar>
              <w:top w:type="dxa" w:w="60"/>
              <w:left w:type="dxa" w:w="100"/>
              <w:bottom w:type="dxa" w:w="60"/>
              <w:right w:type="dxa" w:w="100"/>
            </w:tcMar>
          </w:tcPr>
          <w:p>
            <w:pPr>
              <w:spacing w:after="0"/>
            </w:pPr>
            <w:r>
              <w:t xml:space="preserve">Total Indirect Costs</w:t>
            </w:r>
          </w:p>
        </w:tc>
        <w:tc>
          <w:tcPr>
            <w:tcMar>
              <w:top w:type="dxa" w:w="60"/>
              <w:left w:type="dxa" w:w="100"/>
              <w:bottom w:type="dxa" w:w="60"/>
              <w:right w:type="dxa" w:w="100"/>
            </w:tcMar>
          </w:tcPr>
          <w:p>
            <w:pPr>
              <w:spacing w:after="0"/>
            </w:pPr>
            <w:r>
              <w:t xml:space="preserve">+</w:t>
            </w:r>
          </w:p>
        </w:tc>
        <w:tc>
          <w:tcPr>
            <w:tcMar>
              <w:top w:type="dxa" w:w="60"/>
              <w:left w:type="dxa" w:w="100"/>
              <w:bottom w:type="dxa" w:w="60"/>
              <w:right w:type="dxa" w:w="100"/>
            </w:tcMar>
          </w:tcPr>
          <w:p>
            <w:pPr>
              <w:spacing w:after="0"/>
            </w:pPr>
            <w:r>
              <w:t xml:space="preserve">L2</w:t>
            </w:r>
          </w:p>
        </w:tc>
      </w:tr>
      <w:tr>
        <w:tc>
          <w:tcPr>
            <w:tcMar>
              <w:top w:type="dxa" w:w="60"/>
              <w:left w:type="dxa" w:w="100"/>
              <w:bottom w:type="dxa" w:w="60"/>
              <w:right w:type="dxa" w:w="100"/>
            </w:tcMar>
          </w:tcPr>
          <w:p>
            <w:pPr>
              <w:spacing w:after="0"/>
            </w:pPr>
            <w:r>
              <w:t xml:space="preserve">CER</w:t>
            </w:r>
          </w:p>
        </w:tc>
        <w:tc>
          <w:tcPr>
            <w:tcMar>
              <w:top w:type="dxa" w:w="60"/>
              <w:left w:type="dxa" w:w="100"/>
              <w:bottom w:type="dxa" w:w="60"/>
              <w:right w:type="dxa" w:w="100"/>
            </w:tcMar>
          </w:tcPr>
          <w:p>
            <w:pPr>
              <w:spacing w:after="0"/>
            </w:pPr>
            <w:r>
              <w:t xml:space="preserve"> </w:t>
            </w:r>
          </w:p>
        </w:tc>
        <w:tc>
          <w:tcPr>
            <w:tcMar>
              <w:top w:type="dxa" w:w="60"/>
              <w:left w:type="dxa" w:w="100"/>
              <w:bottom w:type="dxa" w:w="60"/>
              <w:right w:type="dxa" w:w="100"/>
            </w:tcMar>
          </w:tcPr>
          <w:p>
            <w:pPr>
              <w:spacing w:after="0"/>
            </w:pPr>
            <w:r>
              <w:t xml:space="preserve">Revenue</w:t>
            </w:r>
          </w:p>
        </w:tc>
        <w:tc>
          <w:tcPr>
            <w:tcMar>
              <w:top w:type="dxa" w:w="60"/>
              <w:left w:type="dxa" w:w="100"/>
              <w:bottom w:type="dxa" w:w="60"/>
              <w:right w:type="dxa" w:w="100"/>
            </w:tcMar>
          </w:tcPr>
          <w:p>
            <w:pPr>
              <w:spacing w:after="0"/>
            </w:pPr>
            <w:r>
              <w:t xml:space="preserve">/</w:t>
            </w:r>
          </w:p>
        </w:tc>
        <w:tc>
          <w:tcPr>
            <w:tcMar>
              <w:top w:type="dxa" w:w="60"/>
              <w:left w:type="dxa" w:w="100"/>
              <w:bottom w:type="dxa" w:w="60"/>
              <w:right w:type="dxa" w:w="100"/>
            </w:tcMar>
          </w:tcPr>
          <w:p>
            <w:pPr>
              <w:spacing w:after="0"/>
            </w:pPr>
            <w:r>
              <w:t xml:space="preserve">L2</w:t>
            </w:r>
          </w:p>
        </w:tc>
      </w:tr>
    </w:tbl>
    <w:p>
      <w:pPr>
        <w:spacing w:after="160"/>
      </w:pPr>
    </w:p>
    <w:p>
      <w:pPr>
        <w:spacing w:after="140"/>
        <w:ind w:left="360"/>
      </w:pPr>
      <w:r>
        <w:t xml:space="preserve">With it on, wherever that line appears, at whatever scope, it is worked out again from the lines in that scope — the KPI tile, the drill-down, each Business performance cell, each Financial Summary row — and </w:t>
      </w:r>
      <w:r>
        <w:rPr>
          <w:b/>
          <w:bCs/>
        </w:rPr>
        <w:t xml:space="preserve">every basis with it</w:t>
      </w:r>
      <w:r>
        <w:t xml:space="preserve">: the prior year ratio is PY cost over PY revenue, the target ratio is target over target, and the monthly path is a ratio month by month rather than a running sum. Three details the pack does not have to state: a file carrying costs as negatives still prints a positive ratio (opposite-signed sides are taken on their magnitudes); direction follows the numerator, so a rising CER rates unfavourable while a rising ROTE does not; and a line the extract calls </w:t>
      </w:r>
      <w:r>
        <w:rPr>
          <w:rFonts w:ascii="Consolas" w:cs="Consolas" w:eastAsia="Consolas" w:hAnsi="Consolas"/>
          <w:shd w:fill="F2F1ED" w:val="clear"/>
        </w:rPr>
        <w:t xml:space="preserve">CER%</w:t>
      </w:r>
      <w:r>
        <w:t xml:space="preserve"> resolves to a definition written as </w:t>
      </w:r>
      <w:r>
        <w:rPr>
          <w:rFonts w:ascii="Consolas" w:cs="Consolas" w:eastAsia="Consolas" w:hAnsi="Consolas"/>
          <w:shd w:fill="F2F1ED" w:val="clear"/>
        </w:rPr>
        <w:t xml:space="preserve">CER</w:t>
      </w:r>
      <w:r>
        <w:t xml:space="preserve"> — punctuation and a trailing per-cent sign are not a different metric, and the </w:t>
      </w:r>
      <w:r>
        <w:rPr>
          <w:rFonts w:ascii="Consolas" w:cs="Consolas" w:eastAsia="Consolas" w:hAnsi="Consolas"/>
          <w:shd w:fill="F2F1ED" w:val="clear"/>
        </w:rPr>
        <w:t xml:space="preserve">Match</w:t>
      </w:r>
      <w:r>
        <w:t xml:space="preserve"> column names the rest.</w:t>
      </w:r>
    </w:p>
    <w:p>
      <w:pPr>
        <w:spacing w:after="140"/>
        <w:ind w:left="360"/>
      </w:pPr>
      <w:r>
        <w:t xml:space="preserve">Where the file </w:t>
      </w:r>
      <w:r>
        <w:rPr>
          <w:i/>
          <w:iCs/>
        </w:rPr>
        <w:t xml:space="preserve">also</w:t>
      </w:r>
      <w:r>
        <w:t xml:space="preserve"> reports the line, the reconciliation says so, so the two can be compared rather than one quietly winning — on the sample extract the reported CER% reads 0.52 against 0.5096 rebuilt from its own cost and revenue lines. </w:t>
      </w:r>
      <w:r>
        <w:rPr>
          <w:rFonts w:ascii="Consolas" w:cs="Consolas" w:eastAsia="Consolas" w:hAnsi="Consolas"/>
          <w:shd w:fill="F2F1ED" w:val="clear"/>
        </w:rPr>
        <w:t xml:space="preserve">ratio_display</w:t>
      </w:r>
      <w:r>
        <w:t xml:space="preserve"> (</w:t>
      </w:r>
      <w:r>
        <w:rPr>
          <w:rFonts w:ascii="Consolas" w:cs="Consolas" w:eastAsia="Consolas" w:hAnsi="Consolas"/>
          <w:shd w:fill="F2F1ED" w:val="clear"/>
        </w:rPr>
        <w:t xml:space="preserve">as reported</w:t>
      </w:r>
      <w:r>
        <w:t xml:space="preserve"> by default, or </w:t>
      </w:r>
      <w:r>
        <w:rPr>
          <w:rFonts w:ascii="Consolas" w:cs="Consolas" w:eastAsia="Consolas" w:hAnsi="Consolas"/>
          <w:shd w:fill="F2F1ED" w:val="clear"/>
        </w:rPr>
        <w:t xml:space="preserve">percent</w:t>
      </w:r>
      <w:r>
        <w:t xml:space="preserve">) decides whether </w:t>
      </w:r>
      <w:r>
        <w:rPr>
          <w:rFonts w:ascii="Consolas" w:cs="Consolas" w:eastAsia="Consolas" w:hAnsi="Consolas"/>
          <w:shd w:fill="F2F1ED" w:val="clear"/>
        </w:rPr>
        <w:t xml:space="preserve">0.51</w:t>
      </w:r>
      <w:r>
        <w:t xml:space="preserve"> prints as </w:t>
      </w:r>
      <w:r>
        <w:rPr>
          <w:rFonts w:ascii="Consolas" w:cs="Consolas" w:eastAsia="Consolas" w:hAnsi="Consolas"/>
          <w:shd w:fill="F2F1ED" w:val="clear"/>
        </w:rPr>
        <w:t xml:space="preserve">0.51</w:t>
      </w:r>
      <w:r>
        <w:t xml:space="preserve"> or </w:t>
      </w:r>
      <w:r>
        <w:rPr>
          <w:rFonts w:ascii="Consolas" w:cs="Consolas" w:eastAsia="Consolas" w:hAnsi="Consolas"/>
          <w:shd w:fill="F2F1ED" w:val="clear"/>
        </w:rPr>
        <w:t xml:space="preserve">51.0%</w:t>
      </w:r>
      <w:r>
        <w:t xml:space="preserve">, whichever mode is in force. With </w:t>
      </w:r>
      <w:r>
        <w:rPr>
          <w:rFonts w:ascii="Consolas" w:cs="Consolas" w:eastAsia="Consolas" w:hAnsi="Consolas"/>
          <w:shd w:fill="F2F1ED" w:val="clear"/>
        </w:rPr>
        <w:t xml:space="preserve">ratio_recompute</w:t>
      </w:r>
      <w:r>
        <w:t xml:space="preserve"> off — the shipped setting — none of this runs: the ratio is the file's figure, and it is still never summed.</w:t>
      </w:r>
    </w:p>
    <w:p>
      <w:pPr>
        <w:spacing w:after="140"/>
        <w:ind w:left="360"/>
      </w:pPr>
      <w:r>
        <w:rPr>
          <w:b/>
          <w:bCs/>
        </w:rPr>
        <w:t xml:space="preserve">A metric reported at Group is read at Group.</w:t>
      </w:r>
      <w:r>
        <w:t xml:space="preserve"> Where the extract carries a line at </w:t>
      </w:r>
      <w:r>
        <w:rPr>
          <w:rFonts w:ascii="Consolas" w:cs="Consolas" w:eastAsia="Consolas" w:hAnsi="Consolas"/>
          <w:shd w:fill="F2F1ED" w:val="clear"/>
        </w:rPr>
        <w:t xml:space="preserve">Global</w:t>
      </w:r>
      <w:r>
        <w:t xml:space="preserve"> or </w:t>
      </w:r>
      <w:r>
        <w:rPr>
          <w:rFonts w:ascii="Consolas" w:cs="Consolas" w:eastAsia="Consolas" w:hAnsi="Consolas"/>
          <w:shd w:fill="F2F1ED" w:val="clear"/>
        </w:rPr>
        <w:t xml:space="preserve">Group</w:t>
      </w:r>
      <w:r>
        <w:t xml:space="preserve"> </w:t>
      </w:r>
      <w:r>
        <w:rPr>
          <w:b/>
          <w:bCs/>
        </w:rPr>
        <w:t xml:space="preserve">as well as</w:t>
      </w:r>
      <w:r>
        <w:t xml:space="preserve"> by country — the shape a reporting pack uses when a metric is owned centrally — adding both counts it twice. Which row to read follows from what is being asked: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7E9EA" w:val="clear"/>
            <w:tcMar>
              <w:top w:type="dxa" w:w="60"/>
              <w:left w:type="dxa" w:w="100"/>
              <w:bottom w:type="dxa" w:w="60"/>
              <w:right w:type="dxa" w:w="100"/>
            </w:tcMar>
          </w:tcPr>
          <w:p>
            <w:r>
              <w:rPr>
                <w:b/>
                <w:bCs/>
                <w:color w:val="DB0011"/>
              </w:rPr>
              <w:t xml:space="preserve">The view</w:t>
            </w:r>
          </w:p>
        </w:tc>
        <w:tc>
          <w:tcPr>
            <w:shd w:fill="F7E9EA" w:val="clear"/>
            <w:tcMar>
              <w:top w:type="dxa" w:w="60"/>
              <w:left w:type="dxa" w:w="100"/>
              <w:bottom w:type="dxa" w:w="60"/>
              <w:right w:type="dxa" w:w="100"/>
            </w:tcMar>
          </w:tcPr>
          <w:p>
            <w:r>
              <w:rPr>
                <w:b/>
                <w:bCs/>
                <w:color w:val="DB0011"/>
              </w:rPr>
              <w:t xml:space="preserve">Reads</w:t>
            </w:r>
          </w:p>
        </w:tc>
      </w:tr>
      <w:tr>
        <w:tc>
          <w:tcPr>
            <w:tcMar>
              <w:top w:type="dxa" w:w="60"/>
              <w:left w:type="dxa" w:w="100"/>
              <w:bottom w:type="dxa" w:w="60"/>
              <w:right w:type="dxa" w:w="100"/>
            </w:tcMar>
          </w:tcPr>
          <w:p>
            <w:pPr>
              <w:spacing w:after="0"/>
            </w:pPr>
            <w:r>
              <w:t xml:space="preserve">the group view (nothing scoped)</w:t>
            </w:r>
          </w:p>
        </w:tc>
        <w:tc>
          <w:tcPr>
            <w:tcMar>
              <w:top w:type="dxa" w:w="60"/>
              <w:left w:type="dxa" w:w="100"/>
              <w:bottom w:type="dxa" w:w="60"/>
              <w:right w:type="dxa" w:w="100"/>
            </w:tcMar>
          </w:tcPr>
          <w:p>
            <w:pPr>
              <w:spacing w:after="0"/>
            </w:pPr>
            <w:r>
              <w:t xml:space="preserve">the </w:t>
            </w:r>
            <w:r>
              <w:rPr>
                <w:b/>
                <w:bCs/>
              </w:rPr>
              <w:t xml:space="preserve">reported Global / Group row</w:t>
            </w:r>
            <w:r>
              <w:t xml:space="preserve">; the country rows are set aside</w:t>
            </w:r>
          </w:p>
        </w:tc>
      </w:tr>
      <w:tr>
        <w:tc>
          <w:tcPr>
            <w:tcMar>
              <w:top w:type="dxa" w:w="60"/>
              <w:left w:type="dxa" w:w="100"/>
              <w:bottom w:type="dxa" w:w="60"/>
              <w:right w:type="dxa" w:w="100"/>
            </w:tcMar>
          </w:tcPr>
          <w:p>
            <w:pPr>
              <w:spacing w:after="0"/>
            </w:pPr>
            <w:r>
              <w:t xml:space="preserve">a breakdown by geography (a chart or table by country)</w:t>
            </w:r>
          </w:p>
        </w:tc>
        <w:tc>
          <w:tcPr>
            <w:tcMar>
              <w:top w:type="dxa" w:w="60"/>
              <w:left w:type="dxa" w:w="100"/>
              <w:bottom w:type="dxa" w:w="60"/>
              <w:right w:type="dxa" w:w="100"/>
            </w:tcMar>
          </w:tcPr>
          <w:p>
            <w:pPr>
              <w:spacing w:after="0"/>
            </w:pPr>
            <w:r>
              <w:t xml:space="preserve">the </w:t>
            </w:r>
            <w:r>
              <w:rPr>
                <w:b/>
                <w:bCs/>
              </w:rPr>
              <w:t xml:space="preserve">country rows</w:t>
            </w:r>
            <w:r>
              <w:t xml:space="preserve">; the group row is set aside, so it never stands beside them as a phantom country</w:t>
            </w:r>
          </w:p>
        </w:tc>
      </w:tr>
      <w:tr>
        <w:tc>
          <w:tcPr>
            <w:tcMar>
              <w:top w:type="dxa" w:w="60"/>
              <w:left w:type="dxa" w:w="100"/>
              <w:bottom w:type="dxa" w:w="60"/>
              <w:right w:type="dxa" w:w="100"/>
            </w:tcMar>
          </w:tcPr>
          <w:p>
            <w:pPr>
              <w:spacing w:after="0"/>
            </w:pPr>
            <w:r>
              <w:t xml:space="preserve">scoped to a country or region</w:t>
            </w:r>
          </w:p>
        </w:tc>
        <w:tc>
          <w:tcPr>
            <w:tcMar>
              <w:top w:type="dxa" w:w="60"/>
              <w:left w:type="dxa" w:w="100"/>
              <w:bottom w:type="dxa" w:w="60"/>
              <w:right w:type="dxa" w:w="100"/>
            </w:tcMar>
          </w:tcPr>
          <w:p>
            <w:pPr>
              <w:spacing w:after="0"/>
            </w:pPr>
            <w:r>
              <w:t xml:space="preserve">that scope's own rows</w:t>
            </w:r>
          </w:p>
        </w:tc>
      </w:tr>
    </w:tbl>
    <w:p>
      <w:pPr>
        <w:spacing w:after="160"/>
      </w:pPr>
    </w:p>
    <w:p>
      <w:pPr>
        <w:spacing w:after="140"/>
        <w:ind w:left="360"/>
      </w:pPr>
      <w:r>
        <w:rPr>
          <w:b/>
          <w:bCs/>
        </w:rPr>
        <w:t xml:space="preserve">A reported row always wins; otherwise the `Roll up` column decides.</w:t>
      </w:r>
      <w:r>
        <w:t xml:space="preserve"> A line the sheet declares </w:t>
      </w:r>
      <w:r>
        <w:rPr>
          <w:rFonts w:ascii="Consolas" w:cs="Consolas" w:eastAsia="Consolas" w:hAnsi="Consolas"/>
          <w:shd w:fill="F2F1ED" w:val="clear"/>
        </w:rPr>
        <w:t xml:space="preserve">Sum</w:t>
      </w:r>
      <w:r>
        <w:t xml:space="preserve"> is built up from the countries at Group — that is what rolling up means. A line declared </w:t>
      </w:r>
      <w:r>
        <w:rPr>
          <w:rFonts w:ascii="Consolas" w:cs="Consolas" w:eastAsia="Consolas" w:hAnsi="Consolas"/>
          <w:shd w:fill="F2F1ED" w:val="clear"/>
        </w:rPr>
        <w:t xml:space="preserve">As reported</w:t>
      </w:r>
      <w:r>
        <w:t xml:space="preserve"> or </w:t>
      </w:r>
      <w:r>
        <w:rPr>
          <w:rFonts w:ascii="Consolas" w:cs="Consolas" w:eastAsia="Consolas" w:hAnsi="Consolas"/>
          <w:shd w:fill="F2F1ED" w:val="clear"/>
        </w:rPr>
        <w:t xml:space="preserve">Never</w:t>
      </w:r>
      <w:r>
        <w:t xml:space="preserve"> is not: it has a figure at a level only where the file reports one there, and where it does not, the tile shows a dash and says </w:t>
      </w:r>
      <w:r>
        <w:rPr>
          <w:i/>
          <w:iCs/>
        </w:rPr>
        <w:t xml:space="preserve">"reported below this level only — never carried up"</w:t>
      </w:r>
      <w:r>
        <w:t xml:space="preserve"> rather than inventing one from the parts. This is how a metric calculated somewhere else behaves — </w:t>
      </w:r>
      <w:r>
        <w:rPr>
          <w:b/>
          <w:bCs/>
        </w:rPr>
        <w:t xml:space="preserve">CER and ROTE</w:t>
      </w:r>
      <w:r>
        <w:t xml:space="preserve"> come from their own source and arrive as their own rows, so where such a row exists it is the figure and where it does not there is none.</w:t>
      </w:r>
    </w:p>
    <w:p>
      <w:pPr>
        <w:spacing w:after="140"/>
        <w:ind w:left="360"/>
      </w:pPr>
      <w:r>
        <w:t xml:space="preserve">Its rows still belong to their parent: a fee line taken as reported is still inside Revenue when Revenue rolls up, so casting is unaffected. And coverage is </w:t>
      </w:r>
      <w:r>
        <w:rPr>
          <w:b/>
          <w:bCs/>
        </w:rPr>
        <w:t xml:space="preserve">per line, not per file</w:t>
      </w:r>
      <w:r>
        <w:t xml:space="preserve"> — a Group tab carrying only CER and a fee metric speaks for the Group on those two lines and leaves everything else to roll up from the countries exactly as before. </w:t>
      </w:r>
      <w:r>
        <w:rPr>
          <w:rFonts w:ascii="Consolas" w:cs="Consolas" w:eastAsia="Consolas" w:hAnsi="Consolas"/>
          <w:shd w:fill="F2F1ED" w:val="clear"/>
        </w:rPr>
        <w:t xml:space="preserve">grain_declared: N</w:t>
      </w:r>
      <w:r>
        <w:t xml:space="preserve"> switches the declaration side off.</w:t>
      </w:r>
    </w:p>
    <w:p>
      <w:pPr>
        <w:spacing w:after="140"/>
        <w:ind w:left="360"/>
      </w:pPr>
      <w:r>
        <w:t xml:space="preserve">The two are never added together and nothing is ever apportioned downwards.</w:t>
      </w:r>
    </w:p>
    <w:p>
      <w:pPr>
        <w:spacing w:after="140"/>
        <w:ind w:left="360"/>
      </w:pPr>
      <w:r>
        <w:rPr>
          <w:b/>
          <w:bCs/>
        </w:rPr>
        <w:t xml:space="preserve">The unit follows the grain</w:t>
      </w:r>
      <w:r>
        <w:t xml:space="preserve">, on the same </w:t>
      </w:r>
      <w:r>
        <w:rPr>
          <w:rFonts w:ascii="Consolas" w:cs="Consolas" w:eastAsia="Consolas" w:hAnsi="Consolas"/>
          <w:shd w:fill="F2F1ED" w:val="clear"/>
        </w:rPr>
        <w:t xml:space="preserve">mn</w:t>
      </w:r>
      <w:r>
        <w:t xml:space="preserve"> / </w:t>
      </w:r>
      <w:r>
        <w:rPr>
          <w:rFonts w:ascii="Consolas" w:cs="Consolas" w:eastAsia="Consolas" w:hAnsi="Consolas"/>
          <w:shd w:fill="F2F1ED" w:val="clear"/>
        </w:rPr>
        <w:t xml:space="preserve">bn</w:t>
      </w:r>
      <w:r>
        <w:t xml:space="preserve"> / </w:t>
      </w:r>
      <w:r>
        <w:rPr>
          <w:rFonts w:ascii="Consolas" w:cs="Consolas" w:eastAsia="Consolas" w:hAnsi="Consolas"/>
          <w:shd w:fill="F2F1ED" w:val="clear"/>
        </w:rPr>
        <w:t xml:space="preserve">Absolute</w:t>
      </w:r>
      <w:r>
        <w:t xml:space="preserve"> logic as everywhere else. A pack may report a line in </w:t>
      </w:r>
      <w:r>
        <w:rPr>
          <w:rFonts w:ascii="Consolas" w:cs="Consolas" w:eastAsia="Consolas" w:hAnsi="Consolas"/>
          <w:shd w:fill="F2F1ED" w:val="clear"/>
        </w:rPr>
        <w:t xml:space="preserve">$Bn</w:t>
      </w:r>
      <w:r>
        <w:t xml:space="preserve"> at Group and </w:t>
      </w:r>
      <w:r>
        <w:rPr>
          <w:rFonts w:ascii="Consolas" w:cs="Consolas" w:eastAsia="Consolas" w:hAnsi="Consolas"/>
          <w:shd w:fill="F2F1ED" w:val="clear"/>
        </w:rPr>
        <w:t xml:space="preserve">$mn</w:t>
      </w:r>
      <w:r>
        <w:t xml:space="preserve"> by country — that is two statements, each true of its own rows, not a disagreement — so each view is stated in the unit of the rows it reads and neither is labelled with the other's. The group view of such a line reads </w:t>
      </w:r>
      <w:r>
        <w:rPr>
          <w:rFonts w:ascii="Consolas" w:cs="Consolas" w:eastAsia="Consolas" w:hAnsi="Consolas"/>
          <w:shd w:fill="F2F1ED" w:val="clear"/>
        </w:rPr>
        <w:t xml:space="preserve">US$bn 3.6</w:t>
      </w:r>
      <w:r>
        <w:t xml:space="preserve"> where Singapore reads </w:t>
      </w:r>
      <w:r>
        <w:rPr>
          <w:rFonts w:ascii="Consolas" w:cs="Consolas" w:eastAsia="Consolas" w:hAnsi="Consolas"/>
          <w:shd w:fill="F2F1ED" w:val="clear"/>
        </w:rPr>
        <w:t xml:space="preserve">US$m 1,401</w:t>
      </w:r>
      <w:r>
        <w:t xml:space="preserve">.</w:t>
      </w:r>
    </w:p>
    <w:p>
      <w:pPr>
        <w:spacing w:after="140"/>
        <w:ind w:left="360"/>
      </w:pPr>
      <w:r>
        <w:t xml:space="preserve">Two units under one name at the </w:t>
      </w:r>
      <w:r>
        <w:rPr>
          <w:b/>
          <w:bCs/>
        </w:rPr>
        <w:t xml:space="preserve">same</w:t>
      </w:r>
      <w:r>
        <w:t xml:space="preserve"> grain is a genuine disagreement, and there neither is taken. The ingest report names the lines this affects and says which row each view takes; </w:t>
      </w:r>
      <w:r>
        <w:rPr>
          <w:rFonts w:ascii="Consolas" w:cs="Consolas" w:eastAsia="Consolas" w:hAnsi="Consolas"/>
          <w:shd w:fill="F2F1ED" w:val="clear"/>
        </w:rPr>
        <w:t xml:space="preserve">grain_reported: N</w:t>
      </w:r>
      <w:r>
        <w:t xml:space="preserve"> switches it off, and then both grains sit in scope together exactly as they did before. This is the acting-on of what the roll-up reconciliation's grain section reports, and it is separate from </w:t>
      </w:r>
      <w:r>
        <w:rPr>
          <w:rFonts w:ascii="Consolas" w:cs="Consolas" w:eastAsia="Consolas" w:hAnsi="Consolas"/>
          <w:shd w:fill="F2F1ED" w:val="clear"/>
        </w:rPr>
        <w:t xml:space="preserve">group_consolidation</w:t>
      </w:r>
      <w:r>
        <w:t xml:space="preserve">, which handles a Group </w:t>
      </w:r>
      <w:r>
        <w:rPr>
          <w:b/>
          <w:bCs/>
        </w:rPr>
        <w:t xml:space="preserve">tab</w:t>
      </w:r>
      <w:r>
        <w:t xml:space="preserve"> rather than a group row inside a tab.</w:t>
      </w:r>
    </w:p>
    <w:p>
      <w:pPr>
        <w:spacing w:after="140"/>
        <w:ind w:left="360"/>
      </w:pPr>
      <w:r>
        <w:rPr>
          <w:b/>
          <w:bCs/>
        </w:rPr>
        <w:t xml:space="preserve">Nothing is totalled across kinds.</w:t>
      </w:r>
      <w:r>
        <w:t xml:space="preserve"> Money, a count and a ratio share a column in the extract and mean three different things, so a scope carrying more than one kind draws no total — on the tiles, in the drill-down, in the Financial Summary and in every export — and the page names the kinds it found. A parent line over mixed kinds shows no figure at all, </w:t>
      </w:r>
      <w:r>
        <w:rPr>
          <w:b/>
          <w:bCs/>
        </w:rPr>
        <w:t xml:space="preserve">including the percentages worked out from it</w:t>
      </w:r>
      <w:r>
        <w:t xml:space="preserve">, which would be the same false sum wearing a percent sign.</w:t>
      </w:r>
    </w:p>
    <w:p>
      <w:pPr>
        <w:spacing w:after="140"/>
        <w:ind w:left="360"/>
      </w:pPr>
      <w:r>
        <w:t xml:space="preserve">Two more that look additive and are not: counts of different things (staff and customers), and a ratio over more than one row — an average of ratios is not the ratio of the whole. Scales are different: money in millions and money in billions are one kind, held in the file's own unit and divided only when printed, so they still add.</w:t>
      </w:r>
    </w:p>
    <w:p>
      <w:pPr>
        <w:spacing w:after="140"/>
        <w:ind w:left="360"/>
      </w:pPr>
      <w:r>
        <w:t xml:space="preserve">Two things the sheet cannot vote away. A ratio is never additive, whatever it is declared as. And </w:t>
      </w:r>
      <w:r>
        <w:rPr>
          <w:b/>
          <w:bCs/>
        </w:rPr>
        <w:t xml:space="preserve">a sum is taken on the file's own actuals YTD column for the month in hand</w:t>
      </w:r>
      <w:r>
        <w:t xml:space="preserve"> — Jun YTD, May YTD — never by adding months together; where a month has no YTD column in the file the report says the figure was built from months, so the reader knows. Balances are read at one closing month and never accumulated across months, and a parent is footed against children of its own statement only: a balance is never added into a P&amp;L, whatever any sheet says.</w:t>
      </w:r>
    </w:p>
    <w:p>
      <w:pPr>
        <w:spacing w:after="140"/>
        <w:ind w:left="360"/>
      </w:pPr>
      <w:r>
        <w:rPr>
          <w:b/>
          <w:bCs/>
        </w:rPr>
        <w:t xml:space="preserve">This phase reports, it does not yet drive the figures.</w:t>
      </w:r>
      <w:r>
        <w:t xml:space="preserve"> Loading a file adds a </w:t>
      </w:r>
      <w:r>
        <w:rPr>
          <w:b/>
          <w:bCs/>
        </w:rPr>
        <w:t xml:space="preserve">Roll-up</w:t>
      </w:r>
      <w:r>
        <w:t xml:space="preserve"> row to the ingest report with a </w:t>
      </w:r>
      <w:r>
        <w:rPr>
          <w:b/>
          <w:bCs/>
        </w:rPr>
        <w:t xml:space="preserve">⤓ Roll-up reconciliation (Excel)</w:t>
      </w:r>
      <w:r>
        <w:t xml:space="preserve"> download, so the declarations can be proved against a real extract before anything on a page consults them. The workbook carries, in order: the YTD column against the months behind it (where they differ, the column is authoritative and the gap is sized); lines the file carries at more than one grain, with both totals, flagging any that have no </w:t>
      </w:r>
      <w:r>
        <w:rPr>
          <w:rFonts w:ascii="Consolas" w:cs="Consolas" w:eastAsia="Consolas" w:hAnsi="Consolas"/>
          <w:shd w:fill="F2F1ED" w:val="clear"/>
        </w:rPr>
        <w:t xml:space="preserve">Grain</w:t>
      </w:r>
      <w:r>
        <w:t xml:space="preserve"> declared — adding the finer rows there would double count the coarser one; mapping completeness, parent against children, month by month; parents whose children span both statements; declarations that match nothing in this file (a typo, not a policy); notes on calculated metrics, including a component the file does not carry, which contributes zero rather than a gap; the unit each line is declared in with what it divides by, so a declaration that restates a figure is distinguishable from one that only names it; and the grain declarations themselves.</w:t>
      </w:r>
    </w:p>
    <w:p>
      <w:pPr>
        <w:spacing w:after="140"/>
        <w:ind w:left="360"/>
      </w:pPr>
      <w:r>
        <w:rPr>
          <w:rFonts w:ascii="Consolas" w:cs="Consolas" w:eastAsia="Consolas" w:hAnsi="Consolas"/>
          <w:shd w:fill="F2F1ED" w:val="clear"/>
        </w:rPr>
        <w:t xml:space="preserve">rollup_tolerance</w:t>
      </w:r>
      <w:r>
        <w:t xml:space="preserve"> (default </w:t>
      </w:r>
      <w:r>
        <w:rPr>
          <w:rFonts w:ascii="Consolas" w:cs="Consolas" w:eastAsia="Consolas" w:hAnsi="Consolas"/>
          <w:shd w:fill="F2F1ED" w:val="clear"/>
        </w:rPr>
        <w:t xml:space="preserve">0.5</w:t>
      </w:r>
      <w:r>
        <w:t xml:space="preserve">, in the file's own units) sets how close a footing must be to count as tied. With no </w:t>
      </w:r>
      <w:r>
        <w:rPr>
          <w:rFonts w:ascii="Consolas" w:cs="Consolas" w:eastAsia="Consolas" w:hAnsi="Consolas"/>
          <w:shd w:fill="F2F1ED" w:val="clear"/>
        </w:rPr>
        <w:t xml:space="preserve">Rollup</w:t>
      </w:r>
      <w:r>
        <w:t xml:space="preserve"> sheet the report says so and every line aggregates exactly as it always has.</w:t>
      </w:r>
    </w:p>
    <w:p>
      <w:pPr>
        <w:pStyle w:val="ListParagraph"/>
        <w:numPr>
          <w:ilvl w:val="0"/>
          <w:numId w:val="3"/>
        </w:numPr>
        <w:spacing w:after="80"/>
      </w:pPr>
      <w:r>
        <w:rPr>
          <w:b/>
          <w:bCs/>
        </w:rPr>
        <w:t xml:space="preserve">Views</w:t>
      </w:r>
      <w:r>
        <w:t xml:space="preserve"> — enable/disable each page (summary, fsum, custom, builder, query, table, assist, sim).</w:t>
      </w:r>
    </w:p>
    <w:p>
      <w:pPr>
        <w:spacing w:after="140"/>
      </w:pPr>
      <w:r>
        <w:t xml:space="preserve">The applied config persists in the browser and re-parses the cached data file immediately; </w:t>
      </w:r>
      <w:r>
        <w:rPr>
          <w:b/>
          <w:bCs/>
        </w:rPr>
        <w:t xml:space="preserve">Reset to defaults</w:t>
      </w:r>
      <w:r>
        <w:t xml:space="preserve"> reverts everything. Blank values fall back to defaults, and an unreadable config never breaks the app.</w:t>
      </w:r>
    </w:p>
    <w:p>
      <w:pPr>
        <w:pStyle w:val="Heading1"/>
        <w:spacing w:after="140" w:before="320"/>
      </w:pPr>
      <w:r>
        <w:rPr>
          <w:b/>
          <w:bCs/>
          <w:color w:val="DB0011"/>
        </w:rPr>
        <w:t xml:space="preserve">Sample data</w:t>
      </w:r>
    </w:p>
    <w:p>
      <w:pPr>
        <w:spacing w:after="140"/>
      </w:pPr>
      <w:r>
        <w:rPr>
          <w:rFonts w:ascii="Consolas" w:cs="Consolas" w:eastAsia="Consolas" w:hAnsi="Consolas"/>
          <w:shd w:fill="F2F1ED" w:val="clear"/>
        </w:rPr>
        <w:t xml:space="preserve">sample/IWPB_SG_Driller_sample.xlsx</w:t>
      </w:r>
      <w:r>
        <w:t xml:space="preserve"> mirrors the real file's 15 dimension + 28 period column layout with synthetic values, for testing without exposing real data. Regenerate with:</w:t>
      </w:r>
    </w:p>
    <w:p>
      <w:pPr>
        <w:shd w:fill="F2F1ED" w:val="clear"/>
        <w:spacing w:after="0"/>
      </w:pPr>
      <w:r>
        <w:rPr>
          <w:rFonts w:ascii="Consolas" w:cs="Consolas" w:eastAsia="Consolas" w:hAnsi="Consolas"/>
          <w:sz w:val="18"/>
          <w:szCs w:val="18"/>
        </w:rPr>
        <w:t xml:space="preserve">cd sample &amp;&amp; python3 make_sample.py   # needs openpyxl</w:t>
      </w:r>
    </w:p>
    <w:p>
      <w:pPr>
        <w:spacing w:after="120"/>
      </w:pPr>
    </w:p>
    <w:p>
      <w:pPr>
        <w:spacing w:after="140"/>
      </w:pPr>
      <w:r>
        <w:rPr>
          <w:rFonts w:ascii="Consolas" w:cs="Consolas" w:eastAsia="Consolas" w:hAnsi="Consolas"/>
          <w:shd w:fill="F2F1ED" w:val="clear"/>
        </w:rPr>
        <w:t xml:space="preserve">sample/IWPB_SG_Driller_sixbasis.xlsx</w:t>
      </w:r>
      <w:r>
        <w:t xml:space="preserve"> is the same IWPB structure carrying every comparison the pack writes commentary on at once — prior-year months and quarters, a June YTD target, July–December forecast months, an FY-26 forecast, an FY-25 actual and an FY-26 target — so </w:t>
      </w:r>
      <w:r>
        <w:rPr>
          <w:b/>
          <w:bCs/>
        </w:rPr>
        <w:t xml:space="preserve">All commentaries</w:t>
      </w:r>
      <w:r>
        <w:t xml:space="preserve"> offers all six bases and the </w:t>
      </w:r>
      <w:r>
        <w:rPr>
          <w:b/>
          <w:bCs/>
        </w:rPr>
        <w:t xml:space="preserve">⤓ Word</w:t>
      </w:r>
      <w:r>
        <w:t xml:space="preserve"> download comes out complete.</w:t>
      </w:r>
    </w:p>
    <w:p>
      <w:pPr>
        <w:spacing w:after="140"/>
      </w:pPr>
      <w:r>
        <w:t xml:space="preserve">Regenerate with </w:t>
      </w:r>
      <w:r>
        <w:rPr>
          <w:rFonts w:ascii="Consolas" w:cs="Consolas" w:eastAsia="Consolas" w:hAnsi="Consolas"/>
          <w:shd w:fill="F2F1ED" w:val="clear"/>
        </w:rPr>
        <w:t xml:space="preserve">python3 make_sample_sixbasis.py</w:t>
      </w:r>
      <w:r>
        <w:t xml:space="preserve">. The month's written commentary rides in the IWPB config pack's </w:t>
      </w:r>
      <w:r>
        <w:rPr>
          <w:rFonts w:ascii="Consolas" w:cs="Consolas" w:eastAsia="Consolas" w:hAnsi="Consolas"/>
          <w:shd w:fill="F2F1ED" w:val="clear"/>
        </w:rPr>
        <w:t xml:space="preserve">Commentary</w:t>
      </w:r>
      <w:r>
        <w:t xml:space="preserve"> sheet — eight untagged paragraphs, matched to their lines when read. </w:t>
      </w:r>
      <w:r>
        <w:rPr>
          <w:rFonts w:ascii="Consolas" w:cs="Consolas" w:eastAsia="Consolas" w:hAnsi="Consolas"/>
          <w:shd w:fill="F2F1ED" w:val="clear"/>
        </w:rPr>
        <w:t xml:space="preserve">sample/IWPB_SG_Jun26_SixBasis_Commentary.docx</w:t>
      </w:r>
      <w:r>
        <w:t xml:space="preserve"> is what the ⤓ Word download produces from that TM1 extract and pack together — a worked example of the six bases as a document.</w:t>
      </w:r>
    </w:p>
    <w:p>
      <w:pPr>
        <w:spacing w:after="140"/>
      </w:pPr>
      <w:r>
        <w:rPr>
          <w:rFonts w:ascii="Consolas" w:cs="Consolas" w:eastAsia="Consolas" w:hAnsi="Consolas"/>
          <w:shd w:fill="F2F1ED" w:val="clear"/>
        </w:rPr>
        <w:t xml:space="preserve">sample/IWPB_GrainUnits_Driller.xlsx</w:t>
      </w:r>
      <w:r>
        <w:t xml:space="preserve"> is the grain-mix extract with a </w:t>
      </w:r>
      <w:r>
        <w:rPr>
          <w:rFonts w:ascii="Consolas" w:cs="Consolas" w:eastAsia="Consolas" w:hAnsi="Consolas"/>
          <w:shd w:fill="F2F1ED" w:val="clear"/>
        </w:rPr>
        <w:t xml:space="preserve">Unit</w:t>
      </w:r>
      <w:r>
        <w:t xml:space="preserve"> column that reports the Global rows in </w:t>
      </w:r>
      <w:r>
        <w:rPr>
          <w:rFonts w:ascii="Consolas" w:cs="Consolas" w:eastAsia="Consolas" w:hAnsi="Consolas"/>
          <w:shd w:fill="F2F1ED" w:val="clear"/>
        </w:rPr>
        <w:t xml:space="preserve">$Bn</w:t>
      </w:r>
      <w:r>
        <w:t xml:space="preserve"> and the country rows in </w:t>
      </w:r>
      <w:r>
        <w:rPr>
          <w:rFonts w:ascii="Consolas" w:cs="Consolas" w:eastAsia="Consolas" w:hAnsi="Consolas"/>
          <w:shd w:fill="F2F1ED" w:val="clear"/>
        </w:rPr>
        <w:t xml:space="preserve">$mn</w:t>
      </w:r>
      <w:r>
        <w:t xml:space="preserve"> — load it to see the same line read </w:t>
      </w:r>
      <w:r>
        <w:rPr>
          <w:rFonts w:ascii="Consolas" w:cs="Consolas" w:eastAsia="Consolas" w:hAnsi="Consolas"/>
          <w:shd w:fill="F2F1ED" w:val="clear"/>
        </w:rPr>
        <w:t xml:space="preserve">US$bn 3.6</w:t>
      </w:r>
      <w:r>
        <w:t xml:space="preserve"> at Group and </w:t>
      </w:r>
      <w:r>
        <w:rPr>
          <w:rFonts w:ascii="Consolas" w:cs="Consolas" w:eastAsia="Consolas" w:hAnsi="Consolas"/>
          <w:shd w:fill="F2F1ED" w:val="clear"/>
        </w:rPr>
        <w:t xml:space="preserve">US$m 1,401</w:t>
      </w:r>
      <w:r>
        <w:t xml:space="preserve"> for Singapore.</w:t>
      </w:r>
    </w:p>
    <w:p>
      <w:pPr>
        <w:spacing w:after="140"/>
      </w:pPr>
      <w:r>
        <w:rPr>
          <w:rFonts w:ascii="Consolas" w:cs="Consolas" w:eastAsia="Consolas" w:hAnsi="Consolas"/>
          <w:shd w:fill="F2F1ED" w:val="clear"/>
        </w:rPr>
        <w:t xml:space="preserve">sample/IWPB_CER_ThreeCountries.xlsx</w:t>
      </w:r>
      <w:r>
        <w:t xml:space="preserve"> is the same extract split across Singapore, Malaysia and Vietnam, each reporting its own CER%. Load it to see a ratio refuse to roll up: the three read 0.4526, 0.5470 and 0.5583, and the Group tile shows no figure at all rather than the 1.5579 they would sum to.</w:t>
      </w:r>
    </w:p>
    <w:p>
      <w:pPr>
        <w:spacing w:after="140"/>
      </w:pPr>
      <w:r>
        <w:rPr>
          <w:rFonts w:ascii="Consolas" w:cs="Consolas" w:eastAsia="Consolas" w:hAnsi="Consolas"/>
          <w:shd w:fill="F2F1ED" w:val="clear"/>
        </w:rPr>
        <w:t xml:space="preserve">sample/IWPB_UnitColumn_Driller.xlsx</w:t>
      </w:r>
      <w:r>
        <w:t xml:space="preserve"> is a reporting extract that states each line's unit in a </w:t>
      </w:r>
      <w:r>
        <w:rPr>
          <w:rFonts w:ascii="Consolas" w:cs="Consolas" w:eastAsia="Consolas" w:hAnsi="Consolas"/>
          <w:shd w:fill="F2F1ED" w:val="clear"/>
        </w:rPr>
        <w:t xml:space="preserve">Unit</w:t>
      </w:r>
      <w:r>
        <w:t xml:space="preserve"> column — </w:t>
      </w:r>
      <w:r>
        <w:rPr>
          <w:rFonts w:ascii="Consolas" w:cs="Consolas" w:eastAsia="Consolas" w:hAnsi="Consolas"/>
          <w:shd w:fill="F2F1ED" w:val="clear"/>
        </w:rPr>
        <w:t xml:space="preserve">$mn</w:t>
      </w:r>
      <w:r>
        <w:t xml:space="preserve">, </w:t>
      </w:r>
      <w:r>
        <w:rPr>
          <w:rFonts w:ascii="Consolas" w:cs="Consolas" w:eastAsia="Consolas" w:hAnsi="Consolas"/>
          <w:shd w:fill="F2F1ED" w:val="clear"/>
        </w:rPr>
        <w:t xml:space="preserve">$Bn</w:t>
      </w:r>
      <w:r>
        <w:t xml:space="preserve">, </w:t>
      </w:r>
      <w:r>
        <w:rPr>
          <w:rFonts w:ascii="Consolas" w:cs="Consolas" w:eastAsia="Consolas" w:hAnsi="Consolas"/>
          <w:shd w:fill="F2F1ED" w:val="clear"/>
        </w:rPr>
        <w:t xml:space="preserve">mn</w:t>
      </w:r>
      <w:r>
        <w:t xml:space="preserve">, </w:t>
      </w:r>
      <w:r>
        <w:rPr>
          <w:rFonts w:ascii="Consolas" w:cs="Consolas" w:eastAsia="Consolas" w:hAnsi="Consolas"/>
          <w:shd w:fill="F2F1ED" w:val="clear"/>
        </w:rPr>
        <w:t xml:space="preserve">Absolute</w:t>
      </w:r>
      <w:r>
        <w:t xml:space="preserve">, </w:t>
      </w:r>
      <w:r>
        <w:rPr>
          <w:rFonts w:ascii="Consolas" w:cs="Consolas" w:eastAsia="Consolas" w:hAnsi="Consolas"/>
          <w:shd w:fill="F2F1ED" w:val="clear"/>
        </w:rPr>
        <w:t xml:space="preserve">%</w:t>
      </w:r>
      <w:r>
        <w:t xml:space="preserve"> — with a </w:t>
      </w:r>
      <w:r>
        <w:rPr>
          <w:rFonts w:ascii="Consolas" w:cs="Consolas" w:eastAsia="Consolas" w:hAnsi="Consolas"/>
          <w:shd w:fill="F2F1ED" w:val="clear"/>
        </w:rPr>
        <w:t xml:space="preserve">Key Metrics</w:t>
      </w:r>
      <w:r>
        <w:t xml:space="preserve"> block that mixes all of them, and one deliberate typo (</w:t>
      </w:r>
      <w:r>
        <w:rPr>
          <w:rFonts w:ascii="Consolas" w:cs="Consolas" w:eastAsia="Consolas" w:hAnsi="Consolas"/>
          <w:shd w:fill="F2F1ED" w:val="clear"/>
        </w:rPr>
        <w:t xml:space="preserve">$mb</w:t>
      </w:r>
      <w:r>
        <w:t xml:space="preserve">). Load it to see each line printed in its own unit, the typo named in the ingest report, and the mixed parent refusing to draw a total.</w:t>
      </w:r>
    </w:p>
    <w:p>
      <w:pPr>
        <w:spacing w:after="140"/>
      </w:pPr>
      <w:r>
        <w:rPr>
          <w:rFonts w:ascii="Consolas" w:cs="Consolas" w:eastAsia="Consolas" w:hAnsi="Consolas"/>
          <w:shd w:fill="F2F1ED" w:val="clear"/>
        </w:rPr>
        <w:t xml:space="preserve">sample/IWPB_GrainMix_Driller.xlsx</w:t>
      </w:r>
      <w:r>
        <w:t xml:space="preserve"> is the extract to load when checking the </w:t>
      </w:r>
      <w:r>
        <w:rPr>
          <w:b/>
          <w:bCs/>
        </w:rPr>
        <w:t xml:space="preserve">Rollup</w:t>
      </w:r>
      <w:r>
        <w:t xml:space="preserve"> declarations: it carries a </w:t>
      </w:r>
      <w:r>
        <w:rPr>
          <w:rFonts w:ascii="Consolas" w:cs="Consolas" w:eastAsia="Consolas" w:hAnsi="Consolas"/>
          <w:shd w:fill="F2F1ED" w:val="clear"/>
        </w:rPr>
        <w:t xml:space="preserve">Global</w:t>
      </w:r>
      <w:r>
        <w:t xml:space="preserve"> tab reporting the same MICA lines as its three country tabs, so the roll-up reconciliation flags every line that sits at two grains — and shows both totals, so the size of the double count that adding the finer rows would cause is on the page.</w:t>
      </w:r>
    </w:p>
    <w:p>
      <w:pPr>
        <w:pStyle w:val="Heading2"/>
        <w:spacing w:after="110" w:before="260"/>
      </w:pPr>
      <w:r>
        <w:rPr>
          <w:b/>
          <w:bCs/>
          <w:color w:val="1A1A19"/>
        </w:rPr>
        <w:t xml:space="preserve">Two worked reporting packs</w:t>
      </w:r>
    </w:p>
    <w:p>
      <w:pPr>
        <w:spacing w:after="140"/>
      </w:pPr>
      <w:r>
        <w:t xml:space="preserve">Two config workbooks in the repo root carry a real pack's structure end to end, each with a TM1 extract in </w:t>
      </w:r>
      <w:r>
        <w:rPr>
          <w:rFonts w:ascii="Consolas" w:cs="Consolas" w:eastAsia="Consolas" w:hAnsi="Consolas"/>
          <w:shd w:fill="F2F1ED" w:val="clear"/>
        </w:rPr>
        <w:t xml:space="preserve">sample/</w:t>
      </w:r>
      <w:r>
        <w:t xml:space="preserve"> that ties to it line for line:</w:t>
      </w:r>
    </w:p>
    <w:p>
      <w:pPr>
        <w:pStyle w:val="ListParagraph"/>
        <w:numPr>
          <w:ilvl w:val="0"/>
          <w:numId w:val="3"/>
        </w:numPr>
        <w:spacing w:after="80"/>
      </w:pPr>
      <w:r>
        <w:rPr>
          <w:rFonts w:ascii="Consolas" w:cs="Consolas" w:eastAsia="Consolas" w:hAnsi="Consolas"/>
          <w:shd w:fill="F2F1ED" w:val="clear"/>
        </w:rPr>
        <w:t xml:space="preserve">IWPB_dashboard_config_pack.xlsx</w:t>
      </w:r>
      <w:r>
        <w:t xml:space="preserve"> — the IWPB pack: PBT ex Notables over Revenue (Banking NII / Fees and Other Income), the cost stack and the balance sheet, with </w:t>
      </w:r>
      <w:r>
        <w:rPr>
          <w:rFonts w:ascii="Consolas" w:cs="Consolas" w:eastAsia="Consolas" w:hAnsi="Consolas"/>
          <w:shd w:fill="F2F1ED" w:val="clear"/>
        </w:rPr>
        <w:t xml:space="preserve">sample/IWPB_Pack_RealMica_Driller.xlsx</w:t>
      </w:r>
      <w:r>
        <w:t xml:space="preserve">.</w:t>
      </w:r>
    </w:p>
    <w:p>
      <w:pPr>
        <w:pStyle w:val="ListParagraph"/>
        <w:numPr>
          <w:ilvl w:val="0"/>
          <w:numId w:val="3"/>
        </w:numPr>
        <w:spacing w:after="100"/>
      </w:pPr>
      <w:r>
        <w:rPr>
          <w:rFonts w:ascii="Consolas" w:cs="Consolas" w:eastAsia="Consolas" w:hAnsi="Consolas"/>
          <w:shd w:fill="F2F1ED" w:val="clear"/>
        </w:rPr>
        <w:t xml:space="preserve">CIB_dashboard_config_pack.xlsx</w:t>
      </w:r>
      <w:r>
        <w:t xml:space="preserve"> — the CIB Asia &amp; MENAT pack, with </w:t>
      </w:r>
      <w:r>
        <w:rPr>
          <w:rFonts w:ascii="Consolas" w:cs="Consolas" w:eastAsia="Consolas" w:hAnsi="Consolas"/>
          <w:shd w:fill="F2F1ED" w:val="clear"/>
        </w:rPr>
        <w:t xml:space="preserve">sample/CIB_AME_Jun26_Driller.xlsx</w:t>
      </w:r>
      <w:r>
        <w:t xml:space="preserve">. Its account hierarchy reads </w:t>
      </w:r>
      <w:r>
        <w:rPr>
          <w:b/>
          <w:bCs/>
        </w:rPr>
        <w:t xml:space="preserve">PBT (Reported) = PBT (ex Notables) + Notables</w:t>
      </w:r>
      <w:r>
        <w:t xml:space="preserve">, so the page's two P&amp;L blocks become one cascade that ties instead of two that double-count: under ex Notables sit Total Revenue (ex Notables) → MSS, Credit and Lending (o/w Portfolio Management), Global Trade Solutions, HIF, Global Payments Solutions, CMA Net, Other Revenue; ECLs; and Total Operating Expenses → Direct Costs (ex VP) (o/w ex Litigation, o/w Litigation), Variable Pay (VP), Indirect Costs. Deposits, loans and RWAs each stand at the top of their own branch — nothing sits above them, because a node above would print a total that adds a deposit book to a risk-weighted asset.</w:t>
      </w:r>
    </w:p>
    <w:p>
      <w:pPr>
        <w:spacing w:after="100"/>
        <w:ind w:left="360"/>
      </w:pPr>
      <w:r>
        <w:t xml:space="preserve">The reported revenue split (Banking NII / Fee and other income) is a second cut of the same rows, carried as an </w:t>
      </w:r>
      <w:r>
        <w:rPr>
          <w:rFonts w:ascii="Consolas" w:cs="Consolas" w:eastAsia="Consolas" w:hAnsi="Consolas"/>
          <w:shd w:fill="F2F1ED" w:val="clear"/>
        </w:rPr>
        <w:t xml:space="preserve">Income_Type</w:t>
      </w:r>
      <w:r>
        <w:t xml:space="preserve"> column and declared in the config's Dimensions sheet, so it reads as tiles and as a cascade level rather than as duplicated lines. Its </w:t>
      </w:r>
      <w:r>
        <w:rPr>
          <w:b/>
          <w:bCs/>
        </w:rPr>
        <w:t xml:space="preserve">ProductHierarchy</w:t>
      </w:r>
      <w:r>
        <w:t xml:space="preserve"> is the other cut again — what the revenue is </w:t>
      </w:r>
      <w:r>
        <w:rPr>
          <w:i/>
          <w:iCs/>
        </w:rPr>
        <w:t xml:space="preserve">earned on</w:t>
      </w:r>
      <w:r>
        <w:t xml:space="preserve"> rather than which line it prints as: Markets and Securities Services (Markets → FX, Rates, Credit, Equities; Securities Services → Custody, Fund Administration, Issuer Services), Global Payments Solutions, Global Trade Solutions, Credit and Lending, Capital Markets and Advisory, HIF and Other, with each balance sitting under the product that raises it and the costs, RWAs and key metrics marked </w:t>
      </w:r>
      <w:r>
        <w:rPr>
          <w:b/>
          <w:bCs/>
        </w:rPr>
        <w:t xml:space="preserve">Non product aligned</w:t>
      </w:r>
      <w:r>
        <w:t xml:space="preserve"> rather than spread across a product they do not belong to.</w:t>
      </w:r>
    </w:p>
    <w:p>
      <w:pPr>
        <w:spacing w:after="100"/>
        <w:ind w:left="360"/>
      </w:pPr>
      <w:r>
        <w:t xml:space="preserve">It adds back to the same 8,747, so a product breakdown and the P&amp;L cascade are two readings of one number.</w:t>
      </w:r>
    </w:p>
    <w:p>
      <w:pPr>
        <w:spacing w:after="140"/>
      </w:pPr>
      <w:r>
        <w:t xml:space="preserve">Both are generated by scripts in </w:t>
      </w:r>
      <w:r>
        <w:rPr>
          <w:rFonts w:ascii="Consolas" w:cs="Consolas" w:eastAsia="Consolas" w:hAnsi="Consolas"/>
          <w:shd w:fill="F2F1ED" w:val="clear"/>
        </w:rPr>
        <w:t xml:space="preserve">sample/</w:t>
      </w:r>
      <w:r>
        <w:t xml:space="preserve"> (</w:t>
      </w:r>
      <w:r>
        <w:rPr>
          <w:rFonts w:ascii="Consolas" w:cs="Consolas" w:eastAsia="Consolas" w:hAnsi="Consolas"/>
          <w:shd w:fill="F2F1ED" w:val="clear"/>
        </w:rPr>
        <w:t xml:space="preserve">make_config_pack.py</w:t>
      </w:r>
      <w:r>
        <w:t xml:space="preserve">, </w:t>
      </w:r>
      <w:r>
        <w:rPr>
          <w:rFonts w:ascii="Consolas" w:cs="Consolas" w:eastAsia="Consolas" w:hAnsi="Consolas"/>
          <w:shd w:fill="F2F1ED" w:val="clear"/>
        </w:rPr>
        <w:t xml:space="preserve">make_cib_config.py</w:t>
      </w:r>
      <w:r>
        <w:t xml:space="preserve">, </w:t>
      </w:r>
      <w:r>
        <w:rPr>
          <w:rFonts w:ascii="Consolas" w:cs="Consolas" w:eastAsia="Consolas" w:hAnsi="Consolas"/>
          <w:shd w:fill="F2F1ED" w:val="clear"/>
        </w:rPr>
        <w:t xml:space="preserve">make_cib_driller.py</w:t>
      </w:r>
      <w:r>
        <w:t xml:space="preserve">). The </w:t>
      </w:r>
      <w:r>
        <w:rPr>
          <w:b/>
          <w:bCs/>
        </w:rPr>
        <w:t xml:space="preserve">Match</w:t>
      </w:r>
      <w:r>
        <w:t xml:space="preserve"> column in AccountHierarchy is an exact list of the names a TM1 extract uses for that line, separated by </w:t>
      </w:r>
      <w:r>
        <w:rPr>
          <w:rFonts w:ascii="Consolas" w:cs="Consolas" w:eastAsia="Consolas" w:hAnsi="Consolas"/>
          <w:shd w:fill="F2F1ED" w:val="clear"/>
        </w:rPr>
        <w:t xml:space="preserve">|</w:t>
      </w:r>
      <w:r>
        <w:t xml:space="preserve"> — extend it with your own file's vocabulary, and the ingest report's </w:t>
      </w:r>
      <w:r>
        <w:rPr>
          <w:b/>
          <w:bCs/>
        </w:rPr>
        <w:t xml:space="preserve">Hierarchy check</w:t>
      </w:r>
      <w:r>
        <w:t xml:space="preserve"> names anything that did not land.</w:t>
      </w:r>
    </w:p>
    <w:p>
      <w:pPr>
        <w:pStyle w:val="Heading1"/>
        <w:spacing w:after="140" w:before="320"/>
      </w:pPr>
      <w:r>
        <w:rPr>
          <w:b/>
          <w:bCs/>
          <w:color w:val="DB0011"/>
        </w:rPr>
        <w:t xml:space="preserve">Drag &amp; Drop Charts</w:t>
      </w:r>
    </w:p>
    <w:p>
      <w:pPr>
        <w:spacing w:after="140"/>
      </w:pPr>
      <w:r>
        <w:t xml:space="preserve">The </w:t>
      </w:r>
      <w:r>
        <w:rPr>
          <w:b/>
          <w:bCs/>
        </w:rPr>
        <w:t xml:space="preserve">Drag &amp; drop charts</w:t>
      </w:r>
      <w:r>
        <w:t xml:space="preserve"> page is a field-based chart builder. Drag any dimension chip (MICA levels, Product levels/code, Segment, Function, Entity) into the </w:t>
      </w:r>
      <w:r>
        <w:rPr>
          <w:b/>
          <w:bCs/>
        </w:rPr>
        <w:t xml:space="preserve">Group by</w:t>
      </w:r>
      <w:r>
        <w:t xml:space="preserve"> well — or click a chip to assign it — and optionally a second field into </w:t>
      </w:r>
      <w:r>
        <w:rPr>
          <w:b/>
          <w:bCs/>
        </w:rPr>
        <w:t xml:space="preserve">Split by</w:t>
      </w:r>
      <w:r>
        <w:t xml:space="preserve"> for stacked segments. Pick the KPI scope, the measure and the chart type; the preview renders live and respects the right-pane filters.</w:t>
      </w:r>
    </w:p>
    <w:p>
      <w:pPr>
        <w:spacing w:after="140"/>
      </w:pPr>
      <w:r>
        <w:t xml:space="preserve">The measure dropdown offers every comparison the file serves, whatever else it carries: YTD actuals, paired </w:t>
      </w:r>
      <w:r>
        <w:rPr>
          <w:b/>
          <w:bCs/>
        </w:rPr>
        <w:t xml:space="preserve">actual vs PY / vs YTD forecast / vs YTD target</w:t>
      </w:r>
      <w:r>
        <w:t xml:space="preserve"> (side-by-side bars with variance labels), the single bases and their variances, and the FY measures — a prior-year file no longer hides the forecast and target measures.</w:t>
      </w:r>
    </w:p>
    <w:p>
      <w:pPr>
        <w:spacing w:after="140"/>
      </w:pPr>
      <w:r>
        <w:t xml:space="preserve">Eleven chart types are available everywhere a chart-type dropdown appears (Mix analysis, the builder, and every pinned chart widget): Column, Horizontal bar, Lollipop, Line, Area, Pie, Donut, Waterfall (category build-up to total), Pareto (ranked bars + cumulative share), Treemap, and Scatter CY vs PY (points above the diagonal grew year-on-year). Split by adds stacked variants of column and horizontal bar. </w:t>
      </w:r>
      <w:r>
        <w:rPr>
          <w:b/>
          <w:bCs/>
        </w:rPr>
        <w:t xml:space="preserve">Pin to My dashboard</w:t>
      </w:r>
      <w:r>
        <w:t xml:space="preserve"> saves the chart as a widget you can drag to rearrange, and each pinned chart keeps its own chart-type dropdown in its header. Top 8 categories are shown (6 for donuts) with the rest folded into Other.</w:t>
      </w:r>
    </w:p>
    <w:p>
      <w:pPr>
        <w:pStyle w:val="Heading1"/>
        <w:spacing w:after="140" w:before="320"/>
      </w:pPr>
      <w:r>
        <w:rPr>
          <w:b/>
          <w:bCs/>
          <w:color w:val="DB0011"/>
        </w:rPr>
        <w:t xml:space="preserve">Query Builder</w:t>
      </w:r>
    </w:p>
    <w:p>
      <w:pPr>
        <w:spacing w:after="140"/>
      </w:pPr>
      <w:r>
        <w:t xml:space="preserve">The </w:t>
      </w:r>
      <w:r>
        <w:rPr>
          <w:b/>
          <w:bCs/>
        </w:rPr>
        <w:t xml:space="preserve">Query builder</w:t>
      </w:r>
      <w:r>
        <w:t xml:space="preserve"> page reviews fields and data directly, in the management-reporting drag-and-drop pattern: a searchable Available Fields panel (grouped MICA / Product / Segment / Function / Entity plus every period column) with +F / +O / +S shortcuts, a </w:t>
      </w:r>
      <w:r>
        <w:rPr>
          <w:b/>
          <w:bCs/>
        </w:rPr>
        <w:t xml:space="preserve">Filters</w:t>
      </w:r>
      <w:r>
        <w:t xml:space="preserve"> well with per-field operators (contains / equals / not equals / blank for text; &gt; &lt; = etc. for period columns) and value suggestions, an ordered </w:t>
      </w:r>
      <w:r>
        <w:rPr>
          <w:b/>
          <w:bCs/>
        </w:rPr>
        <w:t xml:space="preserve">Output Columns</w:t>
      </w:r>
      <w:r>
        <w:t xml:space="preserve"> well (drag entries to change the result column sequence) and a </w:t>
      </w:r>
      <w:r>
        <w:rPr>
          <w:b/>
          <w:bCs/>
        </w:rPr>
        <w:t xml:space="preserve">Sort By</w:t>
      </w:r>
      <w:r>
        <w:t xml:space="preserve"> well with direction toggles.</w:t>
      </w:r>
    </w:p>
    <w:p>
      <w:pPr>
        <w:spacing w:after="140"/>
      </w:pPr>
      <w:r>
        <w:t xml:space="preserve">Queries can be saved, loaded and deleted by name. Run Query renders the result grid (first 500 rows) and exports the full result set to styled Excel. The chart builder's wells also accept </w:t>
      </w:r>
      <w:r>
        <w:rPr>
          <w:b/>
          <w:bCs/>
        </w:rPr>
        <w:t xml:space="preserve">multiple Group by and multiple Split by fields</w:t>
      </w:r>
      <w:r>
        <w:t xml:space="preserve"> — values concatenate into hierarchical categories.</w:t>
      </w:r>
    </w:p>
    <w:p>
      <w:pPr>
        <w:pStyle w:val="Heading1"/>
        <w:spacing w:after="140" w:before="320"/>
      </w:pPr>
      <w:r>
        <w:rPr>
          <w:b/>
          <w:bCs/>
          <w:color w:val="DB0011"/>
        </w:rPr>
        <w:t xml:space="preserve">Excel export</w:t>
      </w:r>
    </w:p>
    <w:p>
      <w:pPr>
        <w:spacing w:after="140"/>
      </w:pPr>
      <w:r>
        <w:t xml:space="preserve">Everything exports back to Excel, generated locally in the browser:</w:t>
      </w:r>
    </w:p>
    <w:p>
      <w:pPr>
        <w:pStyle w:val="ListParagraph"/>
        <w:numPr>
          <w:ilvl w:val="0"/>
          <w:numId w:val="3"/>
        </w:numPr>
        <w:spacing w:after="80"/>
      </w:pPr>
      <w:r>
        <w:rPr>
          <w:b/>
          <w:bCs/>
        </w:rPr>
        <w:t xml:space="preserve">KPI summary → ⤓ Export to Excel</w:t>
      </w:r>
      <w:r>
        <w:t xml:space="preserve"> — one workbook with the KPI summary (values, variance, RAG), the Mix analysis chart data and all filtered source rows.</w:t>
      </w:r>
    </w:p>
    <w:p>
      <w:pPr>
        <w:pStyle w:val="ListParagraph"/>
        <w:numPr>
          <w:ilvl w:val="0"/>
          <w:numId w:val="3"/>
        </w:numPr>
        <w:spacing w:after="80"/>
      </w:pPr>
      <w:r>
        <w:rPr>
          <w:b/>
          <w:bCs/>
        </w:rPr>
        <w:t xml:space="preserve">Mix analysis / chart builder → ⤓ Excel</w:t>
      </w:r>
      <w:r>
        <w:t xml:space="preserve"> — the displayed chart's data.</w:t>
      </w:r>
    </w:p>
    <w:p>
      <w:pPr>
        <w:pStyle w:val="ListParagraph"/>
        <w:numPr>
          <w:ilvl w:val="0"/>
          <w:numId w:val="3"/>
        </w:numPr>
        <w:spacing w:after="80"/>
      </w:pPr>
      <w:r>
        <w:rPr>
          <w:b/>
          <w:bCs/>
        </w:rPr>
        <w:t xml:space="preserve">My dashboard</w:t>
      </w:r>
      <w:r>
        <w:t xml:space="preserve"> — every widget has a ⤓ button exporting that widget's data (KPI figures, monthly series, breakdown or chart categories).</w:t>
      </w:r>
    </w:p>
    <w:p>
      <w:pPr>
        <w:pStyle w:val="ListParagraph"/>
        <w:numPr>
          <w:ilvl w:val="0"/>
          <w:numId w:val="3"/>
        </w:numPr>
        <w:spacing w:after="80"/>
      </w:pPr>
      <w:r>
        <w:rPr>
          <w:b/>
          <w:bCs/>
        </w:rPr>
        <w:t xml:space="preserve">Data → ⤓ Export all rows</w:t>
      </w:r>
      <w:r>
        <w:t xml:space="preserve"> — every filtered source row (not just the 400 shown), with the original column headers.</w:t>
      </w:r>
    </w:p>
    <w:p>
      <w:pPr>
        <w:spacing w:after="140"/>
      </w:pPr>
      <w:r>
        <w:t xml:space="preserve">Exports honour the active filters, and each file is stamped with the filter context and date. Workbooks are formatted: header rows carry the HSBC red fill with bold white text, titles are bold, and column widths auto-fit the content.</w:t>
      </w:r>
    </w:p>
    <w:p>
      <w:pPr>
        <w:pStyle w:val="Heading1"/>
        <w:spacing w:after="140" w:before="320"/>
      </w:pPr>
      <w:r>
        <w:rPr>
          <w:b/>
          <w:bCs/>
          <w:color w:val="DB0011"/>
        </w:rPr>
        <w:t xml:space="preserve">PowerPoint export</w:t>
      </w:r>
    </w:p>
    <w:p>
      <w:pPr>
        <w:spacing w:after="140"/>
      </w:pPr>
      <w:r>
        <w:t xml:space="preserve">Every chart exports to a widescreen .pptx deck (generated locally): </w:t>
      </w:r>
      <w:r>
        <w:rPr>
          <w:b/>
          <w:bCs/>
        </w:rPr>
        <w:t xml:space="preserve">⤓ PPT</w:t>
      </w:r>
      <w:r>
        <w:t xml:space="preserve"> buttons on the Mix analysis panel, and the chart builder preview export one slide each. My dashboard has two deck exports: </w:t>
      </w:r>
      <w:r>
        <w:rPr>
          <w:b/>
          <w:bCs/>
        </w:rPr>
        <w:t xml:space="preserve">⤓ PPT (this page)</w:t>
      </w:r>
      <w:r>
        <w:t xml:space="preserve"> takes just the widgets on the page you're viewing, and </w:t>
      </w:r>
      <w:r>
        <w:rPr>
          <w:b/>
          <w:bCs/>
        </w:rPr>
        <w:t xml:space="preserve">⤓ PPT all pages</w:t>
      </w:r>
      <w:r>
        <w:t xml:space="preserve"> takes every widget across all pages — charts as high-resolution images, KPI cards and breakdowns as styled tables — with titles, the red accent rule and the filter context in the footer.</w:t>
      </w:r>
    </w:p>
    <w:p>
      <w:pPr>
        <w:spacing w:after="140"/>
      </w:pPr>
      <w:r>
        <w:rPr>
          <w:b/>
          <w:bCs/>
        </w:rPr>
        <w:t xml:space="preserve">One type scale across every deck.</w:t>
      </w:r>
      <w:r>
        <w:t xml:space="preserve"> A slide title is the same size whether it opens a deck or continues it, and headings, paragraphs, notes, legends and table cells match from one export to the next — the sizes live in a single </w:t>
      </w:r>
      <w:r>
        <w:rPr>
          <w:rFonts w:ascii="Consolas" w:cs="Consolas" w:eastAsia="Consolas" w:hAnsi="Consolas"/>
          <w:shd w:fill="F2F1ED" w:val="clear"/>
        </w:rPr>
        <w:t xml:space="preserve">PPT_FS</w:t>
      </w:r>
      <w:r>
        <w:t xml:space="preserve"> scale rather than being chosen per slide. The KPI tiles settle their own three sizes once across the whole grid, off the longest name, value and comparison in the set, so a short line no longer prints larger than a long one beside it. The Financial Summary's dense table is the deliberate exception: it still fits itself to its column count, always smaller than the body size.</w:t>
      </w:r>
    </w:p>
    <w:sectPr>
      <w:footerReference w:type="default" r:id="rId7"/>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514E"/>
        <w:sz w:val="16"/>
        <w:szCs w:val="16"/>
      </w:rPr>
      <w:t xml:space="preserve">IWPB Singapore Driller — README   </w:t>
    </w:r>
    <w:r>
      <w:rPr>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9"/>
        <w:sz w:val="21"/>
        <w:szCs w:val="21"/>
      </w:rPr>
    </w:rPrDefault>
    <w:pPrDefault/>
  </w:docDefaults>
  <w:style w:type="paragraph" w:styleId="Title">
    <w:name w:val="Title"/>
    <w:basedOn w:val="Normal"/>
    <w:next w:val="Normal"/>
    <w:qFormat/>
    <w:rPr>
      <w:rFonts w:ascii="Calibri Light" w:cs="Calibri Light" w:eastAsia="Calibri Light" w:hAnsi="Calibri Light"/>
      <w:sz w:val="44"/>
      <w:szCs w:val="44"/>
    </w:rPr>
  </w:style>
  <w:style w:type="paragraph" w:styleId="Heading1">
    <w:name w:val="Heading 1"/>
    <w:basedOn w:val="Normal"/>
    <w:next w:val="Normal"/>
    <w:qFormat/>
    <w:rPr>
      <w:rFonts w:ascii="Calibri" w:cs="Calibri" w:eastAsia="Calibri" w:hAnsi="Calibri"/>
      <w:sz w:val="28"/>
      <w:szCs w:val="28"/>
    </w:rPr>
  </w:style>
  <w:style w:type="paragraph" w:styleId="Heading2">
    <w:name w:val="Heading 2"/>
    <w:basedOn w:val="Normal"/>
    <w:next w:val="Normal"/>
    <w:qFormat/>
    <w:rPr>
      <w:rFonts w:ascii="Calibri" w:cs="Calibri" w:eastAsia="Calibri" w:hAnsi="Calibri"/>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2026-08-18T11:45:07.030Z</dcterms:created>
  <dcterms:modified xsi:type="dcterms:W3CDTF">2026-08-18T11:45:07.030Z</dcterms:modified>
</cp:coreProperties>
</file>

<file path=docProps/custom.xml><?xml version="1.0" encoding="utf-8"?>
<Properties xmlns="http://schemas.openxmlformats.org/officeDocument/2006/custom-properties" xmlns:vt="http://schemas.openxmlformats.org/officeDocument/2006/docPropsVTypes"/>
</file>