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and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with an optional </w:t>
      </w:r>
      <w:r>
        <w:rPr>
          <w:b/>
          <w:bCs/>
        </w:rPr>
        <w:t xml:space="preserve">Nets with</w:t>
      </w:r>
      <w:r>
        <w:t xml:space="preserve"> column naming the lines that tile nets in.</w:t>
      </w:r>
    </w:p>
    <w:p>
      <w:pPr>
        <w:pStyle w:val="ListParagraph"/>
        <w:numPr>
          <w:ilvl w:val="0"/>
          <w:numId w:val="3"/>
        </w:numPr>
        <w:spacing w:after="8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 Selecting a forecast month, or ticking the forecast month in, moves the rest of the page but never that figure.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all at the grain of the headline, balances included. The variance period the page is reading drives the trajectory, the commentary and the reporting pack; it does not add a fourth row to a tile.</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2026-08-15T13:13:46.074Z</dcterms:created>
  <dcterms:modified xsi:type="dcterms:W3CDTF">2026-08-15T13:13:46.074Z</dcterms:modified>
</cp:coreProperties>
</file>

<file path=docProps/custom.xml><?xml version="1.0" encoding="utf-8"?>
<Properties xmlns="http://schemas.openxmlformats.org/officeDocument/2006/custom-properties" xmlns:vt="http://schemas.openxmlformats.org/officeDocument/2006/docPropsVTypes"/>
</file>