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Data view and Excel exports carry the default column set RAG compares YTD actuals with the same prior-year months: </w:t>
      </w:r>
      <w:r>
        <w:rPr>
          <w:b/>
          <w:bCs/>
        </w:rPr>
        <w:t xml:space="preserve">green at or above prior year, red below it</w:t>
      </w:r>
      <w:r>
        <w:t xml:space="preserve">.</w:t>
      </w:r>
    </w:p>
    <w:p>
      <w:pPr>
        <w:spacing w:after="140"/>
      </w:pPr>
      <w:r>
        <w:t xml:space="preserve">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2026-08-15T15:52:19.131Z</dcterms:created>
  <dcterms:modified xsi:type="dcterms:W3CDTF">2026-08-15T15:52:19.132Z</dcterms:modified>
</cp:coreProperties>
</file>

<file path=docProps/custom.xml><?xml version="1.0" encoding="utf-8"?>
<Properties xmlns="http://schemas.openxmlformats.org/officeDocument/2006/custom-properties" xmlns:vt="http://schemas.openxmlformats.org/officeDocument/2006/docPropsVTypes"/>
</file>