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What a tile prints above its figure.</w:t>
      </w:r>
      <w:r>
        <w:t xml:space="preserve"> The page header already names the period and the scope, so a tile repeating </w:t>
      </w:r>
      <w:r>
        <w:rPr>
          <w:i/>
          <w:iCs/>
        </w:rPr>
        <w:t xml:space="preserve">JUN YTD</w:t>
      </w:r>
      <w:r>
        <w:t xml:space="preserve"> on every card is noise. What it must always say is its </w:t>
      </w:r>
      <w:r>
        <w:rPr>
          <w:b/>
          <w:bCs/>
        </w:rPr>
        <w:t xml:space="preserve">unit</w:t>
      </w:r>
      <w:r>
        <w:t xml:space="preserve">, because that is the one thing the header cannot say for it — the cards are not all in the same unit, and a balance in billions sitting beside a result in millions has to be told apart at a glance. </w:t>
      </w:r>
      <w:r>
        <w:rPr>
          <w:rFonts w:ascii="Consolas" w:cs="Consolas" w:eastAsia="Consolas" w:hAnsi="Consolas"/>
          <w:shd w:fill="F2F1ED" w:val="clear"/>
        </w:rPr>
        <w:t xml:space="preserve">tile_unit_label</w:t>
      </w:r>
      <w:r>
        <w:t xml:space="preserve"> chooses: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Setting</w:t>
            </w:r>
          </w:p>
        </w:tc>
        <w:tc>
          <w:tcPr>
            <w:shd w:fill="F7E9EA" w:val="clear"/>
            <w:tcMar>
              <w:top w:type="dxa" w:w="60"/>
              <w:left w:type="dxa" w:w="100"/>
              <w:bottom w:type="dxa" w:w="60"/>
              <w:right w:type="dxa" w:w="100"/>
            </w:tcMar>
          </w:tcPr>
          <w:p>
            <w:r>
              <w:rPr>
                <w:b/>
                <w:bCs/>
                <w:color w:val="DB0011"/>
              </w:rPr>
              <w:t xml:space="preserve">A tile reads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unit</w:t>
            </w:r>
            <w:r>
              <w:t xml:space="preserve"> </w:t>
            </w:r>
            <w:r>
              <w:rPr>
                <w:i/>
                <w:iCs/>
              </w:rPr>
              <w:t xml:space="preserve">(default)</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US$m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period</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JUN YTD · US$m</w:t>
            </w:r>
            <w:r>
              <w:t xml:space="preserve"> — the older form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off</w:t>
            </w:r>
          </w:p>
        </w:tc>
        <w:tc>
          <w:tcPr>
            <w:tcMar>
              <w:top w:type="dxa" w:w="60"/>
              <w:left w:type="dxa" w:w="100"/>
              <w:bottom w:type="dxa" w:w="60"/>
              <w:right w:type="dxa" w:w="100"/>
            </w:tcMar>
          </w:tcPr>
          <w:p>
            <w:pPr>
              <w:spacing w:after="0"/>
            </w:pPr>
            <w:r>
              <w:t xml:space="preserve">no label at all</w:t>
            </w:r>
          </w:p>
        </w:tc>
      </w:tr>
    </w:tbl>
    <w:p>
      <w:pPr>
        <w:spacing w:after="160"/>
      </w:pPr>
    </w:p>
    <w:p>
      <w:pPr>
        <w:spacing w:after="140"/>
        <w:ind w:left="360"/>
      </w:pPr>
      <w:r>
        <w:rPr>
          <w:b/>
          <w:bCs/>
        </w:rPr>
        <w:t xml:space="preserve">Where `US$m`, `US$bn` and `%` come from</w:t>
      </w:r>
      <w:r>
        <w:t xml:space="preserve">, in the order the page asks:</w:t>
      </w:r>
    </w:p>
    <w:p>
      <w:pPr>
        <w:spacing w:after="140"/>
        <w:ind w:left="360"/>
      </w:pPr>
      <w:r>
        <w:t xml:space="preserve">1. the </w:t>
      </w:r>
      <w:r>
        <w:rPr>
          <w:b/>
          <w:bCs/>
        </w:rPr>
        <w:t xml:space="preserve">`Unit` column on the Tiles tab</w:t>
      </w:r>
      <w:r>
        <w:t xml:space="preserve">, beside the tile it belongs to — the most direct thing a pack can say, and it speaks over everything below; 2. the </w:t>
      </w:r>
      <w:r>
        <w:rPr>
          <w:b/>
          <w:bCs/>
        </w:rPr>
        <w:t xml:space="preserve">`Unit` column on the Rollup tab</w:t>
      </w:r>
      <w:r>
        <w:t xml:space="preserve">, which declares a line's unit wherever that line appears; 3. the </w:t>
      </w:r>
      <w:r>
        <w:rPr>
          <w:b/>
          <w:bCs/>
        </w:rPr>
        <w:t xml:space="preserve">extract's own `Unit` column</w:t>
      </w:r>
      <w:r>
        <w:t xml:space="preserve">, where the file states it per row; 4. failing all three, the convention: </w:t>
      </w:r>
      <w:r>
        <w:rPr>
          <w:rFonts w:ascii="Consolas" w:cs="Consolas" w:eastAsia="Consolas" w:hAnsi="Consolas"/>
          <w:shd w:fill="F2F1ED" w:val="clear"/>
        </w:rPr>
        <w:t xml:space="preserve">unit_label</w:t>
      </w:r>
      <w:r>
        <w:t xml:space="preserve"> (default </w:t>
      </w:r>
      <w:r>
        <w:rPr>
          <w:rFonts w:ascii="Consolas" w:cs="Consolas" w:eastAsia="Consolas" w:hAnsi="Consolas"/>
          <w:shd w:fill="F2F1ED" w:val="clear"/>
        </w:rPr>
        <w:t xml:space="preserve">US$m</w:t>
      </w:r>
      <w:r>
        <w:t xml:space="preserve">) for a result, </w:t>
      </w:r>
      <w:r>
        <w:rPr>
          <w:rFonts w:ascii="Consolas" w:cs="Consolas" w:eastAsia="Consolas" w:hAnsi="Consolas"/>
          <w:shd w:fill="F2F1ED" w:val="clear"/>
        </w:rPr>
        <w:t xml:space="preserve">bs_unit</w:t>
      </w:r>
      <w:r>
        <w:t xml:space="preserve"> (default </w:t>
      </w:r>
      <w:r>
        <w:rPr>
          <w:rFonts w:ascii="Consolas" w:cs="Consolas" w:eastAsia="Consolas" w:hAnsi="Consolas"/>
          <w:shd w:fill="F2F1ED" w:val="clear"/>
        </w:rPr>
        <w:t xml:space="preserve">bn</w:t>
      </w:r>
      <w:r>
        <w:t xml:space="preserve">) for a balance, </w:t>
      </w:r>
      <w:r>
        <w:rPr>
          <w:rFonts w:ascii="Consolas" w:cs="Consolas" w:eastAsia="Consolas" w:hAnsi="Consolas"/>
          <w:shd w:fill="F2F1ED" w:val="clear"/>
        </w:rPr>
        <w:t xml:space="preserve">%</w:t>
      </w:r>
      <w:r>
        <w:t xml:space="preserve"> for a line matching </w:t>
      </w:r>
      <w:r>
        <w:rPr>
          <w:rFonts w:ascii="Consolas" w:cs="Consolas" w:eastAsia="Consolas" w:hAnsi="Consolas"/>
          <w:shd w:fill="F2F1ED" w:val="clear"/>
        </w:rPr>
        <w:t xml:space="preserve">ratio_patterns</w:t>
      </w:r>
      <w:r>
        <w:t xml:space="preserve">, and a plain number for one matching </w:t>
      </w:r>
      <w:r>
        <w:rPr>
          <w:rFonts w:ascii="Consolas" w:cs="Consolas" w:eastAsia="Consolas" w:hAnsi="Consolas"/>
          <w:shd w:fill="F2F1ED" w:val="clear"/>
        </w:rPr>
        <w:t xml:space="preserve">count_patterns</w:t>
      </w:r>
      <w:r>
        <w:t xml:space="preserve">.</w:t>
      </w:r>
    </w:p>
    <w:p>
      <w:pPr>
        <w:spacing w:after="140"/>
        <w:ind w:left="360"/>
      </w:pPr>
      <w:r>
        <w:t xml:space="preserve">Writing </w:t>
      </w:r>
      <w:r>
        <w:rPr>
          <w:rFonts w:ascii="Consolas" w:cs="Consolas" w:eastAsia="Consolas" w:hAnsi="Consolas"/>
          <w:shd w:fill="F2F1ED" w:val="clear"/>
        </w:rPr>
        <w:t xml:space="preserve">US$bn</w:t>
      </w:r>
      <w:r>
        <w:t xml:space="preserve"> beside </w:t>
      </w:r>
      <w:r>
        <w:rPr>
          <w:rFonts w:ascii="Consolas" w:cs="Consolas" w:eastAsia="Consolas" w:hAnsi="Consolas"/>
          <w:shd w:fill="F2F1ED" w:val="clear"/>
        </w:rPr>
        <w:t xml:space="preserve">Revenue</w:t>
      </w:r>
      <w:r>
        <w:t xml:space="preserve"> on the Tiles tab restates that tile and labels it: 2,967 US$m is printed as </w:t>
      </w:r>
      <w:r>
        <w:rPr>
          <w:b/>
          <w:bCs/>
        </w:rPr>
        <w:t xml:space="preserve">3.0 US$bn</w:t>
      </w:r>
      <w:r>
        <w:t xml:space="preserve">. Nothing else moves.</w:t>
      </w:r>
    </w:p>
    <w:p>
      <w:pPr>
        <w:spacing w:after="140"/>
        <w:ind w:left="360"/>
      </w:pPr>
      <w:r>
        <w:rPr>
          <w:b/>
          <w:bCs/>
        </w:rPr>
        <w:t xml:space="preserve">A headcount is a count, not a ratio.</w:t>
      </w:r>
      <w:r>
        <w:t xml:space="preserve"> The shipped packs listed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under </w:t>
      </w:r>
      <w:r>
        <w:rPr>
          <w:rFonts w:ascii="Consolas" w:cs="Consolas" w:eastAsia="Consolas" w:hAnsi="Consolas"/>
          <w:shd w:fill="F2F1ED" w:val="clear"/>
        </w:rPr>
        <w:t xml:space="preserve">ratio_patterns</w:t>
      </w:r>
      <w:r>
        <w:t xml:space="preserve">, so an FTE tile was labelled </w:t>
      </w:r>
      <w:r>
        <w:rPr>
          <w:rFonts w:ascii="Consolas" w:cs="Consolas" w:eastAsia="Consolas" w:hAnsi="Consolas"/>
          <w:shd w:fill="F2F1ED" w:val="clear"/>
        </w:rPr>
        <w:t xml:space="preserve">%</w:t>
      </w:r>
      <w:r>
        <w:t xml:space="preserve"> while printing 1,286. Those names live in </w:t>
      </w:r>
      <w:r>
        <w:rPr>
          <w:rFonts w:ascii="Consolas" w:cs="Consolas" w:eastAsia="Consolas" w:hAnsi="Consolas"/>
          <w:shd w:fill="F2F1ED" w:val="clear"/>
        </w:rPr>
        <w:t xml:space="preserve">count_patterns</w:t>
      </w:r>
      <w:r>
        <w:t xml:space="preserve"> now, where they belong; </w:t>
      </w:r>
      <w:r>
        <w:rPr>
          <w:rFonts w:ascii="Consolas" w:cs="Consolas" w:eastAsia="Consolas" w:hAnsi="Consolas"/>
          <w:shd w:fill="F2F1ED" w:val="clear"/>
        </w:rPr>
        <w:t xml:space="preserve">ratio_patterns</w:t>
      </w:r>
      <w:r>
        <w:t xml:space="preserve"> keeps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and </w:t>
      </w:r>
      <w:r>
        <w:rPr>
          <w:rFonts w:ascii="Consolas" w:cs="Consolas" w:eastAsia="Consolas" w:hAnsi="Consolas"/>
          <w:shd w:fill="F2F1ED" w:val="clear"/>
        </w:rPr>
        <w:t xml:space="preserve">ratio</w:t>
      </w:r>
      <w:r>
        <w:t xml:space="preserve">.</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Re-opening the page no longer re-reads the workbook.</w:t>
      </w:r>
      <w:r>
        <w:t xml:space="preserve"> The page keeps the last file so it need not be uploaded again each morning — but it kept the </w:t>
      </w:r>
      <w:r>
        <w:rPr>
          <w:i/>
          <w:iCs/>
        </w:rPr>
        <w:t xml:space="preserve">workbook</w:t>
      </w:r>
      <w:r>
        <w:t xml:space="preserve">, and re-parsed it on every open, to arrive at precisely the model it already had. On a global extract that is the whole 40-second parse, paid again, before anything appears. Measured on 21,780 rows across 11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 </w:t>
            </w:r>
          </w:p>
        </w:tc>
      </w:tr>
      <w:tr>
        <w:tc>
          <w:tcPr>
            <w:tcMar>
              <w:top w:type="dxa" w:w="60"/>
              <w:left w:type="dxa" w:w="100"/>
              <w:bottom w:type="dxa" w:w="60"/>
              <w:right w:type="dxa" w:w="100"/>
            </w:tcMar>
          </w:tcPr>
          <w:p>
            <w:pPr>
              <w:spacing w:after="0"/>
            </w:pPr>
            <w:r>
              <w:t xml:space="preserve">opening with nothing cached</w:t>
            </w:r>
          </w:p>
        </w:tc>
        <w:tc>
          <w:tcPr>
            <w:tcMar>
              <w:top w:type="dxa" w:w="60"/>
              <w:left w:type="dxa" w:w="100"/>
              <w:bottom w:type="dxa" w:w="60"/>
              <w:right w:type="dxa" w:w="100"/>
            </w:tcMar>
          </w:tcPr>
          <w:p>
            <w:pPr>
              <w:spacing w:after="0"/>
            </w:pPr>
            <w:r>
              <w:rPr>
                <w:b/>
                <w:bCs/>
              </w:rPr>
              <w:t xml:space="preserve">190 ms</w:t>
            </w:r>
            <w:r>
              <w:t xml:space="preserve"> — the page itself was never the problem</w:t>
            </w:r>
          </w:p>
        </w:tc>
      </w:tr>
      <w:tr>
        <w:tc>
          <w:tcPr>
            <w:tcMar>
              <w:top w:type="dxa" w:w="60"/>
              <w:left w:type="dxa" w:w="100"/>
              <w:bottom w:type="dxa" w:w="60"/>
              <w:right w:type="dxa" w:w="100"/>
            </w:tcMar>
          </w:tcPr>
          <w:p>
            <w:pPr>
              <w:spacing w:after="0"/>
            </w:pPr>
            <w:r>
              <w:t xml:space="preserve">opening with a file cached, before</w:t>
            </w:r>
          </w:p>
        </w:tc>
        <w:tc>
          <w:tcPr>
            <w:tcMar>
              <w:top w:type="dxa" w:w="60"/>
              <w:left w:type="dxa" w:w="100"/>
              <w:bottom w:type="dxa" w:w="60"/>
              <w:right w:type="dxa" w:w="100"/>
            </w:tcMar>
          </w:tcPr>
          <w:p>
            <w:pPr>
              <w:spacing w:after="0"/>
            </w:pPr>
            <w:r>
              <w:rPr>
                <w:b/>
                <w:bCs/>
              </w:rPr>
              <w:t xml:space="preserve">30,840 ms</w:t>
            </w:r>
          </w:p>
        </w:tc>
      </w:tr>
      <w:tr>
        <w:tc>
          <w:tcPr>
            <w:tcMar>
              <w:top w:type="dxa" w:w="60"/>
              <w:left w:type="dxa" w:w="100"/>
              <w:bottom w:type="dxa" w:w="60"/>
              <w:right w:type="dxa" w:w="100"/>
            </w:tcMar>
          </w:tcPr>
          <w:p>
            <w:pPr>
              <w:spacing w:after="0"/>
            </w:pPr>
            <w:r>
              <w:t xml:space="preserve">opening with a file cached, now</w:t>
            </w:r>
          </w:p>
        </w:tc>
        <w:tc>
          <w:tcPr>
            <w:tcMar>
              <w:top w:type="dxa" w:w="60"/>
              <w:left w:type="dxa" w:w="100"/>
              <w:bottom w:type="dxa" w:w="60"/>
              <w:right w:type="dxa" w:w="100"/>
            </w:tcMar>
          </w:tcPr>
          <w:p>
            <w:pPr>
              <w:spacing w:after="0"/>
            </w:pPr>
            <w:r>
              <w:rPr>
                <w:b/>
                <w:bCs/>
              </w:rPr>
              <w:t xml:space="preserve">1,292 ms</w:t>
            </w:r>
          </w:p>
        </w:tc>
      </w:tr>
    </w:tbl>
    <w:p>
      <w:pPr>
        <w:spacing w:after="160"/>
      </w:pPr>
    </w:p>
    <w:p>
      <w:pPr>
        <w:spacing w:after="140"/>
        <w:ind w:left="360"/>
      </w:pPr>
      <w:r>
        <w:t xml:space="preserve">The parsed model is stored beside the workbook and restored instead. The rows are plain data — dimension strings and numbers — so they survive the round trip as they are; everything </w:t>
      </w:r>
      <w:r>
        <w:rPr>
          <w:i/>
          <w:iCs/>
        </w:rPr>
        <w:t xml:space="preserve">derived</w:t>
      </w:r>
      <w:r>
        <w:t xml:space="preserve"> from them (units, grain, the account and country hierarchies, the duplication checks) is deliberately left out and worked out again on restore, which is quick and cannot go stale against a configuration that has changed since.</w:t>
      </w:r>
    </w:p>
    <w:p>
      <w:pPr>
        <w:spacing w:after="140"/>
        <w:ind w:left="360"/>
      </w:pPr>
      <w:r>
        <w:rPr>
          <w:b/>
          <w:bCs/>
        </w:rPr>
        <w:t xml:space="preserve">A cache written before this existed upgrades itself on the first open.</w:t>
      </w:r>
      <w:r>
        <w:t xml:space="preserve"> The model is kept whenever the workbook is parsed, whatever the bytes came from. An earlier version kept it only when the bytes were freshly uploaded — so a reader whose cache predated the model cache fell back to the workbook, parsed it, threw the model away, and did the same again on every open after that. The slow path forever, for exactly the readers who had been using the page longest. On a 21,780-row file: first open 49.6s (parses, then keeps the model), every open after 12.6s.</w:t>
      </w:r>
    </w:p>
    <w:p>
      <w:pPr>
        <w:spacing w:after="140"/>
        <w:ind w:left="360"/>
      </w:pPr>
      <w:r>
        <w:t xml:space="preserve">Two things this must not break, both checked: a restored page has to be </w:t>
      </w:r>
      <w:r>
        <w:rPr>
          <w:b/>
          <w:bCs/>
        </w:rPr>
        <w:t xml:space="preserve">identical</w:t>
      </w:r>
      <w:r>
        <w:t xml:space="preserve">, not merely fast — same rows, dimensions, countries and tile figures as a fresh parse, verified across seven sample shapes including the multi-tab, group-tab and mixed-grain ones. And a cache written before this existed, holding only the workbook, still opens by parsing it exactly as it used to. </w:t>
      </w:r>
      <w:r>
        <w:rPr>
          <w:rFonts w:ascii="Consolas" w:cs="Consolas" w:eastAsia="Consolas" w:hAnsi="Consolas"/>
          <w:shd w:fill="F2F1ED" w:val="clear"/>
        </w:rPr>
        <w:t xml:space="preserve">check_reopen</w:t>
      </w:r>
      <w:r>
        <w:t xml:space="preserve"> proves the restore does no parsing at all by deleting the workbook from the cache first and requiring the page to come up anyway.</w:t>
      </w:r>
    </w:p>
    <w:p>
      <w:pPr>
        <w:spacing w:after="140"/>
        <w:ind w:left="360"/>
      </w:pPr>
      <w:r>
        <w:rPr>
          <w:b/>
          <w:bCs/>
        </w:rPr>
        <w:t xml:space="preserve">Switching country or business is instant again.</w:t>
      </w:r>
      <w:r>
        <w:t xml:space="preserve"> After ingest, three things a render leans on hardest were rebuilt from scratch on every call — and on a global file, one click could cost seconds:</w:t>
      </w:r>
    </w:p>
    <w:p>
      <w:pPr>
        <w:spacing w:after="140"/>
        <w:ind w:left="360"/>
      </w:pPr>
      <w:r>
        <w:t xml:space="preserve">- </w:t>
      </w:r>
      <w:r>
        <w:rPr>
          <w:b/>
          <w:bCs/>
        </w:rPr>
        <w:t xml:space="preserve">`filteredRows()`</w:t>
      </w:r>
      <w:r>
        <w:t xml:space="preserve"> — the rows the current scope holds — is asked for fifty-odd times over one render. It re-filtered the whole file every single time, even for the same scope asked a moment before. It is now cached against everything that decides its answer — the loaded file, the active filters, breakdown mode, </w:t>
      </w:r>
      <w:r>
        <w:rPr>
          <w:rFonts w:ascii="Consolas" w:cs="Consolas" w:eastAsia="Consolas" w:hAnsi="Consolas"/>
          <w:shd w:fill="F2F1ED" w:val="clear"/>
        </w:rPr>
        <w:t xml:space="preserve">grain_reported</w:t>
      </w:r>
      <w:r>
        <w:t xml:space="preserve"> — so the same question within one scope is answered once. - </w:t>
      </w:r>
      <w:r>
        <w:rPr>
          <w:b/>
          <w:bCs/>
        </w:rPr>
        <w:t xml:space="preserve">`cfgMetricList()`</w:t>
      </w:r>
      <w:r>
        <w:t xml:space="preserve"> — every named calculation, read off the Definitions and Metrics tabs — rebuilt fresh new objects on every call, which meant nothing that cached </w:t>
      </w:r>
      <w:r>
        <w:rPr>
          <w:i/>
          <w:iCs/>
        </w:rPr>
        <w:t xml:space="preserve">against</w:t>
      </w:r>
      <w:r>
        <w:t xml:space="preserve"> those objects could ever recognise the same question twice.</w:t>
      </w:r>
    </w:p>
    <w:p>
      <w:pPr>
        <w:spacing w:after="140"/>
        <w:ind w:left="360"/>
      </w:pPr>
      <w:r>
        <w:t xml:space="preserve">It is now rebuilt only when the configuration actually changes. - </w:t>
      </w:r>
      <w:r>
        <w:rPr>
          <w:b/>
          <w:bCs/>
        </w:rPr>
        <w:t xml:space="preserve">`metricRows()`</w:t>
      </w:r>
      <w:r>
        <w:t xml:space="preserve"> — which rows answer a given calculation — is asked for the same calculation many times over one render: once for its tile, again for the tooltip, again in Business performance. With the two caches above making its inputs stable, it now caches its own answer per (calculation, scope) pair instead of rescanning the file each time.</w:t>
      </w:r>
    </w:p>
    <w:p>
      <w:pPr>
        <w:spacing w:after="140"/>
        <w:ind w:left="360"/>
      </w:pPr>
      <w:r>
        <w:t xml:space="preserve">On a 21,780-row file with one calculated metric (Banking NII) declared, switching from the full file to one country used to cost </w:t>
      </w:r>
      <w:r>
        <w:rPr>
          <w:b/>
          <w:bCs/>
        </w:rPr>
        <w:t xml:space="preserve">3.7–4.9 seconds</w:t>
      </w:r>
      <w:r>
        <w:t xml:space="preserve"> — the visible cause of </w:t>
      </w:r>
      <w:r>
        <w:rPr>
          <w:i/>
          <w:iCs/>
        </w:rPr>
        <w:t xml:space="preserve">"opening and reading tab sheet has become extremely slow"</w:t>
      </w:r>
      <w:r>
        <w:t xml:space="preserve">. It now costs </w:t>
      </w:r>
      <w:r>
        <w:rPr>
          <w:b/>
          <w:bCs/>
        </w:rPr>
        <w:t xml:space="preserve">240–290 ms</w:t>
      </w:r>
      <w:r>
        <w:t xml:space="preserve"> for a single country and </w:t>
      </w:r>
      <w:r>
        <w:rPr>
          <w:b/>
          <w:bCs/>
        </w:rPr>
        <w:t xml:space="preserve">around 1.2 seconds</w:t>
      </w:r>
      <w:r>
        <w:t xml:space="preserve"> to go back to the whole file. Nothing about what a figure reads has changed — every check that exercises Banking NII, roll-up, units, grain, or a second file loaded after the first, passes unchanged; a new one (</w:t>
      </w:r>
      <w:r>
        <w:rPr>
          <w:rFonts w:ascii="Consolas" w:cs="Consolas" w:eastAsia="Consolas" w:hAnsi="Consolas"/>
          <w:shd w:fill="F2F1ED" w:val="clear"/>
        </w:rPr>
        <w:t xml:space="preserve">check_frcache</w:t>
      </w:r>
      <w:r>
        <w:t xml:space="preserve">) exists solely to prove that loading a second, different file is never answered from the first file's cached rows.</w:t>
      </w:r>
    </w:p>
    <w:p>
      <w:pPr>
        <w:spacing w:after="140"/>
        <w:ind w:left="360"/>
      </w:pPr>
      <w:r>
        <w:rPr>
          <w:b/>
          <w:bCs/>
        </w:rPr>
        <w:t xml:space="preserve">The commentary answers the comparison the reader selected.</w:t>
      </w:r>
      <w:r>
        <w:t xml:space="preserve"> The variance selector is a statement of what is to be compared. The Management commentary and the Executive decisions panel now write about that basis and no other: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Selected</w:t>
            </w:r>
          </w:p>
        </w:tc>
        <w:tc>
          <w:tcPr>
            <w:shd w:fill="F7E9EA" w:val="clear"/>
            <w:tcMar>
              <w:top w:type="dxa" w:w="60"/>
              <w:left w:type="dxa" w:w="100"/>
              <w:bottom w:type="dxa" w:w="60"/>
              <w:right w:type="dxa" w:w="100"/>
            </w:tcMar>
          </w:tcPr>
          <w:p>
            <w:r>
              <w:rPr>
                <w:b/>
                <w:bCs/>
                <w:color w:val="DB0011"/>
              </w:rPr>
              <w:t xml:space="preserve">The commentary writes</w:t>
            </w:r>
          </w:p>
        </w:tc>
      </w:tr>
      <w:tr>
        <w:tc>
          <w:tcPr>
            <w:tcMar>
              <w:top w:type="dxa" w:w="60"/>
              <w:left w:type="dxa" w:w="100"/>
              <w:bottom w:type="dxa" w:w="60"/>
              <w:right w:type="dxa" w:w="100"/>
            </w:tcMar>
          </w:tcPr>
          <w:p>
            <w:pPr>
              <w:spacing w:after="0"/>
            </w:pPr>
            <w:r>
              <w:t xml:space="preserve">Current QTR vs PY</w:t>
            </w:r>
          </w:p>
        </w:tc>
        <w:tc>
          <w:tcPr>
            <w:tcMar>
              <w:top w:type="dxa" w:w="60"/>
              <w:left w:type="dxa" w:w="100"/>
              <w:bottom w:type="dxa" w:w="60"/>
              <w:right w:type="dxa" w:w="100"/>
            </w:tcMar>
          </w:tcPr>
          <w:p>
            <w:pPr>
              <w:spacing w:after="0"/>
            </w:pPr>
            <w:r>
              <w:rPr>
                <w:i/>
                <w:iCs/>
              </w:rPr>
              <w:t xml:space="preserve">"PBT ex Notables is $131m down on the quarter vs PY."</w:t>
            </w:r>
          </w:p>
        </w:tc>
      </w:tr>
      <w:tr>
        <w:tc>
          <w:tcPr>
            <w:tcMar>
              <w:top w:type="dxa" w:w="60"/>
              <w:left w:type="dxa" w:w="100"/>
              <w:bottom w:type="dxa" w:w="60"/>
              <w:right w:type="dxa" w:w="100"/>
            </w:tcMar>
          </w:tcPr>
          <w:p>
            <w:pPr>
              <w:spacing w:after="0"/>
            </w:pPr>
            <w:r>
              <w:t xml:space="preserve">YTD vs Target</w:t>
            </w:r>
          </w:p>
        </w:tc>
        <w:tc>
          <w:tcPr>
            <w:tcMar>
              <w:top w:type="dxa" w:w="60"/>
              <w:left w:type="dxa" w:w="100"/>
              <w:bottom w:type="dxa" w:w="60"/>
              <w:right w:type="dxa" w:w="100"/>
            </w:tcMar>
          </w:tcPr>
          <w:p>
            <w:pPr>
              <w:spacing w:after="0"/>
            </w:pPr>
            <w:r>
              <w:rPr>
                <w:i/>
                <w:iCs/>
              </w:rPr>
              <w:t xml:space="preserve">"PBT ex Notables is $41m up on YTD vs target."</w:t>
            </w:r>
          </w:p>
        </w:tc>
      </w:tr>
      <w:tr>
        <w:tc>
          <w:tcPr>
            <w:tcMar>
              <w:top w:type="dxa" w:w="60"/>
              <w:left w:type="dxa" w:w="100"/>
              <w:bottom w:type="dxa" w:w="60"/>
              <w:right w:type="dxa" w:w="100"/>
            </w:tcMar>
          </w:tcPr>
          <w:p>
            <w:pPr>
              <w:spacing w:after="0"/>
            </w:pPr>
            <w:r>
              <w:t xml:space="preserve">Month vs Forecast</w:t>
            </w:r>
          </w:p>
        </w:tc>
        <w:tc>
          <w:tcPr>
            <w:tcMar>
              <w:top w:type="dxa" w:w="60"/>
              <w:left w:type="dxa" w:w="100"/>
              <w:bottom w:type="dxa" w:w="60"/>
              <w:right w:type="dxa" w:w="100"/>
            </w:tcMar>
          </w:tcPr>
          <w:p>
            <w:pPr>
              <w:spacing w:after="0"/>
            </w:pPr>
            <w:r>
              <w:rPr>
                <w:i/>
                <w:iCs/>
              </w:rPr>
              <w:t xml:space="preserve">"PBT ex Notables is $59m down on the month vs forecast."</w:t>
            </w:r>
          </w:p>
        </w:tc>
      </w:tr>
    </w:tbl>
    <w:p>
      <w:pPr>
        <w:spacing w:after="160"/>
      </w:pPr>
    </w:p>
    <w:p>
      <w:pPr>
        <w:spacing w:after="140"/>
        <w:ind w:left="360"/>
      </w:pPr>
      <w:r>
        <w:t xml:space="preserve">Both used to answer more than was asked. The commentary recited every basis in one sentence — </w:t>
      </w:r>
      <w:r>
        <w:rPr>
          <w:i/>
          <w:iCs/>
        </w:rPr>
        <w:t xml:space="preserve">"$131m down on the quarter vs PY, $41m down on YTD vs target, $59m down on the month vs forecast, $253m down on the full year vs PY and $78m down on the full year vs target"</w:t>
      </w:r>
      <w:r>
        <w:t xml:space="preserve"> — and the decisions panel appended </w:t>
      </w:r>
      <w:r>
        <w:rPr>
          <w:i/>
          <w:iCs/>
        </w:rPr>
        <w:t xml:space="preserve">"FY outlook vs target"</w:t>
      </w:r>
      <w:r>
        <w:t xml:space="preserve"> to every card whatever the selector said. Choosing actuals against prior-year actuals and being answered with forecast and target reads as though the selection had been ignored, and invites a figure to be taken off the wrong basis.</w:t>
      </w:r>
    </w:p>
    <w:p>
      <w:pPr>
        <w:spacing w:after="140"/>
        <w:ind w:left="360"/>
      </w:pPr>
      <w:r>
        <w:rPr>
          <w:b/>
          <w:bCs/>
        </w:rPr>
        <w:t xml:space="preserve">And each comparison reads the column that belongs to it.</w:t>
      </w:r>
      <w:r>
        <w:t xml:space="preserve"> A quarter figure is an actual — it is what the vs-prior-year comparison is built from. Where a file carried no </w:t>
      </w:r>
      <w:r>
        <w:rPr>
          <w:i/>
          <w:iCs/>
        </w:rPr>
        <w:t xml:space="preserve">actual</w:t>
      </w:r>
      <w:r>
        <w:t xml:space="preserve"> quarter column, the page fell back to whatever quarter column it could find, a forecast one included, and put a forecast on one side of an actuals-to-actuals comparison without saying so.</w:t>
      </w:r>
    </w:p>
    <w:p>
      <w:pPr>
        <w:spacing w:after="140"/>
        <w:ind w:left="360"/>
      </w:pPr>
      <w:r>
        <w:t xml:space="preserve">On a file whose only Q2 column is </w:t>
      </w:r>
      <w:r>
        <w:rPr>
          <w:rFonts w:ascii="Consolas" w:cs="Consolas" w:eastAsia="Consolas" w:hAnsi="Consolas"/>
          <w:shd w:fill="F2F1ED" w:val="clear"/>
        </w:rPr>
        <w:t xml:space="preserve">Q2-26 Forecast</w:t>
      </w:r>
      <w:r>
        <w:t xml:space="preserve">, "Q2 2026 vs Q2 2025" read </w:t>
      </w:r>
      <w:r>
        <w:rPr>
          <w:b/>
          <w:bCs/>
        </w:rPr>
        <w:t xml:space="preserve">9,999 against 240</w:t>
      </w:r>
      <w:r>
        <w:t xml:space="preserve"> — a 4,000% movement out of nothing. It now reads the three actual months, 300 against 240. An actual quarter column is still preferred over adding months where the file has one, which on a balance sheet is the difference between a closing position and three times it.</w:t>
      </w:r>
    </w:p>
    <w:p>
      <w:pPr>
        <w:spacing w:after="140"/>
        <w:ind w:left="360"/>
      </w:pPr>
      <w:r>
        <w:t xml:space="preserve">Following the selection means following it in both directions: choose a target or forecast basis and the commentary talks about target or forecast, because that is what was asked for. The </w:t>
      </w:r>
      <w:r>
        <w:rPr>
          <w:b/>
          <w:bCs/>
        </w:rPr>
        <w:t xml:space="preserve">Commentary — all bases</w:t>
      </w:r>
      <w:r>
        <w:t xml:space="preserve"> view is unchanged and still surveys all six: surveying every basis is its purpose, and it is a different question from the one the summary answers.</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 — </w:t>
      </w:r>
      <w:r>
        <w:rPr>
          <w:b/>
          <w:bCs/>
        </w:rPr>
        <w:t xml:space="preserve">as long as the rows that would be added to each other agree on their scale.</w:t>
      </w:r>
    </w:p>
    <w:p>
      <w:pPr>
        <w:spacing w:after="140"/>
        <w:ind w:left="360"/>
      </w:pPr>
      <w:r>
        <w:rPr>
          <w:b/>
          <w:bCs/>
        </w:rPr>
        <w:t xml:space="preserve">Rows the file itself states at different scales are not added as they stand.</w:t>
      </w:r>
      <w:r>
        <w:t xml:space="preserve"> </w:t>
      </w:r>
      <w:r>
        <w:rPr>
          <w:rFonts w:ascii="Consolas" w:cs="Consolas" w:eastAsia="Consolas" w:hAnsi="Consolas"/>
          <w:shd w:fill="F2F1ED" w:val="clear"/>
        </w:rPr>
        <w:t xml:space="preserve">sumCols</w:t>
      </w:r>
      <w:r>
        <w:t xml:space="preserve"> adds the figures as the file holds them, which is right when a line's rows are all at one scale and wrong when they are not: 500 stated in </w:t>
      </w:r>
      <w:r>
        <w:rPr>
          <w:rFonts w:ascii="Consolas" w:cs="Consolas" w:eastAsia="Consolas" w:hAnsi="Consolas"/>
          <w:shd w:fill="F2F1ED" w:val="clear"/>
        </w:rPr>
        <w:t xml:space="preserve">$mn</w:t>
      </w:r>
      <w:r>
        <w:t xml:space="preserve"> and 2 stated in </w:t>
      </w:r>
      <w:r>
        <w:rPr>
          <w:rFonts w:ascii="Consolas" w:cs="Consolas" w:eastAsia="Consolas" w:hAnsi="Consolas"/>
          <w:shd w:fill="F2F1ED" w:val="clear"/>
        </w:rPr>
        <w:t xml:space="preserve">$bn</w:t>
      </w:r>
      <w:r>
        <w:t xml:space="preserve"> are 2,500 million, and adding them as they stand says </w:t>
      </w:r>
      <w:r>
        <w:rPr>
          <w:b/>
          <w:bCs/>
        </w:rPr>
        <w:t xml:space="preserve">502</w:t>
      </w:r>
      <w:r>
        <w:t xml:space="preserve"> — a figure that looks perfectly ordinary and is wrong by a factor of five.</w:t>
      </w:r>
    </w:p>
    <w:p>
      <w:pPr>
        <w:spacing w:after="140"/>
        <w:ind w:left="360"/>
      </w:pPr>
      <w:r>
        <w:t xml:space="preserve">The ingest report already told the reader that no total is drawn across a line whose rows disagree on their unit; the guard now makes that true, because it reads the row's own </w:t>
      </w:r>
      <w:r>
        <w:rPr>
          <w:rFonts w:ascii="Consolas" w:cs="Consolas" w:eastAsia="Consolas" w:hAnsi="Consolas"/>
          <w:shd w:fill="F2F1ED" w:val="clear"/>
        </w:rPr>
        <w:t xml:space="preserve">Unit</w:t>
      </w:r>
      <w:r>
        <w:t xml:space="preserve"> cell rather than only what the pack declares the line to be. Such a parent shows </w:t>
      </w:r>
      <w:r>
        <w:rPr>
          <w:rFonts w:ascii="Consolas" w:cs="Consolas" w:eastAsia="Consolas" w:hAnsi="Consolas"/>
          <w:shd w:fill="F2F1ED" w:val="clear"/>
        </w:rPr>
        <w:t xml:space="preserve">–</w:t>
      </w:r>
      <w:r>
        <w:t xml:space="preserve"> and says </w:t>
      </w:r>
      <w:r>
        <w:rPr>
          <w:i/>
          <w:iCs/>
        </w:rPr>
        <w:t xml:space="preserve">"the file states this line in US$m and US$bn — figures at two scales are not added as they stand"</w:t>
      </w:r>
      <w:r>
        <w:t xml:space="preserve">.</w:t>
      </w:r>
    </w:p>
    <w:p>
      <w:pPr>
        <w:spacing w:after="140"/>
        <w:ind w:left="360"/>
      </w:pPr>
      <w:r>
        <w:t xml:space="preserve">A P&amp;L stated in millions beside balances stated in billions is </w:t>
      </w:r>
      <w:r>
        <w:rPr>
          <w:b/>
          <w:bCs/>
        </w:rPr>
        <w:t xml:space="preserve">ordinary and untouched</w:t>
      </w:r>
      <w:r>
        <w:t xml:space="preserve">: those two are never summed into one figure anyway — the statement keeps them apart, not the scale — so each side is judged against itself. Where a scope clashes on </w:t>
      </w:r>
      <w:r>
        <w:rPr>
          <w:i/>
          <w:iCs/>
        </w:rPr>
        <w:t xml:space="preserve">kind</w:t>
      </w:r>
      <w:r>
        <w:t xml:space="preserve"> as well as scale, the kind is what is said: a ratio, a count and money added together is the deeper fault.</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2026-08-19T05:34:54.526Z</dcterms:created>
  <dcterms:modified xsi:type="dcterms:W3CDTF">2026-08-19T05:34:54.526Z</dcterms:modified>
</cp:coreProperties>
</file>

<file path=docProps/custom.xml><?xml version="1.0" encoding="utf-8"?>
<Properties xmlns="http://schemas.openxmlformats.org/officeDocument/2006/custom-properties" xmlns:vt="http://schemas.openxmlformats.org/officeDocument/2006/docPropsVTypes"/>
</file>