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 A </w:t>
      </w:r>
      <w:r>
        <w:rPr>
          <w:b/>
          <w:bCs/>
        </w:rPr>
        <w:t xml:space="preserve">Countries strip</w:t>
      </w:r>
      <w:r>
        <w:t xml:space="preserve"> appears in the left pane: a Region row — the sum of every country — then one row per country with its P&amp;L YTD and RAG; click a row to scope every page, chart, export and simulation to that country (the Country filter group mirrors the choice).</w:t>
      </w:r>
    </w:p>
    <w:p>
      <w:pPr>
        <w:spacing w:after="140"/>
      </w:pPr>
      <w:r>
        <w:t xml:space="preserve">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 Picking a country scopes the whole app (keeping the business-line scope), a clear row restores the wider scope, and scoping from anywhere else keeps the picker in sync.</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w:t>
      </w:r>
    </w:p>
    <w:p>
      <w:pPr>
        <w:spacing w:after="100"/>
        <w:ind w:left="360"/>
      </w:pPr>
      <w:r>
        <w:t xml:space="preserve">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Two figures that are demands rather than movements — the monthly run-rate a target needs, and the momentum of the last three months — say </w:t>
      </w:r>
      <w:r>
        <w:rPr>
          <w:b/>
          <w:bCs/>
        </w:rPr>
        <w:t xml:space="preserve">above</w:t>
      </w:r>
      <w:r>
        <w:t xml:space="preserve"> or </w:t>
      </w:r>
      <w:r>
        <w:rPr>
          <w:b/>
          <w:bCs/>
        </w:rPr>
        <w:t xml:space="preserve">below</w:t>
      </w:r>
      <w:r>
        <w:t xml:space="preserve"> the current pace in words and carry no favourability colour, because a bigger requirement is not a better or a worse result.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the lines outside the watch band rank worst-first as decision cards, each with a severity flag, the variance as its headline impact figure (233A / +11.5%), and the inferences the data supports — position vs the basis, the full-year gap to target, and the run-rate the remaining months must average — plus a </w:t>
      </w:r>
      <w:r>
        <w:rPr>
          <w:i/>
          <w:iCs/>
        </w:rPr>
        <w:t xml:space="preserve">Review trajectory</w:t>
      </w:r>
      <w:r>
        <w:t xml:space="preserve"> action that points the chart at that line.</w:t>
      </w:r>
    </w:p>
    <w:p>
      <w:pPr>
        <w:spacing w:after="100"/>
        <w:ind w:left="360"/>
      </w:pPr>
      <w:r>
        <w:t xml:space="preserve">A count badge carries the number of lines outside the watch band, cards cap at </w:t>
      </w:r>
      <w:r>
        <w:rPr>
          <w:rFonts w:ascii="Consolas" w:cs="Consolas" w:eastAsia="Consolas" w:hAnsi="Consolas"/>
          <w:shd w:fill="F2F1ED" w:val="clear"/>
        </w:rPr>
        <w:t xml:space="preserve">decisions_max</w:t>
      </w:r>
      <w:r>
        <w:t xml:space="preserve"> (default 3) with the overflow noted, and a file with everything inside it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run-rate,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required run-rate,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 RAG compares YTD actuals with the same prior-year months: green at or above prior year, amber within the </w:t>
      </w:r>
      <w:r>
        <w:rPr>
          <w:b/>
          <w:bCs/>
        </w:rPr>
        <w:t xml:space="preserve">watch band</w:t>
      </w:r>
      <w:r>
        <w:t xml:space="preserve"> below it, red beyond.</w:t>
      </w:r>
    </w:p>
    <w:p>
      <w:pPr>
        <w:spacing w:after="140"/>
      </w:pPr>
      <w:r>
        <w:t xml:space="preserve">How a line is rated is the pack's policy rather than something a reader tunes on the way past, so the thresholds live in the configuration alone — </w:t>
      </w:r>
      <w:r>
        <w:rPr>
          <w:rFonts w:ascii="Consolas" w:cs="Consolas" w:eastAsia="Consolas" w:hAnsi="Consolas"/>
          <w:shd w:fill="F2F1ED" w:val="clear"/>
        </w:rPr>
        <w:t xml:space="preserve">calc_rag_green_at</w:t>
      </w:r>
      <w:r>
        <w:t xml:space="preserve"> sets where favourable starts and </w:t>
      </w:r>
      <w:r>
        <w:rPr>
          <w:rFonts w:ascii="Consolas" w:cs="Consolas" w:eastAsia="Consolas" w:hAnsi="Consolas"/>
          <w:shd w:fill="F2F1ED" w:val="clear"/>
        </w:rPr>
        <w:t xml:space="preserve">calc_rag_watch_at</w:t>
      </w:r>
      <w:r>
        <w:t xml:space="preserve"> how far below it the amber band runs (0.05 by default; set it to </w:t>
      </w:r>
      <w:r>
        <w:rPr>
          <w:rFonts w:ascii="Consolas" w:cs="Consolas" w:eastAsia="Consolas" w:hAnsi="Consolas"/>
          <w:shd w:fill="F2F1ED" w:val="clear"/>
        </w:rPr>
        <w:t xml:space="preserve">0</w:t>
      </w:r>
      <w:r>
        <w:t xml:space="preserve"> for green and red with no Watch band).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8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the RAG thresholds (</w:t>
      </w:r>
      <w:r>
        <w:rPr>
          <w:rFonts w:ascii="Consolas" w:cs="Consolas" w:eastAsia="Consolas" w:hAnsi="Consolas"/>
          <w:shd w:fill="F2F1ED" w:val="clear"/>
        </w:rPr>
        <w:t xml:space="preserve">calc_rag_green_at</w:t>
      </w:r>
      <w:r>
        <w:t xml:space="preserve">, </w:t>
      </w:r>
      <w:r>
        <w:rPr>
          <w:rFonts w:ascii="Consolas" w:cs="Consolas" w:eastAsia="Consolas" w:hAnsi="Consolas"/>
          <w:shd w:fill="F2F1ED" w:val="clear"/>
        </w:rPr>
        <w:t xml:space="preserve">calc_rag_watch_at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 (any of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fy_tgt</w:t>
      </w:r>
      <w:r>
        <w:t xml:space="preserve">, </w:t>
      </w:r>
      <w:r>
        <w:rPr>
          <w:rFonts w:ascii="Consolas" w:cs="Consolas" w:eastAsia="Consolas" w:hAnsi="Consolas"/>
          <w:shd w:fill="F2F1ED" w:val="clear"/>
        </w:rPr>
        <w:t xml:space="preserve">fy_py</w:t>
      </w:r>
      <w:r>
        <w:t xml:space="preserve">;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2026-08-14T03:33:21.636Z</dcterms:created>
  <dcterms:modified xsi:type="dcterms:W3CDTF">2026-08-14T03:33:21.638Z</dcterms:modified>
</cp:coreProperties>
</file>

<file path=docProps/custom.xml><?xml version="1.0" encoding="utf-8"?>
<Properties xmlns="http://schemas.openxmlformats.org/officeDocument/2006/custom-properties" xmlns:vt="http://schemas.openxmlformats.org/officeDocument/2006/docPropsVTypes"/>
</file>