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Correctness-Gated, LLM-Driven Critical-Path Optimization of Post-Quantum Cryptographic Accelerators: From Verified Edits to an Autonomous Agent</w:t>
      </w:r>
    </w:p>
    <w:p>
      <w:pPr>
        <w:spacing w:after="60"/>
        <w:jc w:val="center"/>
      </w:pPr>
      <w:r>
        <w:rPr>
          <w:rFonts w:ascii="Times New Roman" w:cs="Times New Roman" w:eastAsia="Times New Roman" w:hAnsi="Times New Roman"/>
          <w:sz w:val="22"/>
          <w:szCs w:val="22"/>
        </w:rPr>
        <w:t xml:space="preserve">Lloyd [Last Name] and Zain Ul Abideen</w:t>
      </w:r>
    </w:p>
    <w:p>
      <w:pPr>
        <w:spacing w:after="240"/>
        <w:jc w:val="center"/>
      </w:pPr>
      <w:r>
        <w:rPr>
          <w:rFonts w:ascii="Times New Roman" w:cs="Times New Roman" w:eastAsia="Times New Roman" w:hAnsi="Times New Roman"/>
          <w:i/>
          <w:iCs/>
          <w:sz w:val="20"/>
          <w:szCs w:val="20"/>
        </w:rPr>
        <w:t xml:space="preserve">Hardware Security and Cryptography Lab, University of Idaho — [emails]</w:t>
      </w:r>
    </w:p>
    <w:p>
      <w:pPr>
        <w:spacing w:after="12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Large language models can propose register-transfer-level (RTL) optimizations, but their output cannot be trusted in cryptographic hardware, where a single silently broken reduction or sampler invalidates the design. We present an optimization methodology in which the model is structurally untrusted: deterministic code selects timing-critical targets, the model fills only a constrained proposal slot, and every edit must pass a machine-validated correctness gate before synthesis results are even considered. Applied to two open-source post-quantum accelerators on Artix-7 at a 200 MHz target, the method produced fifteen known-answer-test-verified optimizations on an HQC key-encapsulation design, driving key generation to within 1% of target at all three NIST security levels, and block-level gains of up to +2.88 ns on an ML-DSA (Dilithium) signature datapath. We then closed the loop: an autonomous orchestrator re-derived the largest hand-guided ML-DSA win from pristine RTL to within 7 ps, and subsequently produced verified improvements on previously untouched blocks with no human target, strategy, or edit selection. Central to the method is a corruption-validation protocol for correctness gates themselves — we show that unvalidated gates pass boundary-sensitive corruptions and would have accepted an unsound machine-generated edit — and a composition study showing that structural rewrites transfer intact into enclosing modules while fanout-attribute optimizations can invert sign. Negative results are reported as first-class evidence throughout. All code, gates, and flight logs are open.</w:t>
      </w:r>
    </w:p>
    <w:p>
      <w:pPr>
        <w:spacing w:after="12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i/>
          <w:iCs/>
          <w:sz w:val="20"/>
          <w:szCs w:val="20"/>
        </w:rPr>
        <w:t xml:space="preserve">post-quantum cryptography, hardware security, large language models, design automation, timing closure, FPGA, HQC, ML-DSA.</w:t>
      </w:r>
    </w:p>
    <w:p>
      <w:pPr>
        <w:sectPr>
          <w:pgSz w:w="12240" w:h="15840" w:orient="portrait"/>
          <w:pgMar w:top="1080" w:right="1080" w:bottom="1080" w:left="1080" w:header="708" w:footer="708" w:gutter="0"/>
          <w:pgNumType/>
          <w:docGrid w:linePitch="360"/>
        </w:sectPr>
      </w:pPr>
    </w:p>
    <w:p>
      <w:pPr>
        <w:pStyle w:val="Heading1"/>
        <w:spacing w:after="120" w:before="240"/>
        <w:jc w:val="center"/>
      </w:pPr>
      <w:r>
        <w:rPr>
          <w:rFonts w:ascii="Times New Roman" w:cs="Times New Roman" w:eastAsia="Times New Roman" w:hAnsi="Times New Roman"/>
          <w:b/>
          <w:bCs/>
          <w:caps/>
          <w:sz w:val="20"/>
          <w:szCs w:val="20"/>
        </w:rPr>
        <w:t xml:space="preserve">I. Introduction</w:t>
      </w:r>
    </w:p>
    <w:p>
      <w:pPr>
        <w:spacing w:after="120"/>
        <w:jc w:val="both"/>
      </w:pPr>
      <w:r>
        <w:rPr>
          <w:rFonts w:ascii="Times New Roman" w:cs="Times New Roman" w:eastAsia="Times New Roman" w:hAnsi="Times New Roman"/>
          <w:sz w:val="20"/>
          <w:szCs w:val="20"/>
        </w:rPr>
        <w:t xml:space="preserve">Post-quantum cryptography is moving from standardization into silicon. HQC, a code-based key-encapsulation mechanism, was selected by NIST in 2025 as a backup standard to ML-KEM, and ML-DSA (CRYSTALS-Dilithium) is the primary standardized signature scheme; efficient hardware for both is a practical need. Published open-source RTL implementations, however, do not meet aggressive clock targets on cost-sensitive FPGA fabric: at a 200 MHz (5.0 ns) target on a Xilinx Artix-7 device, the HQC reference design we study fails timing on every operation and security level, and individual ML-DSA datapath blocks exhibit worst negative slack (WNS) as poor as -5.2 ns.</w:t>
      </w:r>
    </w:p>
    <w:p>
      <w:pPr>
        <w:spacing w:after="120"/>
        <w:jc w:val="both"/>
      </w:pPr>
      <w:r>
        <w:rPr>
          <w:rFonts w:ascii="Times New Roman" w:cs="Times New Roman" w:eastAsia="Times New Roman" w:hAnsi="Times New Roman"/>
          <w:sz w:val="20"/>
          <w:szCs w:val="20"/>
        </w:rPr>
        <w:t xml:space="preserve">Closing such gaps by hand is slow, error-prone, and design-specific. The design-automation question we address is whether a large language model (LLM) can drive the optimization loop — not as a code generator whose output is trusted, but as a proposal engine inside a verification harness that guarantees correctness. The central difficulty is exactly that guarantee: an LLM editing cryptographic RTL can silently break functional correctness. This paper demonstrates a methodology that makes LLM-driven RTL optimization both effective and correctness-preserving, and reports its progression from human-in-the-loop verified edits to a fully autonomous per-block optimization agent whose unsound proposals are machine-rejected.</w:t>
      </w:r>
    </w:p>
    <w:p>
      <w:pPr>
        <w:spacing w:after="120"/>
        <w:jc w:val="both"/>
      </w:pPr>
      <w:r>
        <w:rPr>
          <w:rFonts w:ascii="Times New Roman" w:cs="Times New Roman" w:eastAsia="Times New Roman" w:hAnsi="Times New Roman"/>
          <w:sz w:val="20"/>
          <w:szCs w:val="20"/>
        </w:rPr>
        <w:t xml:space="preserve">[PLACEHOLDER: one paragraph situating this against the lab's broader research program — Dr. Abideen to advise on framing.]</w:t>
      </w:r>
    </w:p>
    <w:p>
      <w:pPr>
        <w:pStyle w:val="Heading1"/>
        <w:spacing w:after="120" w:before="240"/>
        <w:jc w:val="center"/>
      </w:pPr>
      <w:r>
        <w:rPr>
          <w:rFonts w:ascii="Times New Roman" w:cs="Times New Roman" w:eastAsia="Times New Roman" w:hAnsi="Times New Roman"/>
          <w:b/>
          <w:bCs/>
          <w:caps/>
          <w:sz w:val="20"/>
          <w:szCs w:val="20"/>
        </w:rPr>
        <w:t xml:space="preserve">II. Background and Related Work</w:t>
      </w:r>
    </w:p>
    <w:p>
      <w:pPr>
        <w:pStyle w:val="Heading2"/>
        <w:spacing w:after="100" w:before="180"/>
      </w:pPr>
      <w:r>
        <w:rPr>
          <w:rFonts w:ascii="Times New Roman" w:cs="Times New Roman" w:eastAsia="Times New Roman" w:hAnsi="Times New Roman"/>
          <w:b w:val="false"/>
          <w:bCs w:val="false"/>
          <w:i/>
          <w:iCs/>
          <w:sz w:val="20"/>
          <w:szCs w:val="20"/>
        </w:rPr>
        <w:t xml:space="preserve">A. Target designs</w:t>
      </w:r>
    </w:p>
    <w:p>
      <w:pPr>
        <w:spacing w:after="120"/>
        <w:jc w:val="both"/>
      </w:pPr>
      <w:r>
        <w:rPr>
          <w:rFonts w:ascii="Times New Roman" w:cs="Times New Roman" w:eastAsia="Times New Roman" w:hAnsi="Times New Roman"/>
          <w:sz w:val="20"/>
          <w:szCs w:val="20"/>
        </w:rPr>
        <w:t xml:space="preserve">The HQC study uses the unified accelerator of Deshpande et al. [1], supporting HQC-128/192/256 from one parametric codebase. The ML-DSA study uses the high-performance GMU implementation of Beckwith et al. [4]. Both are synthesized out-of-context for xc7a200tfbg676-1 at a 5.0 ns clock.</w:t>
      </w:r>
    </w:p>
    <w:p>
      <w:pPr>
        <w:pStyle w:val="Heading2"/>
        <w:spacing w:after="100" w:before="180"/>
      </w:pPr>
      <w:r>
        <w:rPr>
          <w:rFonts w:ascii="Times New Roman" w:cs="Times New Roman" w:eastAsia="Times New Roman" w:hAnsi="Times New Roman"/>
          <w:b w:val="false"/>
          <w:bCs w:val="false"/>
          <w:i/>
          <w:iCs/>
          <w:sz w:val="20"/>
          <w:szCs w:val="20"/>
        </w:rPr>
        <w:t xml:space="preserve">B. LLMs for RTL</w:t>
      </w:r>
    </w:p>
    <w:p>
      <w:pPr>
        <w:spacing w:after="120"/>
        <w:jc w:val="both"/>
      </w:pPr>
      <w:r>
        <w:rPr>
          <w:rFonts w:ascii="Times New Roman" w:cs="Times New Roman" w:eastAsia="Times New Roman" w:hAnsi="Times New Roman"/>
          <w:sz w:val="20"/>
          <w:szCs w:val="20"/>
        </w:rPr>
        <w:t xml:space="preserve">Recent work applies LLMs to RTL generation and repair, but typically trusts model output or validates only by compilation, which is insufficient for cryptographic correctness. Our work departs by treating the model as untrusted and gating every edit behind a design-level known-answer test (HQC) or a block-level lockstep equivalence gate (ML-DSA).</w:t>
      </w:r>
    </w:p>
    <w:p>
      <w:pPr>
        <w:pStyle w:val="Heading2"/>
        <w:spacing w:after="100" w:before="180"/>
      </w:pPr>
      <w:r>
        <w:rPr>
          <w:rFonts w:ascii="Times New Roman" w:cs="Times New Roman" w:eastAsia="Times New Roman" w:hAnsi="Times New Roman"/>
          <w:b w:val="false"/>
          <w:bCs w:val="false"/>
          <w:i/>
          <w:iCs/>
          <w:sz w:val="20"/>
          <w:szCs w:val="20"/>
        </w:rPr>
        <w:t xml:space="preserve">C. Timing optimization</w:t>
      </w:r>
    </w:p>
    <w:p>
      <w:pPr>
        <w:spacing w:after="120"/>
        <w:jc w:val="both"/>
      </w:pPr>
      <w:r>
        <w:rPr>
          <w:rFonts w:ascii="Times New Roman" w:cs="Times New Roman" w:eastAsia="Times New Roman" w:hAnsi="Times New Roman"/>
          <w:sz w:val="20"/>
          <w:szCs w:val="20"/>
        </w:rPr>
        <w:t xml:space="preserve">Classical critical-path optimization — retiming, strength reduction, memory mapping — is well understood [2]. Our contribution is not a new transformation but an agent that selects and applies known transformations by reasoning over critical-path clusters, plus a fingerprint taxonomy predicting when each transformation helps, and evidence for when each fails.</w:t>
      </w:r>
    </w:p>
    <w:p>
      <w:pPr>
        <w:pStyle w:val="Heading1"/>
        <w:spacing w:after="120" w:before="240"/>
        <w:jc w:val="center"/>
      </w:pPr>
      <w:r>
        <w:rPr>
          <w:rFonts w:ascii="Times New Roman" w:cs="Times New Roman" w:eastAsia="Times New Roman" w:hAnsi="Times New Roman"/>
          <w:b/>
          <w:bCs/>
          <w:caps/>
          <w:sz w:val="20"/>
          <w:szCs w:val="20"/>
        </w:rPr>
        <w:t xml:space="preserve">III. Methodology</w:t>
      </w:r>
    </w:p>
    <w:p>
      <w:pPr>
        <w:pStyle w:val="Heading2"/>
        <w:spacing w:after="100" w:before="180"/>
      </w:pPr>
      <w:r>
        <w:rPr>
          <w:rFonts w:ascii="Times New Roman" w:cs="Times New Roman" w:eastAsia="Times New Roman" w:hAnsi="Times New Roman"/>
          <w:b w:val="false"/>
          <w:bCs w:val="false"/>
          <w:i/>
          <w:iCs/>
          <w:sz w:val="20"/>
          <w:szCs w:val="20"/>
        </w:rPr>
        <w:t xml:space="preserve">A. Division of labor</w:t>
      </w:r>
    </w:p>
    <w:p>
      <w:pPr>
        <w:spacing w:after="120"/>
        <w:jc w:val="both"/>
      </w:pPr>
      <w:r>
        <w:rPr>
          <w:rFonts w:ascii="Times New Roman" w:cs="Times New Roman" w:eastAsia="Times New Roman" w:hAnsi="Times New Roman"/>
          <w:sz w:val="20"/>
          <w:szCs w:val="20"/>
        </w:rPr>
        <w:t xml:space="preserve">Deterministic code performs every checkable decision: parsing the top-N critical paths, clustering by source register, computing a ground-truth inventory of assignment sites and live comparisons, applying edits under exact-count assertions, running synthesis, and comparing results against baseline. The LLM performs only the creative step: given the timing board and RTL, it selects one strategy from a validated menu and emits one to four typed string-replacement pairs. It never writes free-form RTL, never chooses targets, and never decides acceptance.</w:t>
      </w:r>
    </w:p>
    <w:p>
      <w:pPr>
        <w:pStyle w:val="Heading2"/>
        <w:spacing w:after="100" w:before="180"/>
      </w:pPr>
      <w:r>
        <w:rPr>
          <w:rFonts w:ascii="Times New Roman" w:cs="Times New Roman" w:eastAsia="Times New Roman" w:hAnsi="Times New Roman"/>
          <w:b w:val="false"/>
          <w:bCs w:val="false"/>
          <w:i/>
          <w:iCs/>
          <w:sz w:val="20"/>
          <w:szCs w:val="20"/>
        </w:rPr>
        <w:t xml:space="preserve">B. Correctness gates and the corruption-validation protocol</w:t>
      </w:r>
    </w:p>
    <w:p>
      <w:pPr>
        <w:spacing w:after="120"/>
        <w:jc w:val="both"/>
      </w:pPr>
      <w:r>
        <w:rPr>
          <w:rFonts w:ascii="Times New Roman" w:cs="Times New Roman" w:eastAsia="Times New Roman" w:hAnsi="Times New Roman"/>
          <w:sz w:val="20"/>
          <w:szCs w:val="20"/>
        </w:rPr>
        <w:t xml:space="preserve">For HQC, each accepted edit must pass a full keygen-encap-decap known-answer test at all three security levels. For ML-DSA blocks, we construct per-block lockstep equivalence gates: the pristine module (renamed) and the candidate run side-by-side under identical stimulus, with every output compared every cycle, across security-level epochs with reset between.</w:t>
      </w:r>
    </w:p>
    <w:p>
      <w:pPr>
        <w:spacing w:after="120"/>
        <w:jc w:val="both"/>
      </w:pPr>
      <w:r>
        <w:rPr>
          <w:rFonts w:ascii="Times New Roman" w:cs="Times New Roman" w:eastAsia="Times New Roman" w:hAnsi="Times New Roman"/>
          <w:sz w:val="20"/>
          <w:szCs w:val="20"/>
        </w:rPr>
        <w:t xml:space="preserve">A gate is only as good as its stimulus, so gates themselves are validated by corruption before first use: a gate must FAIL a boundary corruption (e.g., a ≤ relaxed to &lt;) and a live-branch arithmetic corruption (e.g., +1 on a reachable branch). This protocol caught real coverage holes three times. Most consequentially, the first gate for the ML-DSA challenge generator (gen_c) passed a boundary corruption of its Fisher-Yates accept comparison — the equality case occurs with probability roughly 2^-8 per sample and never arose in short random runs — and was repaired by whitebox boundary injection before use. The very first autonomous edit proposed on that block was an unsound precompute of exactly that comparison; the repaired gate rejected it. An unvalidated gate would plausibly have accepted a functionally broken “win.”</w:t>
      </w:r>
    </w:p>
    <w:p>
      <w:pPr>
        <w:pStyle w:val="Heading2"/>
        <w:spacing w:after="100" w:before="180"/>
      </w:pPr>
      <w:r>
        <w:rPr>
          <w:rFonts w:ascii="Times New Roman" w:cs="Times New Roman" w:eastAsia="Times New Roman" w:hAnsi="Times New Roman"/>
          <w:b w:val="false"/>
          <w:bCs w:val="false"/>
          <w:i/>
          <w:iCs/>
          <w:sz w:val="20"/>
          <w:szCs w:val="20"/>
        </w:rPr>
        <w:t xml:space="preserve">C. The autonomous orchestrator</w:t>
      </w:r>
    </w:p>
    <w:p>
      <w:pPr>
        <w:spacing w:after="120"/>
        <w:jc w:val="both"/>
      </w:pPr>
      <w:r>
        <w:rPr>
          <w:rFonts w:ascii="Times New Roman" w:cs="Times New Roman" w:eastAsia="Times New Roman" w:hAnsi="Times New Roman"/>
          <w:sz w:val="20"/>
          <w:szCs w:val="20"/>
        </w:rPr>
        <w:t xml:space="preserve">The orchestrator closes the loop per block: extract paths, classify (logic- vs route-bound, depth), exclude strategies that previously regressed or failed the gate on this block, obtain the model’s proposal, apply under assertions, gate, synthesize, and accept or revert against a minimum-gain threshold, logging every outcome. Hardening added during the campaigns includes duplicate-edit refusal, closure of a strategy once accepted on a block, rounding-safe gain comparison, and distinguishing dead edits (netlist no-ops) from live-but-insufficient ones.</w:t>
      </w:r>
    </w:p>
    <w:p>
      <w:pPr>
        <w:pStyle w:val="Heading2"/>
        <w:spacing w:after="100" w:before="180"/>
      </w:pPr>
      <w:r>
        <w:rPr>
          <w:rFonts w:ascii="Times New Roman" w:cs="Times New Roman" w:eastAsia="Times New Roman" w:hAnsi="Times New Roman"/>
          <w:b w:val="false"/>
          <w:bCs w:val="false"/>
          <w:i/>
          <w:iCs/>
          <w:sz w:val="20"/>
          <w:szCs w:val="20"/>
        </w:rPr>
        <w:t xml:space="preserve">D. Validated transformation menu</w:t>
      </w:r>
    </w:p>
    <w:p>
      <w:pPr>
        <w:spacing w:after="120"/>
        <w:jc w:val="both"/>
      </w:pPr>
      <w:r>
        <w:rPr>
          <w:rFonts w:ascii="Times New Roman" w:cs="Times New Roman" w:eastAsia="Times New Roman" w:hAnsi="Times New Roman"/>
          <w:sz w:val="20"/>
          <w:szCs w:val="20"/>
        </w:rPr>
        <w:t xml:space="preserve">The menu encodes patterns validated across both designs: flag precompute (registering a comparison from pre-register inputs; the best-performing pattern, n=4 including HQC), constant-LUT collapse for small-domain arithmetic, sign-select for compare-then-conditional-subtract idioms, mux reduction of variable shifters only where the reachable shift-amount set is proven closed, and fanout limiting on source registers. Forbidden classes — latency changes, unpipelined DSP inference at sub-2 ns budgets, arithmetic-divide rewrites — encode documented failures.</w:t>
      </w:r>
    </w:p>
    <w:p>
      <w:pPr>
        <w:pStyle w:val="Heading1"/>
        <w:spacing w:after="120" w:before="240"/>
        <w:jc w:val="center"/>
      </w:pPr>
      <w:r>
        <w:rPr>
          <w:rFonts w:ascii="Times New Roman" w:cs="Times New Roman" w:eastAsia="Times New Roman" w:hAnsi="Times New Roman"/>
          <w:b/>
          <w:bCs/>
          <w:caps/>
          <w:sz w:val="20"/>
          <w:szCs w:val="20"/>
        </w:rPr>
        <w:t xml:space="preserve">IV. HQC Results</w:t>
      </w:r>
    </w:p>
    <w:p>
      <w:pPr>
        <w:spacing w:after="120"/>
        <w:jc w:val="both"/>
      </w:pPr>
      <w:r>
        <w:rPr>
          <w:rFonts w:ascii="Times New Roman" w:cs="Times New Roman" w:eastAsia="Times New Roman" w:hAnsi="Times New Roman"/>
          <w:sz w:val="20"/>
          <w:szCs w:val="20"/>
        </w:rPr>
        <w:t xml:space="preserve">Fifteen optimizations were verified on the Deshpande RTL, every one passing the KAT at HQC-128/192/256 and all latency-preserving. Key generation improved by up to 1.97 ns, reaching an effective Fmax of 196-198 MHz — within 1% of the 200 MHz target at all three security levels — for under 4% additional LUTs, zero DSPs, and a net reduction in block-RAM usage.</w:t>
      </w:r>
    </w:p>
    <w:p>
      <w:pPr>
        <w:spacing w:after="60" w:before="100"/>
        <w:jc w:val="center"/>
      </w:pPr>
      <w:r>
        <w:rPr>
          <w:rFonts w:ascii="Times New Roman" w:cs="Times New Roman" w:eastAsia="Times New Roman" w:hAnsi="Times New Roman"/>
          <w:sz w:val="18"/>
          <w:szCs w:val="18"/>
        </w:rPr>
        <w:t xml:space="preserve">TABLE I. HQC WNS (ns) versus pre-optimization baseline, Artix-7 OOC, 5.0 ns clock.</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900"/>
      </w:tblGrid>
      <w:tr>
        <w:tc>
          <w:tcPr>
            <w:tcW w:type="dxa" w:w="150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Operation</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Final</w:t>
            </w:r>
          </w:p>
        </w:tc>
        <w:tc>
          <w:tcPr>
            <w:tcW w:type="dxa" w:w="9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 (ns)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keygen-128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keygen-192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-1.165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-0.041</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keygen-256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-0.822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-0.084</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encap-128</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-1.317</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-0.685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encap-192</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-0.525</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encap-256</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-1.055</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-0.249</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0.81</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decap (all)</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-2.24</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-2.23</w:t>
            </w:r>
          </w:p>
        </w:tc>
        <w:tc>
          <w:tcPr>
            <w:tcW w:type="dxa" w:w="9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bl>
    <w:p>
      <w:pPr>
        <w:spacing w:after="120"/>
        <w:jc w:val="both"/>
      </w:pPr>
      <w:r>
        <w:rPr>
          <w:rFonts w:ascii="Times New Roman" w:cs="Times New Roman" w:eastAsia="Times New Roman" w:hAnsi="Times New Roman"/>
          <w:sz w:val="20"/>
          <w:szCs w:val="20"/>
        </w:rPr>
        <w:t xml:space="preserve"/>
      </w:r>
    </w:p>
    <w:p>
      <w:pPr>
        <w:spacing w:after="120"/>
        <w:jc w:val="both"/>
      </w:pPr>
      <w:r>
        <w:rPr>
          <w:rFonts w:ascii="Times New Roman" w:cs="Times New Roman" w:eastAsia="Times New Roman" w:hAnsi="Times New Roman"/>
          <w:sz w:val="20"/>
          <w:szCs w:val="20"/>
        </w:rPr>
        <w:t xml:space="preserve">After these transformations the remaining critical paths are no longer logic-depth-bound: they terminate at memory pins or traverse high-fanout broadcast nets (70-79% routing delay). The dominant decapsulation cluster reduces to two source registers crossing one module boundary, dominated by a single fanout-128 net — requiring floorplanning or boundary pipelining rather than RTL logic edits, and defining the boundary of the method.</w:t>
      </w:r>
    </w:p>
    <w:p>
      <w:pPr>
        <w:pStyle w:val="Heading1"/>
        <w:spacing w:after="120" w:before="240"/>
        <w:jc w:val="center"/>
      </w:pPr>
      <w:r>
        <w:rPr>
          <w:rFonts w:ascii="Times New Roman" w:cs="Times New Roman" w:eastAsia="Times New Roman" w:hAnsi="Times New Roman"/>
          <w:b/>
          <w:bCs/>
          <w:caps/>
          <w:sz w:val="20"/>
          <w:szCs w:val="20"/>
        </w:rPr>
        <w:t xml:space="preserve">V. ML-DSA Results: From Guided Edits to Autonomy</w:t>
      </w:r>
    </w:p>
    <w:p>
      <w:pPr>
        <w:pStyle w:val="Heading2"/>
        <w:spacing w:after="100" w:before="180"/>
      </w:pPr>
      <w:r>
        <w:rPr>
          <w:rFonts w:ascii="Times New Roman" w:cs="Times New Roman" w:eastAsia="Times New Roman" w:hAnsi="Times New Roman"/>
          <w:b w:val="false"/>
          <w:bCs w:val="false"/>
          <w:i/>
          <w:iCs/>
          <w:sz w:val="20"/>
          <w:szCs w:val="20"/>
        </w:rPr>
        <w:t xml:space="preserve">A. Guided block-level optimization</w:t>
      </w:r>
    </w:p>
    <w:p>
      <w:pPr>
        <w:spacing w:after="120"/>
        <w:jc w:val="both"/>
      </w:pPr>
      <w:r>
        <w:rPr>
          <w:rFonts w:ascii="Times New Roman" w:cs="Times New Roman" w:eastAsia="Times New Roman" w:hAnsi="Times New Roman"/>
          <w:sz w:val="20"/>
          <w:szCs w:val="20"/>
        </w:rPr>
        <w:t xml:space="preserve">Applying the same discipline to ML-DSA datapath blocks produced the block-level results of Table II. The makehint improvement (+2.878 ns, +51% effective Fmax) is the largest single-block gain of the project, achieved by flag precompute of the hint decision from pre-register inputs plus registered prefix sums.</w:t>
      </w:r>
    </w:p>
    <w:p>
      <w:pPr>
        <w:spacing w:after="60" w:before="100"/>
        <w:jc w:val="center"/>
      </w:pPr>
      <w:r>
        <w:rPr>
          <w:rFonts w:ascii="Times New Roman" w:cs="Times New Roman" w:eastAsia="Times New Roman" w:hAnsi="Times New Roman"/>
          <w:sz w:val="18"/>
          <w:szCs w:val="18"/>
        </w:rPr>
        <w:t xml:space="preserve">TABLE II. ML-DSA block-level WNS (ns), Artix-7 OOC, 5.0 ns clock. gen_c and decoder rows are fully autonomous results.</w:t>
      </w:r>
    </w:p>
    <w:tbl>
      <w:tblPr>
        <w:tblW w:type="dxa" w:w="51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500"/>
      </w:tblGrid>
      <w:tr>
        <w:tc>
          <w:tcPr>
            <w:tcW w:type="dxa" w:w="150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Block</w:t>
            </w:r>
          </w:p>
        </w:tc>
        <w:tc>
          <w:tcPr>
            <w:tcW w:type="dxa" w:w="10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 WNS</w:t>
            </w:r>
          </w:p>
        </w:tc>
        <w:tc>
          <w:tcPr>
            <w:tcW w:type="dxa" w:w="10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Final WNS</w:t>
            </w:r>
          </w:p>
        </w:tc>
        <w:tc>
          <w:tcPr>
            <w:tcW w:type="dxa" w:w="15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Principal transformation</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makehint</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-3.511</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-0.633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flag precompute + registered prefix sums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rejection_s</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-4.013</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-2.486</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16-entry constant-LUT collapse (-138 LUTs)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rejection_y</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-4.470</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-4.230</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sign-select + explicit shifter (-275 LUTs)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gen_c</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-5.233</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-5.029</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fanout limiting (autonomous)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decoder</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-4.806</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-4.756</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fanout limiting (autonomous)</w:t>
            </w:r>
          </w:p>
        </w:tc>
      </w:tr>
      <w:tr>
        <w:tc>
          <w:tcPr>
            <w:tcW w:type="dxa" w:w="15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usehint</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-2.542</w:t>
            </w:r>
          </w:p>
        </w:tc>
        <w:tc>
          <w:tcPr>
            <w:tcW w:type="dxa" w:w="10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-2.542</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 accepted (two unsound edits rejected)</w:t>
            </w:r>
          </w:p>
        </w:tc>
      </w:tr>
    </w:tbl>
    <w:p>
      <w:pPr>
        <w:spacing w:after="120"/>
        <w:jc w:val="both"/>
      </w:pPr>
      <w:r>
        <w:rPr>
          <w:rFonts w:ascii="Times New Roman" w:cs="Times New Roman" w:eastAsia="Times New Roman" w:hAnsi="Times New Roman"/>
          <w:sz w:val="20"/>
          <w:szCs w:val="20"/>
        </w:rPr>
        <w:t xml:space="preserve"/>
      </w:r>
    </w:p>
    <w:p>
      <w:pPr>
        <w:pStyle w:val="Heading2"/>
        <w:spacing w:after="100" w:before="180"/>
      </w:pPr>
      <w:r>
        <w:rPr>
          <w:rFonts w:ascii="Times New Roman" w:cs="Times New Roman" w:eastAsia="Times New Roman" w:hAnsi="Times New Roman"/>
          <w:b w:val="false"/>
          <w:bCs w:val="false"/>
          <w:i/>
          <w:iCs/>
          <w:sz w:val="20"/>
          <w:szCs w:val="20"/>
        </w:rPr>
        <w:t xml:space="preserve">B. Autonomous validation and new-target campaigns</w:t>
      </w:r>
    </w:p>
    <w:p>
      <w:pPr>
        <w:spacing w:after="120"/>
        <w:jc w:val="both"/>
      </w:pPr>
      <w:r>
        <w:rPr>
          <w:rFonts w:ascii="Times New Roman" w:cs="Times New Roman" w:eastAsia="Times New Roman" w:hAnsi="Times New Roman"/>
          <w:sz w:val="20"/>
          <w:szCs w:val="20"/>
        </w:rPr>
        <w:t xml:space="preserve">The orchestrator was first validated by re-derivation: pointed at pristine makehint RTL with no knowledge of the hand-guided solution, it independently proposed the same flag-precompute transformation — including correct resolution of the security-level-dependent GAMMA2 constant from pre-register inputs — and landed within 7 ps of the hand-derived result (-0.640 vs -0.633 ns), equivalence-verified over 45,000 cycles.</w:t>
      </w:r>
    </w:p>
    <w:p>
      <w:pPr>
        <w:spacing w:after="120"/>
        <w:jc w:val="both"/>
      </w:pPr>
      <w:r>
        <w:rPr>
          <w:rFonts w:ascii="Times New Roman" w:cs="Times New Roman" w:eastAsia="Times New Roman" w:hAnsi="Times New Roman"/>
          <w:sz w:val="20"/>
          <w:szCs w:val="20"/>
        </w:rPr>
        <w:t xml:space="preserve">On previously untouched blocks the agent produced the gen_c and decoder improvements of Table II with no human target, strategy, or edit selection, and — equally important — produced the correct rejections: two unsound flag-precompute proposals (both instances of the same-cycle-consumption trap, in which a decision’s consumers update as functions of that decision in the same cycle) were caught by the equivalence gates; one gate-legal edit that regressed timing by 0.621 ns was caught by measurement and reverted; dead edits and byte-identical retries were refused. The complete outcome taxonomy — accepted, gate-illegal, gate-legal-but-harmful, dead, marginal, and no-action — was exercised autonomously.</w:t>
      </w:r>
    </w:p>
    <w:p>
      <w:pPr>
        <w:pStyle w:val="Heading1"/>
        <w:spacing w:after="120" w:before="240"/>
        <w:jc w:val="center"/>
      </w:pPr>
      <w:r>
        <w:rPr>
          <w:rFonts w:ascii="Times New Roman" w:cs="Times New Roman" w:eastAsia="Times New Roman" w:hAnsi="Times New Roman"/>
          <w:b/>
          <w:bCs/>
          <w:caps/>
          <w:sz w:val="20"/>
          <w:szCs w:val="20"/>
        </w:rPr>
        <w:t xml:space="preserve">VI. Composition Study</w:t>
      </w:r>
    </w:p>
    <w:p>
      <w:pPr>
        <w:spacing w:after="120"/>
        <w:jc w:val="both"/>
      </w:pPr>
      <w:r>
        <w:rPr>
          <w:rFonts w:ascii="Times New Roman" w:cs="Times New Roman" w:eastAsia="Times New Roman" w:hAnsi="Times New Roman"/>
          <w:sz w:val="20"/>
          <w:szCs w:val="20"/>
        </w:rPr>
        <w:t xml:space="preserve">Block-level wins matter only if they survive composition into enclosing modules. We synthesized each sampler wrapper with pristine versus optimized rejection cores (Table III). The structural rewrites transfer intact: sampler_s reproduces the block-level delta exactly, and sampler_y’s LUT saving grows in composition. The fanout-attribute optimization inverts: rejection_a’s +0.076 ns block-level gain became a -0.446 ns, +126 LUT composite regression, and the tracked source was reverted to pristine. We conclude that structural rewrites compose while forced-replication attributes are context-sensitive and must be re-validated at the composition level before being kept.</w:t>
      </w:r>
    </w:p>
    <w:p>
      <w:pPr>
        <w:spacing w:after="60" w:before="100"/>
        <w:jc w:val="center"/>
      </w:pPr>
      <w:r>
        <w:rPr>
          <w:rFonts w:ascii="Times New Roman" w:cs="Times New Roman" w:eastAsia="Times New Roman" w:hAnsi="Times New Roman"/>
          <w:sz w:val="18"/>
          <w:szCs w:val="18"/>
        </w:rPr>
        <w:t xml:space="preserve">TABLE III. Sampler composites: pristine vs optimized rejection cores.</w:t>
      </w:r>
    </w:p>
    <w:tbl>
      <w:tblPr>
        <w:tblW w:type="dxa" w:w="585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450"/>
        <w:gridCol w:w="1500"/>
      </w:tblGrid>
      <w:tr>
        <w:tc>
          <w:tcPr>
            <w:tcW w:type="dxa" w:w="1450"/>
            <w:shd w:fill="E8E8E8"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Composite</w:t>
            </w:r>
          </w:p>
        </w:tc>
        <w:tc>
          <w:tcPr>
            <w:tcW w:type="dxa" w:w="14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Pristine WNS / LUTs</w:t>
            </w:r>
          </w:p>
        </w:tc>
        <w:tc>
          <w:tcPr>
            <w:tcW w:type="dxa" w:w="145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Optimized WNS / LUTs</w:t>
            </w:r>
          </w:p>
        </w:tc>
        <w:tc>
          <w:tcPr>
            <w:tcW w:type="dxa" w:w="15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Δ</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sampler_s</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-4.013 / 1667</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-2.486 / 1529</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+1.527 ns, -138 LUTs</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sampler_y</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-4.470 / 1769</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-4.230 / 1483</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+0.240 ns, -286 LUTs</w:t>
            </w:r>
          </w:p>
        </w:tc>
      </w:tr>
      <w:tr>
        <w:tc>
          <w:tcPr>
            <w:tcW w:type="dxa" w:w="145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sampler_a</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-2.891 / 932</w:t>
            </w:r>
          </w:p>
        </w:tc>
        <w:tc>
          <w:tcPr>
            <w:tcW w:type="dxa" w:w="145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-3.337 / 1058</w:t>
            </w:r>
          </w:p>
        </w:tc>
        <w:tc>
          <w:tcPr>
            <w:tcW w:type="dxa" w:w="15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-0.446 ns, +126 LUTs (inverted)</w:t>
            </w:r>
          </w:p>
        </w:tc>
      </w:tr>
    </w:tbl>
    <w:p>
      <w:pPr>
        <w:spacing w:after="120"/>
        <w:jc w:val="both"/>
      </w:pPr>
      <w:r>
        <w:rPr>
          <w:rFonts w:ascii="Times New Roman" w:cs="Times New Roman" w:eastAsia="Times New Roman" w:hAnsi="Times New Roman"/>
          <w:sz w:val="20"/>
          <w:szCs w:val="20"/>
        </w:rPr>
        <w:t xml:space="preserve"/>
      </w:r>
    </w:p>
    <w:p>
      <w:pPr>
        <w:pStyle w:val="Heading1"/>
        <w:spacing w:after="120" w:before="240"/>
        <w:jc w:val="center"/>
      </w:pPr>
      <w:r>
        <w:rPr>
          <w:rFonts w:ascii="Times New Roman" w:cs="Times New Roman" w:eastAsia="Times New Roman" w:hAnsi="Times New Roman"/>
          <w:b/>
          <w:bCs/>
          <w:caps/>
          <w:sz w:val="20"/>
          <w:szCs w:val="20"/>
        </w:rPr>
        <w:t xml:space="preserve">VII. Discussion, Negative Results, and Boundary</w:t>
      </w:r>
    </w:p>
    <w:p>
      <w:pPr>
        <w:spacing w:after="120"/>
        <w:jc w:val="both"/>
      </w:pPr>
      <w:r>
        <w:rPr>
          <w:rFonts w:ascii="Times New Roman" w:cs="Times New Roman" w:eastAsia="Times New Roman" w:hAnsi="Times New Roman"/>
          <w:sz w:val="20"/>
          <w:szCs w:val="20"/>
        </w:rPr>
        <w:t xml:space="preserve">Negative results are reported as evidence throughout: a hand-crafted pipeline split that was equivalence-correct but synthesized worse; a decode ladder (usehint) and a barrel-shift cone (decoder) on which no strategy in the current validated menu applies, logged as guided-restructuring leads; a shifter whose all-256 reachable shift amounts are load-bearing overflow states, making mux reduction impossible (rejection_a); and the placement-bound residual cones of both designs. These boundaries are as reusable as the wins: they tell the next agent — or the next engineer — where RTL-level edits stop paying.</w:t>
      </w:r>
    </w:p>
    <w:p>
      <w:pPr>
        <w:spacing w:after="120"/>
        <w:jc w:val="both"/>
      </w:pPr>
      <w:r>
        <w:rPr>
          <w:rFonts w:ascii="Times New Roman" w:cs="Times New Roman" w:eastAsia="Times New Roman" w:hAnsi="Times New Roman"/>
          <w:sz w:val="20"/>
          <w:szCs w:val="20"/>
        </w:rPr>
        <w:t xml:space="preserve">[PLACEHOLDER: 1-2 paragraphs on ASIC retargeting plans (Genus flow) and threats to validity — pending direction from advisor meeting.]</w:t>
      </w:r>
    </w:p>
    <w:p>
      <w:pPr>
        <w:pStyle w:val="Heading1"/>
        <w:spacing w:after="120" w:before="240"/>
        <w:jc w:val="center"/>
      </w:pPr>
      <w:r>
        <w:rPr>
          <w:rFonts w:ascii="Times New Roman" w:cs="Times New Roman" w:eastAsia="Times New Roman" w:hAnsi="Times New Roman"/>
          <w:b/>
          <w:bCs/>
          <w:caps/>
          <w:sz w:val="20"/>
          <w:szCs w:val="20"/>
        </w:rPr>
        <w:t xml:space="preserve">VIII. Conclusion</w:t>
      </w:r>
    </w:p>
    <w:p>
      <w:pPr>
        <w:spacing w:after="120"/>
        <w:jc w:val="both"/>
      </w:pPr>
      <w:r>
        <w:rPr>
          <w:rFonts w:ascii="Times New Roman" w:cs="Times New Roman" w:eastAsia="Times New Roman" w:hAnsi="Times New Roman"/>
          <w:sz w:val="20"/>
          <w:szCs w:val="20"/>
        </w:rPr>
        <w:t xml:space="preserve">We demonstrated that an LLM can drive cryptographic RTL timing optimization when, and only when, it is structurally untrusted: correctness enforced by corruption-validated gates, application enforced by assertion-gated typed edits, and acceptance enforced by measurement. The methodology progressed from fifteen KAT-verified HQC optimizations to an autonomous agent that re-derives known wins, finds new ones, and — most tellingly — rejects its own unsound proposals. All code, gates, findings, and complete flight logs (including every refusal, dead edit, and regression) are open.</w:t>
      </w:r>
    </w:p>
    <w:p>
      <w:pPr>
        <w:pStyle w:val="Heading1"/>
        <w:spacing w:after="120" w:before="240"/>
        <w:jc w:val="center"/>
      </w:pPr>
      <w:r>
        <w:rPr>
          <w:rFonts w:ascii="Times New Roman" w:cs="Times New Roman" w:eastAsia="Times New Roman" w:hAnsi="Times New Roman"/>
          <w:b/>
          <w:bCs/>
          <w:caps/>
          <w:sz w:val="20"/>
          <w:szCs w:val="20"/>
        </w:rPr>
        <w:t xml:space="preserve">References</w:t>
      </w:r>
    </w:p>
    <w:p>
      <w:pPr>
        <w:spacing w:after="120"/>
        <w:jc w:val="both"/>
      </w:pPr>
      <w:r>
        <w:rPr>
          <w:rFonts w:ascii="Times New Roman" w:cs="Times New Roman" w:eastAsia="Times New Roman" w:hAnsi="Times New Roman"/>
          <w:sz w:val="20"/>
          <w:szCs w:val="20"/>
        </w:rPr>
        <w:t xml:space="preserve">[1] S. Deshpande, C. Xu, M. Nawan, K. Nawaz, and J. Szefer, “Fast and Efficient Hardware Implementation of HQC,” in Selected Areas in Cryptography (SAC), 2023.</w:t>
      </w:r>
    </w:p>
    <w:p>
      <w:pPr>
        <w:spacing w:after="120"/>
        <w:jc w:val="both"/>
      </w:pPr>
      <w:r>
        <w:rPr>
          <w:rFonts w:ascii="Times New Roman" w:cs="Times New Roman" w:eastAsia="Times New Roman" w:hAnsi="Times New Roman"/>
          <w:sz w:val="20"/>
          <w:szCs w:val="20"/>
        </w:rPr>
        <w:t xml:space="preserve">[2] G. De Micheli, Synthesis and Optimization of Digital Circuits. McGraw-Hill, 1994.</w:t>
      </w:r>
    </w:p>
    <w:p>
      <w:pPr>
        <w:spacing w:after="120"/>
        <w:jc w:val="both"/>
      </w:pPr>
      <w:r>
        <w:rPr>
          <w:rFonts w:ascii="Times New Roman" w:cs="Times New Roman" w:eastAsia="Times New Roman" w:hAnsi="Times New Roman"/>
          <w:sz w:val="20"/>
          <w:szCs w:val="20"/>
        </w:rPr>
        <w:t xml:space="preserve">[3] NIST, “Post-Quantum Cryptography Standardization,” selection of HQC as a backup KEM, 2025.</w:t>
      </w:r>
    </w:p>
    <w:p>
      <w:pPr>
        <w:spacing w:after="120"/>
        <w:jc w:val="both"/>
      </w:pPr>
      <w:r>
        <w:rPr>
          <w:rFonts w:ascii="Times New Roman" w:cs="Times New Roman" w:eastAsia="Times New Roman" w:hAnsi="Times New Roman"/>
          <w:sz w:val="20"/>
          <w:szCs w:val="20"/>
        </w:rPr>
        <w:t xml:space="preserve">[4] L. Beckwith, D. T. Nguyen, and K. Gaj, “High-Performance Hardware Implementation of CRYSTALS-Dilithium,” Cryptology ePrint Archive 2021/1451, 2021.</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2026-07-11T04:01:56.809Z</dcterms:created>
  <dcterms:modified xsi:type="dcterms:W3CDTF">2026-07-11T04:01:56.820Z</dcterms:modified>
</cp:coreProperties>
</file>

<file path=docProps/custom.xml><?xml version="1.0" encoding="utf-8"?>
<Properties xmlns="http://schemas.openxmlformats.org/officeDocument/2006/custom-properties" xmlns:vt="http://schemas.openxmlformats.org/officeDocument/2006/docPropsVTypes"/>
</file>