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71" w:rsidRDefault="00813A71">
      <w:r>
        <w:t>Writing QE</w:t>
      </w:r>
    </w:p>
    <w:p w:rsidR="00813A71" w:rsidRDefault="00813A71">
      <w:r>
        <w:t>Rationale:</w:t>
      </w:r>
    </w:p>
    <w:p w:rsidR="00813A71" w:rsidRDefault="00813A71">
      <w:r>
        <w:t>Why are we and what will we get?</w:t>
      </w:r>
    </w:p>
    <w:p w:rsidR="00813A71" w:rsidRDefault="00813A71">
      <w:r>
        <w:t>Hypothesis:</w:t>
      </w:r>
    </w:p>
    <w:p w:rsidR="00813A71" w:rsidRDefault="00813A71">
      <w:r>
        <w:t>Experiment:</w:t>
      </w:r>
    </w:p>
    <w:p w:rsidR="00813A71" w:rsidRDefault="00813A71">
      <w:r>
        <w:t>Expected Results:</w:t>
      </w:r>
    </w:p>
    <w:p w:rsidR="00813A71" w:rsidRDefault="00813A71">
      <w:r>
        <w:t>Anticipated challenges and alternative methods:</w:t>
      </w:r>
    </w:p>
    <w:p w:rsidR="008F4C56" w:rsidRDefault="008F4C56"/>
    <w:p w:rsidR="008F4C56" w:rsidRDefault="008F4C56"/>
    <w:p w:rsidR="008F4C56" w:rsidRDefault="008F4C56">
      <w:r>
        <w:t>OVERALL HYPOTHESIS</w:t>
      </w:r>
    </w:p>
    <w:p w:rsidR="001C20DE" w:rsidRPr="00F94183" w:rsidRDefault="001C20DE" w:rsidP="001C20DE">
      <w:r w:rsidRPr="001C20DE">
        <w:t xml:space="preserve">There is a bloom of </w:t>
      </w:r>
      <w:proofErr w:type="spellStart"/>
      <w:r w:rsidRPr="001C20DE">
        <w:t>uropathogenic</w:t>
      </w:r>
      <w:proofErr w:type="spellEnd"/>
      <w:r w:rsidRPr="001C20DE">
        <w:t xml:space="preserve"> </w:t>
      </w:r>
      <w:r w:rsidRPr="001C20DE">
        <w:rPr>
          <w:i/>
          <w:iCs/>
        </w:rPr>
        <w:t xml:space="preserve">E. coli </w:t>
      </w:r>
      <w:r w:rsidRPr="001C20DE">
        <w:t>in the gut that coincides with the onset of a UTI</w:t>
      </w:r>
      <w:r w:rsidR="00F94183">
        <w:t>.</w:t>
      </w:r>
    </w:p>
    <w:p w:rsidR="00813A71" w:rsidRDefault="00813A71"/>
    <w:p w:rsidR="00993A7A" w:rsidRPr="00993A7A" w:rsidRDefault="00993A7A" w:rsidP="00993A7A">
      <w:pPr>
        <w:pStyle w:val="ListParagraph"/>
        <w:numPr>
          <w:ilvl w:val="0"/>
          <w:numId w:val="1"/>
        </w:numPr>
      </w:pPr>
      <w:r>
        <w:t>Compare the</w:t>
      </w:r>
      <w:r w:rsidRPr="00993A7A">
        <w:t xml:space="preserve"> community structure of the gut </w:t>
      </w:r>
      <w:proofErr w:type="spellStart"/>
      <w:r w:rsidRPr="00993A7A">
        <w:t>microbiot</w:t>
      </w:r>
      <w:r w:rsidR="003D4388">
        <w:t>a</w:t>
      </w:r>
      <w:proofErr w:type="spellEnd"/>
      <w:r w:rsidR="003D4388">
        <w:t xml:space="preserve"> during UTI and after recovery.</w:t>
      </w:r>
    </w:p>
    <w:p w:rsidR="00053435" w:rsidRDefault="00053435" w:rsidP="00053435">
      <w:pPr>
        <w:pStyle w:val="ListParagraph"/>
        <w:numPr>
          <w:ilvl w:val="1"/>
          <w:numId w:val="1"/>
        </w:numPr>
      </w:pPr>
      <w:r>
        <w:t>Rationale</w:t>
      </w:r>
    </w:p>
    <w:p w:rsidR="004F7112" w:rsidRDefault="004F7112" w:rsidP="00053435">
      <w:pPr>
        <w:pStyle w:val="ListParagraph"/>
        <w:numPr>
          <w:ilvl w:val="2"/>
          <w:numId w:val="1"/>
        </w:numPr>
      </w:pPr>
      <w:r>
        <w:t xml:space="preserve">Gut, skin, and </w:t>
      </w:r>
      <w:r w:rsidR="00053435">
        <w:t xml:space="preserve">vaginal </w:t>
      </w:r>
      <w:proofErr w:type="spellStart"/>
      <w:r w:rsidR="00053435">
        <w:t>microbiome</w:t>
      </w:r>
      <w:proofErr w:type="spellEnd"/>
      <w:r w:rsidR="00053435">
        <w:t xml:space="preserve"> is generally stable generally stable through t</w:t>
      </w:r>
      <w:r w:rsidR="00AB5B70">
        <w:t xml:space="preserve">ime </w:t>
      </w:r>
      <w:r>
        <w:fldChar w:fldCharType="begin"/>
      </w:r>
      <w:r w:rsidR="00AC1010">
        <w:instrText xml:space="preserve"> ADDIN PAPERS2_CITATIONS &lt;citation&gt;&lt;uuid&gt;8B190DC1-1D9D-4DB5-8FD3-AA3B5DDD86CD&lt;/uuid&gt;&lt;priority&gt;0&lt;/priority&gt;&lt;publications&gt;&lt;publication&gt;&lt;uuid&gt;3E404179-4BDF-4C62-96A6-6EECA89E4B05&lt;/uuid&gt;&lt;volume&gt;486&lt;/volume&gt;&lt;doi&gt;10.1038/nature11209&lt;/doi&gt;&lt;startpage&gt;215&lt;/startpage&gt;&lt;publication_date&gt;99201206141200000000222000&lt;/publication_date&gt;&lt;url&gt;http://dx.doi.org/10.1038/nature11209&lt;/url&gt;&lt;type&gt;400&lt;/type&gt;&lt;title&gt;A framework for human microbiome research&lt;/title&gt;&lt;publisher&gt;Nature Publishing Group&lt;/publisher&gt;&lt;number&gt;7402&lt;/number&gt;&lt;subtype&gt;400&lt;/subtype&gt;&lt;endpage&gt;221&lt;/endpage&gt;&lt;bundle&gt;&lt;publication&gt;&lt;publisher&gt;Nature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gt;&lt;uuid&gt;E0F653FB-4F4F-44F1-99DF-0C12F7153DE1&lt;/uuid&gt;&lt;volume&gt;493&lt;/volume&gt;&lt;doi&gt;10.1038/nature11711&lt;/doi&gt;&lt;startpage&gt;45&lt;/startpage&gt;&lt;publication_date&gt;99201212051200000000222000&lt;/publication_date&gt;&lt;url&gt;http://www.nature.com/doifinder/10.1038/nature11711&lt;/url&gt;&lt;type&gt;400&lt;/type&gt;&lt;title&gt;Genomic variation landscape of the human gut microbiome&lt;/title&gt;&lt;publisher&gt;Nature Publishing Group&lt;/publisher&gt;&lt;number&gt;7430&lt;/number&gt;&lt;subtype&gt;400&lt;/subtype&gt;&lt;endpage&gt;50&lt;/endpage&gt;&lt;bundle&gt;&lt;publication&gt;&lt;publisher&gt;Nature Publishing Group&lt;/publisher&gt;&lt;title&gt;Nature&lt;/title&gt;&lt;type&gt;-100&lt;/type&gt;&lt;subtype&gt;-100&lt;/subtype&gt;&lt;uuid&gt;9BF1FF41-3E20-4A07-BF35-6973C3395E5D&lt;/uuid&gt;&lt;/publication&gt;&lt;/bundle&gt;&lt;authors&gt;&lt;author&gt;&lt;firstName&gt;Siegfried&lt;/firstName&gt;&lt;lastName&gt;Schloissnig&lt;/lastName&gt;&lt;/author&gt;&lt;author&gt;&lt;firstName&gt;Manimozhiyan&lt;/firstName&gt;&lt;lastName&gt;Arumugam&lt;/lastName&gt;&lt;/author&gt;&lt;author&gt;&lt;firstName&gt;Shinichi&lt;/firstName&gt;&lt;lastName&gt;Sunagawa&lt;/lastName&gt;&lt;/author&gt;&lt;author&gt;&lt;firstName&gt;Makedonka&lt;/firstName&gt;&lt;lastName&gt;Mitreva&lt;/lastName&gt;&lt;/author&gt;&lt;author&gt;&lt;firstName&gt;Julien&lt;/firstName&gt;&lt;lastName&gt;Tap&lt;/lastName&gt;&lt;/author&gt;&lt;author&gt;&lt;firstName&gt;Ana&lt;/firstName&gt;&lt;lastName&gt;Zhu&lt;/lastName&gt;&lt;/author&gt;&lt;author&gt;&lt;firstName&gt;Alison&lt;/firstName&gt;&lt;lastName&gt;Waller&lt;/lastName&gt;&lt;/author&gt;&lt;author&gt;&lt;firstName&gt;Daniel&lt;/firstName&gt;&lt;middleNames&gt;R&lt;/middleNames&gt;&lt;lastName&gt;Mende&lt;/lastName&gt;&lt;/author&gt;&lt;author&gt;&lt;firstName&gt;Jens&lt;/firstName&gt;&lt;middleNames&gt;Roat&lt;/middleNames&gt;&lt;lastName&gt;Kultima&lt;/lastName&gt;&lt;/author&gt;&lt;author&gt;&lt;firstName&gt;John&lt;/firstName&gt;&lt;lastName&gt;Martin&lt;/lastName&gt;&lt;/author&gt;&lt;author&gt;&lt;firstName&gt;Karthik&lt;/firstName&gt;&lt;lastName&gt;Kota&lt;/lastName&gt;&lt;/author&gt;&lt;author&gt;&lt;firstName&gt;Shamil&lt;/firstName&gt;&lt;middleNames&gt;R&lt;/middleNames&gt;&lt;lastName&gt;Sunyaev&lt;/lastName&gt;&lt;/author&gt;&lt;author&gt;&lt;firstName&gt;George&lt;/firstName&gt;&lt;middleNames&gt;M&lt;/middleNames&gt;&lt;lastName&gt;Weinstock&lt;/lastName&gt;&lt;/author&gt;&lt;author&gt;&lt;firstName&gt;Peer&lt;/firstName&gt;&lt;lastName&gt;Bork&lt;/lastName&gt;&lt;/author&gt;&lt;/authors&gt;&lt;/publication&gt;&lt;/publications&gt;&lt;cites&gt;&lt;/cites&gt;&lt;/citation&gt;</w:instrText>
      </w:r>
      <w:r>
        <w:fldChar w:fldCharType="separate"/>
      </w:r>
      <w:r>
        <w:rPr>
          <w:rFonts w:ascii="Cambria" w:hAnsi="Cambria" w:cs="Cambria"/>
        </w:rPr>
        <w:t>{Consortium:2012iz, Schloissnig:2012hx}</w:t>
      </w:r>
      <w:r>
        <w:fldChar w:fldCharType="end"/>
      </w:r>
      <w:r>
        <w:t>.</w:t>
      </w:r>
    </w:p>
    <w:p w:rsidR="008F4C56" w:rsidRDefault="004F7112" w:rsidP="00053435">
      <w:pPr>
        <w:pStyle w:val="ListParagraph"/>
        <w:numPr>
          <w:ilvl w:val="2"/>
          <w:numId w:val="1"/>
        </w:numPr>
      </w:pPr>
      <w:r>
        <w:t xml:space="preserve">Changes in the gut </w:t>
      </w:r>
      <w:proofErr w:type="spellStart"/>
      <w:r>
        <w:t>microbiota</w:t>
      </w:r>
      <w:proofErr w:type="spellEnd"/>
      <w:r>
        <w:t xml:space="preserve"> have been observed in pregnant women</w:t>
      </w:r>
      <w:r>
        <w:fldChar w:fldCharType="begin"/>
      </w:r>
      <w:r w:rsidR="00C90670">
        <w:instrText xml:space="preserve"> ADDIN PAPERS2_CITATIONS &lt;citation&gt;&lt;uuid&gt;671B4466-9ECC-4D04-BE5C-8B76E8CD1DEE&lt;/uuid&gt;&lt;priority&gt;1&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fldChar w:fldCharType="separate"/>
      </w:r>
      <w:r>
        <w:rPr>
          <w:rFonts w:ascii="Cambria" w:hAnsi="Cambria" w:cs="Cambria"/>
        </w:rPr>
        <w:t>{Koren:2012ji}</w:t>
      </w:r>
      <w:r>
        <w:fldChar w:fldCharType="end"/>
      </w:r>
      <w:r>
        <w:t xml:space="preserve">, a population of women who are prone to </w:t>
      </w:r>
      <w:proofErr w:type="spellStart"/>
      <w:r>
        <w:t>UTIs</w:t>
      </w:r>
      <w:proofErr w:type="spellEnd"/>
      <w:r w:rsidR="008F4C56">
        <w:fldChar w:fldCharType="begin"/>
      </w:r>
      <w:r w:rsidR="00C90670">
        <w:instrText xml:space="preserve"> ADDIN PAPERS2_CITATIONS &lt;citation&gt;&lt;uuid&gt;25D60382-5127-4023-9C6E-86E66249E4FE&lt;/uuid&gt;&lt;priority&gt;2&lt;/priority&gt;&lt;publications&gt;&lt;publication&gt;&lt;uuid&gt;58FF5157-1EE5-4F1F-9287-A7213E0BC50F&lt;/uuid&gt;&lt;volume&gt;32&lt;/volume&gt;&lt;doi&gt;10.3109/01443615.2011.635227&lt;/doi&gt;&lt;startpage&gt;109&lt;/startpage&gt;&lt;publication_date&gt;99201202001200000000220000&lt;/publication_date&gt;&lt;url&gt;http://eutils.ncbi.nlm.nih.gov/entrez/eutils/elink.fcgi?dbfrom=pubmed&amp;amp;id=22296415&amp;amp;retmode=ref&amp;amp;cmd=prlinks&lt;/url&gt;&lt;type&gt;400&lt;/type&gt;&lt;title&gt;Urogynaecological problems in pregnancy.&lt;/title&gt;&lt;institution&gt;Department of Obstetrics and Gynaecology, Mid-Essex Hospital NHS Trust, Chelmsford, UK. hannahlaw1@hotmail.com&lt;/institution&gt;&lt;number&gt;2&lt;/number&gt;&lt;subtype&gt;400&lt;/subtype&gt;&lt;endpage&gt;112&lt;/endpage&gt;&lt;bundle&gt;&lt;publication&gt;&lt;title&gt;Journal of obstetrics and gynaecology : the journal of the Institute of Obstetrics and Gynaecology&lt;/title&gt;&lt;type&gt;-100&lt;/type&gt;&lt;subtype&gt;-100&lt;/subtype&gt;&lt;uuid&gt;AD757C8A-AAC3-41C0-B163-FAEAD0D4B9B9&lt;/uuid&gt;&lt;/publication&gt;&lt;/bundle&gt;&lt;authors&gt;&lt;author&gt;&lt;firstName&gt;H&lt;/firstName&gt;&lt;lastName&gt;Law&lt;/lastName&gt;&lt;/author&gt;&lt;author&gt;&lt;firstName&gt;P&lt;/firstName&gt;&lt;lastName&gt;Fiadjoe&lt;/lastName&gt;&lt;/author&gt;&lt;/authors&gt;&lt;/publication&gt;&lt;/publications&gt;&lt;cites&gt;&lt;/cites&gt;&lt;/citation&gt;</w:instrText>
      </w:r>
      <w:r w:rsidR="008F4C56">
        <w:fldChar w:fldCharType="separate"/>
      </w:r>
      <w:r w:rsidR="008F4C56">
        <w:rPr>
          <w:rFonts w:ascii="Cambria" w:hAnsi="Cambria" w:cs="Cambria"/>
        </w:rPr>
        <w:t>{Law:2012jr}</w:t>
      </w:r>
      <w:r w:rsidR="008F4C56">
        <w:fldChar w:fldCharType="end"/>
      </w:r>
      <w:r w:rsidR="008F4C56">
        <w:t>.</w:t>
      </w:r>
    </w:p>
    <w:p w:rsidR="00F94183" w:rsidRDefault="008F4C56" w:rsidP="00053435">
      <w:pPr>
        <w:pStyle w:val="ListParagraph"/>
        <w:numPr>
          <w:ilvl w:val="2"/>
          <w:numId w:val="1"/>
        </w:numPr>
      </w:pPr>
      <w:r>
        <w:t xml:space="preserve">Changes </w:t>
      </w:r>
      <w:r w:rsidR="00F94183">
        <w:t xml:space="preserve">in the </w:t>
      </w:r>
      <w:proofErr w:type="spellStart"/>
      <w:r w:rsidR="00F94183">
        <w:t>periurethral</w:t>
      </w:r>
      <w:proofErr w:type="spellEnd"/>
      <w:r w:rsidR="00F94183">
        <w:t xml:space="preserve"> prevalence of </w:t>
      </w:r>
      <w:r w:rsidR="00F94183">
        <w:rPr>
          <w:i/>
        </w:rPr>
        <w:t>E. coli</w:t>
      </w:r>
      <w:r w:rsidR="00F94183">
        <w:t xml:space="preserve"> indicate that changes in human </w:t>
      </w:r>
      <w:proofErr w:type="spellStart"/>
      <w:r w:rsidR="00F94183">
        <w:t>microbiota</w:t>
      </w:r>
      <w:proofErr w:type="spellEnd"/>
      <w:r w:rsidR="00F94183">
        <w:t xml:space="preserve"> accompany the onset of UTI.</w:t>
      </w:r>
    </w:p>
    <w:p w:rsidR="00F94183" w:rsidRDefault="00F94183" w:rsidP="00F94183">
      <w:pPr>
        <w:pStyle w:val="ListParagraph"/>
        <w:numPr>
          <w:ilvl w:val="1"/>
          <w:numId w:val="1"/>
        </w:numPr>
      </w:pPr>
      <w:r>
        <w:t>Hypothesis</w:t>
      </w:r>
    </w:p>
    <w:p w:rsidR="00AC1010" w:rsidRDefault="00F94183" w:rsidP="00F94183">
      <w:pPr>
        <w:pStyle w:val="ListParagraph"/>
        <w:numPr>
          <w:ilvl w:val="2"/>
          <w:numId w:val="1"/>
        </w:numPr>
      </w:pPr>
      <w:r>
        <w:t xml:space="preserve">There is a greater representation of </w:t>
      </w:r>
      <w:r>
        <w:rPr>
          <w:i/>
        </w:rPr>
        <w:t>E. coli</w:t>
      </w:r>
      <w:r>
        <w:t xml:space="preserve"> in the gut </w:t>
      </w:r>
      <w:proofErr w:type="spellStart"/>
      <w:r>
        <w:t>microbiota</w:t>
      </w:r>
      <w:proofErr w:type="spellEnd"/>
      <w:r w:rsidR="00AC1010">
        <w:t xml:space="preserve"> of a patient at the onset of a UTI than at times when the patient is healthy.</w:t>
      </w:r>
    </w:p>
    <w:p w:rsidR="00AC1010" w:rsidRDefault="00AC1010" w:rsidP="00AC1010">
      <w:pPr>
        <w:pStyle w:val="ListParagraph"/>
        <w:numPr>
          <w:ilvl w:val="1"/>
          <w:numId w:val="1"/>
        </w:numPr>
      </w:pPr>
      <w:r>
        <w:t>Experimental methods</w:t>
      </w:r>
    </w:p>
    <w:p w:rsidR="00AC1010" w:rsidRDefault="00A02E2B" w:rsidP="00AC1010">
      <w:pPr>
        <w:pStyle w:val="ListParagraph"/>
        <w:numPr>
          <w:ilvl w:val="2"/>
          <w:numId w:val="1"/>
        </w:numPr>
      </w:pPr>
      <w:r>
        <w:t xml:space="preserve">Genomic DNA from the fecal samples collected from cohort will be extracted following the protocols of </w:t>
      </w:r>
      <w:proofErr w:type="spellStart"/>
      <w:r w:rsidR="000D4643">
        <w:t>Methe</w:t>
      </w:r>
      <w:proofErr w:type="spellEnd"/>
      <w:r>
        <w:t xml:space="preserve"> </w:t>
      </w:r>
      <w:r>
        <w:rPr>
          <w:i/>
        </w:rPr>
        <w:t xml:space="preserve">et al. </w:t>
      </w:r>
      <w:r w:rsidR="000D4643">
        <w:t>(2012</w:t>
      </w:r>
      <w:r>
        <w:t>).   These extracts will be used as template in the a</w:t>
      </w:r>
      <w:r w:rsidR="00AC1010">
        <w:t xml:space="preserve">mplification of the V3-V5 regions of the 16S </w:t>
      </w:r>
      <w:proofErr w:type="spellStart"/>
      <w:r w:rsidR="00AC1010">
        <w:t>rRNA</w:t>
      </w:r>
      <w:proofErr w:type="spellEnd"/>
      <w:r w:rsidR="00AC1010">
        <w:t xml:space="preserve"> gene</w:t>
      </w:r>
      <w:r>
        <w:t xml:space="preserve"> using 454 </w:t>
      </w:r>
      <w:proofErr w:type="spellStart"/>
      <w:r>
        <w:t>pyrosequencing</w:t>
      </w:r>
      <w:proofErr w:type="spellEnd"/>
      <w:r>
        <w:t xml:space="preserve">.  Sequence data from this reaction will be then used to estimate the community structure of the gut </w:t>
      </w:r>
      <w:proofErr w:type="spellStart"/>
      <w:r>
        <w:t>microbiota</w:t>
      </w:r>
      <w:proofErr w:type="spellEnd"/>
      <w:r>
        <w:t xml:space="preserve">.  This method has been used previously to analyze the human </w:t>
      </w:r>
      <w:proofErr w:type="spellStart"/>
      <w:r>
        <w:t>microbiomes</w:t>
      </w:r>
      <w:proofErr w:type="spellEnd"/>
      <w:r>
        <w:t xml:space="preserve"> of several body habitats</w:t>
      </w:r>
      <w:r>
        <w:fldChar w:fldCharType="begin"/>
      </w:r>
      <w:r w:rsidR="00C90670">
        <w:instrText xml:space="preserve"> ADDIN PAPERS2_CITATIONS &lt;citation&gt;&lt;uuid&gt;844A5AAF-AF22-4109-AF90-96DB1B67DBC3&lt;/uuid&gt;&lt;priority&gt;3&lt;/priority&gt;&lt;publications&gt;&lt;publication&gt;&lt;uuid&gt;3E404179-4BDF-4C62-96A6-6EECA89E4B05&lt;/uuid&gt;&lt;volume&gt;486&lt;/volume&gt;&lt;doi&gt;10.1038/nature11209&lt;/doi&gt;&lt;startpage&gt;215&lt;/startpage&gt;&lt;publication_date&gt;99201206141200000000222000&lt;/publication_date&gt;&lt;url&gt;http://dx.doi.org/10.1038/nature11209&lt;/url&gt;&lt;type&gt;400&lt;/type&gt;&lt;title&gt;A framework for human microbiome research&lt;/title&gt;&lt;publisher&gt;Nature Publishing Group&lt;/publisher&gt;&lt;number&gt;7402&lt;/number&gt;&lt;subtype&gt;400&lt;/subtype&gt;&lt;endpage&gt;221&lt;/endpage&gt;&lt;bundle&gt;&lt;publication&gt;&lt;publisher&gt;Nature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Project&lt;/middleNames&gt;&lt;lastName&gt;Consortium&lt;/lastName&gt;&lt;/author&gt;&lt;/authors&gt;&lt;/publication&gt;&lt;/publications&gt;&lt;cites&gt;&lt;/cites&gt;&lt;/citation&gt;</w:instrText>
      </w:r>
      <w:r>
        <w:fldChar w:fldCharType="separate"/>
      </w:r>
      <w:r>
        <w:rPr>
          <w:rFonts w:ascii="Cambria" w:hAnsi="Cambria" w:cs="Cambria"/>
        </w:rPr>
        <w:t>{Consortium:2012iz}</w:t>
      </w:r>
      <w:r>
        <w:fldChar w:fldCharType="end"/>
      </w:r>
      <w:r>
        <w:t>.</w:t>
      </w:r>
    </w:p>
    <w:p w:rsidR="00AC1010" w:rsidRDefault="00A02E2B" w:rsidP="00AC1010">
      <w:pPr>
        <w:pStyle w:val="ListParagraph"/>
        <w:numPr>
          <w:ilvl w:val="2"/>
          <w:numId w:val="1"/>
        </w:numPr>
      </w:pPr>
      <w:r>
        <w:t xml:space="preserve">Binning </w:t>
      </w:r>
      <w:r w:rsidR="00AC1010">
        <w:t xml:space="preserve">of the </w:t>
      </w:r>
      <w:proofErr w:type="spellStart"/>
      <w:r w:rsidR="00AC1010">
        <w:t>amplicons</w:t>
      </w:r>
      <w:proofErr w:type="spellEnd"/>
      <w:r>
        <w:t xml:space="preserve"> into </w:t>
      </w:r>
      <w:proofErr w:type="spellStart"/>
      <w:r>
        <w:t>phylotypes</w:t>
      </w:r>
      <w:proofErr w:type="spellEnd"/>
      <w:r w:rsidR="00AC1010">
        <w:t xml:space="preserve"> using the QIIME software package will allow for the representation of </w:t>
      </w:r>
      <w:r>
        <w:t xml:space="preserve">those </w:t>
      </w:r>
      <w:proofErr w:type="spellStart"/>
      <w:r w:rsidR="00AC1010">
        <w:t>phylotypes</w:t>
      </w:r>
      <w:proofErr w:type="spellEnd"/>
      <w:r w:rsidR="00AC1010">
        <w:t xml:space="preserve"> in th</w:t>
      </w:r>
      <w:r>
        <w:t xml:space="preserve">e gut </w:t>
      </w:r>
      <w:proofErr w:type="spellStart"/>
      <w:r>
        <w:t>m</w:t>
      </w:r>
      <w:r w:rsidR="000D4643">
        <w:t>icrobiota</w:t>
      </w:r>
      <w:proofErr w:type="spellEnd"/>
      <w:r w:rsidR="000D4643">
        <w:t xml:space="preserve"> to be measured</w:t>
      </w:r>
      <w:r w:rsidR="00993A7A">
        <w:fldChar w:fldCharType="begin"/>
      </w:r>
      <w:r w:rsidR="00C90670">
        <w:instrText xml:space="preserve"> ADDIN PAPERS2_CITATIONS &lt;citation&gt;&lt;uuid&gt;277AF2E3-AD65-4659-8A49-98052F25AAFE&lt;/uuid&gt;&lt;priority&gt;4&lt;/priority&gt;&lt;publications&gt;&lt;publication&gt;&lt;uuid&gt;DACCE824-DA1B-4424-9BEB-76498026A9E6&lt;/uuid&gt;&lt;volume&gt;7&lt;/volume&gt;&lt;doi&gt;doi:10.1038/nmeth.f.303&lt;/doi&gt;&lt;startpage&gt;335&lt;/startpage&gt;&lt;publication_date&gt;99201004111200000000222000&lt;/publication_date&gt;&lt;url&gt;http://www.nature.com/nmeth/journal/v7/n5/full/nmeth.f.303.html&lt;/url&gt;&lt;type&gt;400&lt;/type&gt;&lt;title&gt;QIIME allows analysis of high-throughput community sequencing data&lt;/title&gt;&lt;publisher&gt;Nature Publishing Group&lt;/publisher&gt;&lt;number&gt;5&lt;/number&gt;&lt;subtype&gt;400&lt;/subtype&gt;&lt;endpage&gt;336&lt;/endpage&gt;&lt;bundle&gt;&lt;publication&gt;&lt;publisher&gt;Nature Publishing Group&lt;/publisher&gt;&lt;title&gt;Nature Methods&lt;/title&gt;&lt;type&gt;-100&lt;/type&gt;&lt;subtype&gt;-100&lt;/subtype&gt;&lt;uuid&gt;B155CCB4-D610-420E-9E68-AE0B5C8955A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 Pe ntilde&lt;/middleNames&gt;&lt;lastName&gt;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993A7A">
        <w:fldChar w:fldCharType="separate"/>
      </w:r>
      <w:r w:rsidR="00993A7A">
        <w:rPr>
          <w:rFonts w:ascii="Cambria" w:hAnsi="Cambria" w:cs="Cambria"/>
        </w:rPr>
        <w:t>{Caporaso:2010bi}</w:t>
      </w:r>
      <w:r w:rsidR="00993A7A">
        <w:fldChar w:fldCharType="end"/>
      </w:r>
      <w:r w:rsidR="000D4643">
        <w:t xml:space="preserve">.  The stringency of the binning can be set to cluster 16S sequences into families, such as </w:t>
      </w:r>
      <w:proofErr w:type="spellStart"/>
      <w:r w:rsidR="000D4643">
        <w:t>Enterobacteriaceae</w:t>
      </w:r>
      <w:proofErr w:type="spellEnd"/>
      <w:r w:rsidR="000D4643">
        <w:t xml:space="preserve">, of which </w:t>
      </w:r>
      <w:r w:rsidR="000D4643">
        <w:rPr>
          <w:i/>
        </w:rPr>
        <w:t>E. coli</w:t>
      </w:r>
      <w:r w:rsidR="000D4643">
        <w:t xml:space="preserve"> is a member.</w:t>
      </w:r>
    </w:p>
    <w:p w:rsidR="00C90670" w:rsidRDefault="00AC1010" w:rsidP="006362B1">
      <w:pPr>
        <w:pStyle w:val="ListParagraph"/>
        <w:numPr>
          <w:ilvl w:val="2"/>
          <w:numId w:val="1"/>
        </w:numPr>
      </w:pPr>
      <w:r>
        <w:t xml:space="preserve">Statistical analysis will include </w:t>
      </w:r>
      <w:r w:rsidR="00993A7A">
        <w:t xml:space="preserve">application of </w:t>
      </w:r>
      <w:r>
        <w:t xml:space="preserve">the Shannon diversity index to identify intra- and inter-host differences in community structure, Mann-Whitney non-parametric test of means to identify changes in the representation of </w:t>
      </w:r>
      <w:proofErr w:type="spellStart"/>
      <w:r>
        <w:t>Enterobacteriaceae</w:t>
      </w:r>
      <w:proofErr w:type="spellEnd"/>
      <w:r w:rsidR="00C90670">
        <w:t xml:space="preserve"> during the UTI</w:t>
      </w:r>
      <w:r>
        <w:t xml:space="preserve">, and </w:t>
      </w:r>
      <w:proofErr w:type="spellStart"/>
      <w:r>
        <w:t>prinicipal</w:t>
      </w:r>
      <w:proofErr w:type="spellEnd"/>
      <w:r>
        <w:t xml:space="preserve"> component analysis to measure the tendency of the samples to cluster to their treatment groups (before treatment, after treatment, and after recovery). </w:t>
      </w:r>
    </w:p>
    <w:p w:rsidR="00C90670" w:rsidRDefault="00C90670" w:rsidP="00C90670">
      <w:pPr>
        <w:pStyle w:val="ListParagraph"/>
        <w:numPr>
          <w:ilvl w:val="2"/>
          <w:numId w:val="1"/>
        </w:numPr>
      </w:pPr>
      <w:r>
        <w:t xml:space="preserve">Antibiotic treatment has been shown to dramatically effect the composition of the gut </w:t>
      </w:r>
      <w:proofErr w:type="spellStart"/>
      <w:r>
        <w:t>microbiota</w:t>
      </w:r>
      <w:proofErr w:type="spellEnd"/>
      <w:r>
        <w:t>, and some genera may take months to reappear</w:t>
      </w:r>
      <w:r w:rsidRPr="00C90670">
        <w:t xml:space="preserve"> {Trinidad</w:t>
      </w:r>
      <w:proofErr w:type="gramStart"/>
      <w:r w:rsidRPr="00C90670">
        <w:t>:2012ja</w:t>
      </w:r>
      <w:proofErr w:type="gramEnd"/>
      <w:r w:rsidRPr="00C90670">
        <w:t>, Ubeda:2010kw, Hill:2010he, Croswell:2009hc, Sekirov:2008ec, Dethlefsen:2008kn}</w:t>
      </w:r>
      <w:r>
        <w:t xml:space="preserve">.  This will reduce the overall species richness of the gut </w:t>
      </w:r>
      <w:proofErr w:type="spellStart"/>
      <w:r>
        <w:t>microbiota</w:t>
      </w:r>
      <w:proofErr w:type="spellEnd"/>
      <w:r>
        <w:t xml:space="preserve">, and may artificially reduce the divergence between populations calculated by the Shannon diversity index and PCA.  As an additional control against this error, data on the gut community structure of healthy adults available from the Human </w:t>
      </w:r>
      <w:proofErr w:type="spellStart"/>
      <w:r>
        <w:t>Microbiome</w:t>
      </w:r>
      <w:proofErr w:type="spellEnd"/>
      <w:r>
        <w:t xml:space="preserve"> Project will be included in these analyses in order to identify differences between healthy </w:t>
      </w:r>
      <w:proofErr w:type="spellStart"/>
      <w:r>
        <w:t>microbiomes</w:t>
      </w:r>
      <w:proofErr w:type="spellEnd"/>
      <w:r>
        <w:t xml:space="preserve"> and </w:t>
      </w:r>
      <w:proofErr w:type="spellStart"/>
      <w:r>
        <w:t>microbiomes</w:t>
      </w:r>
      <w:proofErr w:type="spellEnd"/>
      <w:r>
        <w:t xml:space="preserve"> that may be altered after antibiotic treatment.  The addition of the HMP data as a control has been used successfully in other investigations into changes in the gut community structure</w:t>
      </w:r>
      <w:r w:rsidR="003D4388">
        <w:fldChar w:fldCharType="begin"/>
      </w:r>
      <w:r w:rsidR="006078D9">
        <w:instrText xml:space="preserve"> ADDIN PAPERS2_CITATIONS &lt;citation&gt;&lt;uuid&gt;D5016FCE-CAB7-46AA-9BE1-119262DE54B5&lt;/uuid&gt;&lt;priority&gt;6&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rsidR="003D4388">
        <w:fldChar w:fldCharType="separate"/>
      </w:r>
      <w:r w:rsidR="003D4388">
        <w:rPr>
          <w:rFonts w:ascii="Cambria" w:hAnsi="Cambria" w:cs="Cambria"/>
        </w:rPr>
        <w:t>{Koren:2012ji}</w:t>
      </w:r>
      <w:r w:rsidR="003D4388">
        <w:fldChar w:fldCharType="end"/>
      </w:r>
      <w:r w:rsidR="003D4388">
        <w:t>.</w:t>
      </w:r>
    </w:p>
    <w:p w:rsidR="00AC1010" w:rsidRDefault="00C90670" w:rsidP="006362B1">
      <w:pPr>
        <w:pStyle w:val="ListParagraph"/>
        <w:numPr>
          <w:ilvl w:val="2"/>
          <w:numId w:val="1"/>
        </w:numPr>
      </w:pPr>
      <w:r>
        <w:t xml:space="preserve">These methods will enable discrimination between the sample groups (during UTI, after antibiotic treatment, and after recovery) and include data obtained from analysis of gut </w:t>
      </w:r>
      <w:proofErr w:type="spellStart"/>
      <w:r>
        <w:t>microbiomes</w:t>
      </w:r>
      <w:proofErr w:type="spellEnd"/>
      <w:r>
        <w:t xml:space="preserve"> from healthy adults.  The statistical analyses will allow measure the abundances </w:t>
      </w:r>
    </w:p>
    <w:p w:rsidR="00AC0DC5" w:rsidRDefault="00C90670" w:rsidP="00993A7A">
      <w:pPr>
        <w:pStyle w:val="ListParagraph"/>
        <w:numPr>
          <w:ilvl w:val="1"/>
          <w:numId w:val="1"/>
        </w:numPr>
      </w:pPr>
      <w:r>
        <w:t>Anticipated cha</w:t>
      </w:r>
      <w:r w:rsidR="00AC0DC5">
        <w:t>llenges</w:t>
      </w:r>
      <w:r w:rsidR="006362B1">
        <w:t>:</w:t>
      </w:r>
    </w:p>
    <w:p w:rsidR="006A5E4B" w:rsidRDefault="00AC0DC5" w:rsidP="00AC0DC5">
      <w:pPr>
        <w:pStyle w:val="ListParagraph"/>
        <w:numPr>
          <w:ilvl w:val="2"/>
          <w:numId w:val="1"/>
        </w:numPr>
      </w:pPr>
      <w:r>
        <w:t>Recurrence of a UTI episode within 6-12 months after an initial UTI caused by UPEC occurs in approximately 25-30% of cases.  The chance of recurrence is greatest within the first 3 months following the initial UTI, and is often caused by the same UPEC strain as the one that caused the initial UTI.</w:t>
      </w:r>
      <w:r w:rsidR="006A5E4B">
        <w:t xml:space="preserve">  The chance of another UTI episode caused by the same strain drops after 6 months.</w:t>
      </w:r>
      <w:r>
        <w:t xml:space="preserve">  This indicates that there may be a </w:t>
      </w:r>
      <w:r w:rsidR="006A5E4B">
        <w:t xml:space="preserve">short-lived </w:t>
      </w:r>
      <w:r>
        <w:t>reservoir of UPEC in the patient that survives antibiotic treatment and immune system clearance.  This reservoir may be located in the gut, which would complicate analysis of the gut carriage of UPEC during a</w:t>
      </w:r>
      <w:r w:rsidR="006A5E4B">
        <w:t>n acute</w:t>
      </w:r>
      <w:r>
        <w:t xml:space="preserve"> UTI episode.  </w:t>
      </w:r>
      <w:r w:rsidR="006A5E4B">
        <w:t>As a result, any patients who self-reported another UTI episode within the 6 months following entry into the cohort will be excluded from the final analyses.</w:t>
      </w:r>
    </w:p>
    <w:p w:rsidR="0093546B" w:rsidRDefault="006A5E4B" w:rsidP="0093546B">
      <w:pPr>
        <w:pStyle w:val="ListParagraph"/>
        <w:numPr>
          <w:ilvl w:val="2"/>
          <w:numId w:val="1"/>
        </w:numPr>
      </w:pPr>
      <w:r>
        <w:t xml:space="preserve">It is possible that there </w:t>
      </w:r>
      <w:proofErr w:type="gramStart"/>
      <w:r>
        <w:t>are</w:t>
      </w:r>
      <w:proofErr w:type="gramEnd"/>
      <w:r>
        <w:t xml:space="preserve"> members of the </w:t>
      </w:r>
      <w:proofErr w:type="spellStart"/>
      <w:r>
        <w:t>Enterobacteriaceae</w:t>
      </w:r>
      <w:proofErr w:type="spellEnd"/>
      <w:r>
        <w:t xml:space="preserve"> that could be have increased representation in the gut at the onset of a UTI episode due to host factors, such as immunodeficiency.  If there are large discrepancies between the estimated abundance of </w:t>
      </w:r>
      <w:proofErr w:type="spellStart"/>
      <w:r>
        <w:t>Enterobacteriaceae</w:t>
      </w:r>
      <w:proofErr w:type="spellEnd"/>
      <w:r>
        <w:t xml:space="preserve"> and </w:t>
      </w:r>
      <w:r>
        <w:rPr>
          <w:i/>
        </w:rPr>
        <w:t>E. coli</w:t>
      </w:r>
      <w:r>
        <w:t xml:space="preserve"> specific markers identified in sub-aim2, then the relative representation of </w:t>
      </w:r>
      <w:r>
        <w:rPr>
          <w:i/>
        </w:rPr>
        <w:t>E. coli</w:t>
      </w:r>
      <w:r>
        <w:t xml:space="preserve"> in the gut </w:t>
      </w:r>
      <w:proofErr w:type="spellStart"/>
      <w:r>
        <w:t>microbiome</w:t>
      </w:r>
      <w:proofErr w:type="spellEnd"/>
      <w:r>
        <w:t xml:space="preserve"> will be re-estimated using </w:t>
      </w:r>
      <w:proofErr w:type="spellStart"/>
      <w:r>
        <w:t>qPCR</w:t>
      </w:r>
      <w:proofErr w:type="spellEnd"/>
      <w:r>
        <w:t xml:space="preserve"> targeting </w:t>
      </w:r>
      <w:r>
        <w:rPr>
          <w:i/>
        </w:rPr>
        <w:t>E. coli</w:t>
      </w:r>
      <w:r>
        <w:t xml:space="preserve"> specific housekeeping genes and comparing those results to a </w:t>
      </w:r>
      <w:r w:rsidR="00AF6CEF">
        <w:t xml:space="preserve">control region conserved in the family </w:t>
      </w:r>
      <w:proofErr w:type="spellStart"/>
      <w:r w:rsidR="00AF6CEF">
        <w:t>Enterobacteriaceae</w:t>
      </w:r>
      <w:proofErr w:type="spellEnd"/>
      <w:r w:rsidR="00AF6CEF">
        <w:t xml:space="preserve">.  This will identify the proportion of </w:t>
      </w:r>
      <w:r w:rsidR="00AF6CEF">
        <w:rPr>
          <w:i/>
        </w:rPr>
        <w:t>E. coli</w:t>
      </w:r>
      <w:r w:rsidR="00AF6CEF">
        <w:t xml:space="preserve"> in the fecal sample relative to the </w:t>
      </w:r>
      <w:proofErr w:type="spellStart"/>
      <w:r w:rsidR="00AF6CEF">
        <w:t>abudance</w:t>
      </w:r>
      <w:proofErr w:type="spellEnd"/>
      <w:r w:rsidR="00AF6CEF">
        <w:t xml:space="preserve"> o</w:t>
      </w:r>
      <w:r w:rsidR="0093546B">
        <w:t xml:space="preserve">f the </w:t>
      </w:r>
      <w:proofErr w:type="spellStart"/>
      <w:r w:rsidR="0093546B">
        <w:t>Enterobacteriaceae</w:t>
      </w:r>
      <w:proofErr w:type="spellEnd"/>
      <w:r w:rsidR="0093546B">
        <w:t xml:space="preserve"> family</w:t>
      </w:r>
    </w:p>
    <w:p w:rsidR="0093546B" w:rsidRDefault="0093546B" w:rsidP="0093546B"/>
    <w:p w:rsidR="0093546B" w:rsidRDefault="0093546B" w:rsidP="0093546B"/>
    <w:p w:rsidR="0093546B" w:rsidRDefault="0093546B" w:rsidP="0093546B"/>
    <w:p w:rsidR="0093546B" w:rsidRDefault="0093546B" w:rsidP="0093546B">
      <w:pPr>
        <w:pStyle w:val="ListParagraph"/>
        <w:numPr>
          <w:ilvl w:val="0"/>
          <w:numId w:val="1"/>
        </w:numPr>
      </w:pPr>
      <w:r w:rsidRPr="0093546B">
        <w:t xml:space="preserve">Compare relative abundance of </w:t>
      </w:r>
      <w:proofErr w:type="spellStart"/>
      <w:r w:rsidRPr="0093546B">
        <w:t>urovirulence</w:t>
      </w:r>
      <w:proofErr w:type="spellEnd"/>
      <w:r w:rsidRPr="0093546B">
        <w:t xml:space="preserve"> genes in the gut </w:t>
      </w:r>
      <w:proofErr w:type="spellStart"/>
      <w:r w:rsidRPr="0093546B">
        <w:t>microbiome</w:t>
      </w:r>
      <w:proofErr w:type="spellEnd"/>
      <w:r w:rsidRPr="0093546B">
        <w:t xml:space="preserve"> during UTI, after treatment, and after recover</w:t>
      </w:r>
      <w:r>
        <w:t>y.</w:t>
      </w:r>
    </w:p>
    <w:p w:rsidR="006078D9" w:rsidRDefault="00146277" w:rsidP="00146277">
      <w:pPr>
        <w:pStyle w:val="ListParagraph"/>
        <w:numPr>
          <w:ilvl w:val="1"/>
          <w:numId w:val="1"/>
        </w:numPr>
      </w:pPr>
      <w:r>
        <w:t>Rationale</w:t>
      </w:r>
    </w:p>
    <w:p w:rsidR="00146277" w:rsidRDefault="00146277" w:rsidP="006078D9">
      <w:pPr>
        <w:pStyle w:val="ListParagraph"/>
        <w:numPr>
          <w:ilvl w:val="2"/>
          <w:numId w:val="1"/>
        </w:numPr>
      </w:pPr>
    </w:p>
    <w:p w:rsidR="006078D9" w:rsidRDefault="00E33037" w:rsidP="00146277">
      <w:pPr>
        <w:pStyle w:val="ListParagraph"/>
        <w:numPr>
          <w:ilvl w:val="2"/>
          <w:numId w:val="1"/>
        </w:numPr>
      </w:pPr>
      <w:r>
        <w:t xml:space="preserve">While studies have identified </w:t>
      </w:r>
      <w:proofErr w:type="spellStart"/>
      <w:r>
        <w:t>urovirulence</w:t>
      </w:r>
      <w:proofErr w:type="spellEnd"/>
      <w:r>
        <w:t xml:space="preserve"> genes that often co-occur (CITE NEEDED), no single set of </w:t>
      </w:r>
      <w:proofErr w:type="spellStart"/>
      <w:r>
        <w:t>urovirulence</w:t>
      </w:r>
      <w:proofErr w:type="spellEnd"/>
      <w:r>
        <w:t xml:space="preserve"> genes necessary and sufficient for pathogenesis have been defined</w:t>
      </w:r>
      <w:r>
        <w:fldChar w:fldCharType="begin"/>
      </w:r>
      <w:r>
        <w:instrText xml:space="preserve"> ADDIN PAPERS2_CITATIONS &lt;citation&gt;&lt;uuid&gt;53EA05FC-AE87-4C45-ADDA-E1399EC641E7&lt;/uuid&gt;&lt;priority&gt;0&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fldChar w:fldCharType="separate"/>
      </w:r>
      <w:r>
        <w:rPr>
          <w:rFonts w:ascii="Cambria" w:hAnsi="Cambria" w:cs="Cambria"/>
        </w:rPr>
        <w:t>{Picard:1999uk}</w:t>
      </w:r>
      <w:r>
        <w:fldChar w:fldCharType="end"/>
      </w:r>
      <w:r>
        <w:t>.</w:t>
      </w:r>
      <w:r w:rsidR="006078D9">
        <w:t xml:space="preserve">   As a result, many </w:t>
      </w:r>
      <w:proofErr w:type="spellStart"/>
      <w:r w:rsidR="006078D9">
        <w:t>urovirulence</w:t>
      </w:r>
      <w:proofErr w:type="spellEnd"/>
      <w:r w:rsidR="006078D9">
        <w:t xml:space="preserve"> genes must be assayed to measure the prevalence and abundance of UPEC.  </w:t>
      </w:r>
    </w:p>
    <w:p w:rsidR="006A6258" w:rsidRDefault="006078D9" w:rsidP="00146277">
      <w:pPr>
        <w:pStyle w:val="ListParagraph"/>
        <w:numPr>
          <w:ilvl w:val="2"/>
          <w:numId w:val="1"/>
        </w:numPr>
      </w:pPr>
      <w:r>
        <w:t xml:space="preserve">Analysis of the </w:t>
      </w:r>
      <w:r>
        <w:rPr>
          <w:i/>
        </w:rPr>
        <w:t>E. coli</w:t>
      </w:r>
      <w:r>
        <w:t xml:space="preserve"> population structure in the gut has shown that dominance in the gut is highly correlated with the presence of </w:t>
      </w:r>
      <w:proofErr w:type="spellStart"/>
      <w:r>
        <w:t>urovirulence</w:t>
      </w:r>
      <w:proofErr w:type="spellEnd"/>
      <w:r>
        <w:t xml:space="preserve"> genes during a UTI episode</w:t>
      </w:r>
      <w:r>
        <w:fldChar w:fldCharType="begin"/>
      </w:r>
      <w:r>
        <w:instrText xml:space="preserve"> ADDIN PAPERS2_CITATIONS &lt;citation&gt;&lt;uuid&gt;91856A7F-2D47-40EF-9248-6DABA2DB89E7&lt;/uuid&gt;&lt;priority&gt;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s&gt;&lt;cites&gt;&lt;/cites&gt;&lt;/citation&gt;</w:instrText>
      </w:r>
      <w:r>
        <w:fldChar w:fldCharType="separate"/>
      </w:r>
      <w:r>
        <w:rPr>
          <w:rFonts w:ascii="Cambria" w:hAnsi="Cambria" w:cs="Cambria"/>
        </w:rPr>
        <w:t>{Moreno:2008eg, Moreno:2006ji}</w:t>
      </w:r>
      <w:r>
        <w:fldChar w:fldCharType="end"/>
      </w:r>
      <w:r>
        <w:t xml:space="preserve">; however, the relative representation of </w:t>
      </w:r>
      <w:proofErr w:type="spellStart"/>
      <w:r>
        <w:t>urovirulence</w:t>
      </w:r>
      <w:proofErr w:type="spellEnd"/>
      <w:r>
        <w:t xml:space="preserve"> genes in the gut </w:t>
      </w:r>
      <w:proofErr w:type="spellStart"/>
      <w:r>
        <w:t>microbiome</w:t>
      </w:r>
      <w:proofErr w:type="spellEnd"/>
      <w:r>
        <w:t xml:space="preserve"> during UTI and in a healthy state within the same patient has yet to be compared.</w:t>
      </w:r>
    </w:p>
    <w:p w:rsidR="006A6258" w:rsidRDefault="006A6258" w:rsidP="006A6258">
      <w:pPr>
        <w:pStyle w:val="ListParagraph"/>
        <w:numPr>
          <w:ilvl w:val="1"/>
          <w:numId w:val="1"/>
        </w:numPr>
      </w:pPr>
      <w:r>
        <w:t>Hypothesis</w:t>
      </w:r>
    </w:p>
    <w:p w:rsidR="006A6258" w:rsidRDefault="006A6258" w:rsidP="006A6258">
      <w:pPr>
        <w:pStyle w:val="ListParagraph"/>
        <w:numPr>
          <w:ilvl w:val="2"/>
          <w:numId w:val="1"/>
        </w:numPr>
      </w:pPr>
      <w:r>
        <w:t xml:space="preserve">There is a greater relative abundance of known </w:t>
      </w:r>
      <w:proofErr w:type="spellStart"/>
      <w:r>
        <w:t>urovirulence</w:t>
      </w:r>
      <w:proofErr w:type="spellEnd"/>
      <w:r>
        <w:t xml:space="preserve"> genes in the gut </w:t>
      </w:r>
      <w:proofErr w:type="spellStart"/>
      <w:r>
        <w:t>microbiome</w:t>
      </w:r>
      <w:proofErr w:type="spellEnd"/>
      <w:r>
        <w:t xml:space="preserve"> of a patient at the onset of a UTI than when the person is healthy.</w:t>
      </w:r>
    </w:p>
    <w:p w:rsidR="00B3657C" w:rsidRDefault="006A6258" w:rsidP="00BF7071">
      <w:pPr>
        <w:pStyle w:val="ListParagraph"/>
        <w:numPr>
          <w:ilvl w:val="1"/>
          <w:numId w:val="1"/>
        </w:numPr>
      </w:pPr>
      <w:r>
        <w:t>Experimental methods</w:t>
      </w:r>
    </w:p>
    <w:p w:rsidR="005C2488" w:rsidRDefault="00B3657C" w:rsidP="00B3657C">
      <w:pPr>
        <w:pStyle w:val="ListParagraph"/>
        <w:numPr>
          <w:ilvl w:val="2"/>
          <w:numId w:val="1"/>
        </w:numPr>
      </w:pPr>
      <w:r>
        <w:t xml:space="preserve">Genomic DNA extracted in sub-aim 1 will be used as template for </w:t>
      </w:r>
      <w:r w:rsidR="00FC11BD">
        <w:t>quantitative polymerase chain reactions (</w:t>
      </w:r>
      <w:proofErr w:type="spellStart"/>
      <w:r>
        <w:t>qPCR</w:t>
      </w:r>
      <w:r w:rsidR="00931146">
        <w:t>s</w:t>
      </w:r>
      <w:proofErr w:type="spellEnd"/>
      <w:r w:rsidR="00FC11BD">
        <w:t>)</w:t>
      </w:r>
      <w:r>
        <w:t xml:space="preserve"> </w:t>
      </w:r>
      <w:r w:rsidR="00FC11BD">
        <w:t xml:space="preserve">targeting known </w:t>
      </w:r>
      <w:proofErr w:type="spellStart"/>
      <w:r w:rsidR="00FC11BD">
        <w:t>urovirulence</w:t>
      </w:r>
      <w:proofErr w:type="spellEnd"/>
      <w:r w:rsidR="00FC11BD">
        <w:t xml:space="preserve"> genes from </w:t>
      </w:r>
      <w:r w:rsidR="003F61EF">
        <w:t>g</w:t>
      </w:r>
      <w:r w:rsidR="00EB3681">
        <w:t xml:space="preserve">ene clusters listed in Table 1.  Additional </w:t>
      </w:r>
      <w:proofErr w:type="spellStart"/>
      <w:r w:rsidR="00EB3681">
        <w:t>qPCRs</w:t>
      </w:r>
      <w:proofErr w:type="spellEnd"/>
      <w:r w:rsidR="00EB3681">
        <w:t xml:space="preserve"> </w:t>
      </w:r>
      <w:r w:rsidR="00066980">
        <w:t xml:space="preserve">will be performed that </w:t>
      </w:r>
      <w:r w:rsidR="00EB3681">
        <w:t>tar</w:t>
      </w:r>
      <w:r w:rsidR="00066980">
        <w:t>get</w:t>
      </w:r>
      <w:r w:rsidR="00EB3681">
        <w:t xml:space="preserve"> a conserved region of the 16S </w:t>
      </w:r>
      <w:proofErr w:type="spellStart"/>
      <w:r w:rsidR="00EB3681">
        <w:t>rRNA</w:t>
      </w:r>
      <w:proofErr w:type="spellEnd"/>
      <w:r w:rsidR="00066980">
        <w:t xml:space="preserve"> gene common to all bacteria as well as</w:t>
      </w:r>
      <w:r w:rsidR="00EB3681">
        <w:t xml:space="preserve"> a region of the single copy housekeeping gene, </w:t>
      </w:r>
      <w:proofErr w:type="spellStart"/>
      <w:r w:rsidR="00EB3681">
        <w:rPr>
          <w:i/>
        </w:rPr>
        <w:t>rpoB</w:t>
      </w:r>
      <w:proofErr w:type="spellEnd"/>
      <w:r w:rsidR="00EB3681">
        <w:t xml:space="preserve">, </w:t>
      </w:r>
      <w:r w:rsidR="005C2488">
        <w:t>which is divergent in</w:t>
      </w:r>
      <w:r w:rsidR="00066980">
        <w:t xml:space="preserve"> </w:t>
      </w:r>
      <w:r w:rsidR="00066980">
        <w:rPr>
          <w:i/>
        </w:rPr>
        <w:t>E. coli</w:t>
      </w:r>
      <w:r w:rsidR="000C753F">
        <w:t>.</w:t>
      </w:r>
    </w:p>
    <w:p w:rsidR="00F94183" w:rsidRDefault="00066980" w:rsidP="000C753F">
      <w:pPr>
        <w:pStyle w:val="ListParagraph"/>
        <w:numPr>
          <w:ilvl w:val="2"/>
          <w:numId w:val="1"/>
        </w:numPr>
      </w:pPr>
      <w:r>
        <w:t xml:space="preserve">Comparison of the </w:t>
      </w:r>
      <w:proofErr w:type="spellStart"/>
      <w:r>
        <w:t>qPCR</w:t>
      </w:r>
      <w:proofErr w:type="spellEnd"/>
      <w:r>
        <w:t xml:space="preserve"> results from the </w:t>
      </w:r>
      <w:proofErr w:type="spellStart"/>
      <w:r>
        <w:t>urovirulence</w:t>
      </w:r>
      <w:proofErr w:type="spellEnd"/>
      <w:r>
        <w:t xml:space="preserve"> genes to the </w:t>
      </w:r>
      <w:proofErr w:type="spellStart"/>
      <w:r>
        <w:t>qPCR</w:t>
      </w:r>
      <w:proofErr w:type="spellEnd"/>
      <w:r>
        <w:t xml:space="preserve"> results from the 16S </w:t>
      </w:r>
      <w:proofErr w:type="spellStart"/>
      <w:r>
        <w:t>rRNA</w:t>
      </w:r>
      <w:proofErr w:type="spellEnd"/>
      <w:r>
        <w:t xml:space="preserve"> and </w:t>
      </w:r>
      <w:proofErr w:type="spellStart"/>
      <w:r w:rsidRPr="000C753F">
        <w:rPr>
          <w:i/>
        </w:rPr>
        <w:t>rpoB</w:t>
      </w:r>
      <w:proofErr w:type="spellEnd"/>
      <w:r>
        <w:t xml:space="preserve"> genes can be used to estimate the relative abundance of the </w:t>
      </w:r>
      <w:proofErr w:type="spellStart"/>
      <w:r>
        <w:t>urovirulence</w:t>
      </w:r>
      <w:proofErr w:type="spellEnd"/>
      <w:r>
        <w:t xml:space="preserve"> genes to the total gut </w:t>
      </w:r>
      <w:proofErr w:type="spellStart"/>
      <w:r>
        <w:t>microbiota</w:t>
      </w:r>
      <w:proofErr w:type="spellEnd"/>
      <w:r>
        <w:t xml:space="preserve"> population and the </w:t>
      </w:r>
      <w:r w:rsidRPr="000C753F">
        <w:rPr>
          <w:i/>
        </w:rPr>
        <w:t>E. coli</w:t>
      </w:r>
      <w:r>
        <w:t xml:space="preserve"> sub-population</w:t>
      </w:r>
      <w:r w:rsidR="000C753F">
        <w:t xml:space="preserve">, respectively.  Mann-Whitney non-parametric t-tests will be used to identify statistically significant differences between sample groups in </w:t>
      </w:r>
      <w:proofErr w:type="spellStart"/>
      <w:r w:rsidR="000C753F">
        <w:t>uroviruelnce</w:t>
      </w:r>
      <w:proofErr w:type="spellEnd"/>
      <w:r w:rsidR="000C753F">
        <w:t xml:space="preserve"> gene abundance relative to the total </w:t>
      </w:r>
      <w:proofErr w:type="spellStart"/>
      <w:r w:rsidR="000C753F">
        <w:t>microbiota</w:t>
      </w:r>
      <w:proofErr w:type="spellEnd"/>
      <w:r w:rsidR="000C753F">
        <w:t xml:space="preserve"> and to </w:t>
      </w:r>
      <w:r w:rsidR="000C753F" w:rsidRPr="000C753F">
        <w:rPr>
          <w:i/>
        </w:rPr>
        <w:t xml:space="preserve">E. coli </w:t>
      </w:r>
      <w:proofErr w:type="spellStart"/>
      <w:r w:rsidR="000C753F">
        <w:t>specifically</w:t>
      </w:r>
      <w:proofErr w:type="spellEnd"/>
      <w:r w:rsidR="000C753F">
        <w:t xml:space="preserve">. </w:t>
      </w:r>
    </w:p>
    <w:p w:rsidR="00F94183" w:rsidRDefault="00F94183" w:rsidP="00F94183"/>
    <w:p w:rsidR="00F94183" w:rsidRPr="00F94183" w:rsidRDefault="00F94183" w:rsidP="00F94183">
      <w:pPr>
        <w:rPr>
          <w:u w:val="single"/>
        </w:rPr>
      </w:pPr>
      <w:r w:rsidRPr="00F94183">
        <w:rPr>
          <w:u w:val="single"/>
        </w:rPr>
        <w:t>What the hell am I writing? Below this line</w:t>
      </w:r>
    </w:p>
    <w:p w:rsidR="00813A71" w:rsidRDefault="00F94183" w:rsidP="00F94183">
      <w:r>
        <w:t xml:space="preserve">There is a chance that there is an increase in the representation of UPEC strains in the gut </w:t>
      </w:r>
      <w:proofErr w:type="spellStart"/>
      <w:r>
        <w:t>microbiota</w:t>
      </w:r>
      <w:proofErr w:type="spellEnd"/>
      <w:r>
        <w:t xml:space="preserve"> that are not the same as the strain causing the UTI.  This could possibly occur through environmental and behavioral shifts, such as changes in frequency and type of sexual intercourse, which has been found to affect the risk ratio for developing a UTI</w:t>
      </w:r>
    </w:p>
    <w:sectPr w:rsidR="00813A71" w:rsidSect="00C1151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84E"/>
    <w:multiLevelType w:val="hybridMultilevel"/>
    <w:tmpl w:val="1D22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4799"/>
    <w:multiLevelType w:val="hybridMultilevel"/>
    <w:tmpl w:val="D7EAE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3A71"/>
    <w:rsid w:val="00053435"/>
    <w:rsid w:val="00066980"/>
    <w:rsid w:val="000C753F"/>
    <w:rsid w:val="000D4643"/>
    <w:rsid w:val="00146277"/>
    <w:rsid w:val="001C20DE"/>
    <w:rsid w:val="003D4388"/>
    <w:rsid w:val="003F61EF"/>
    <w:rsid w:val="00433E75"/>
    <w:rsid w:val="004B4D06"/>
    <w:rsid w:val="004F7112"/>
    <w:rsid w:val="005C2488"/>
    <w:rsid w:val="006078D9"/>
    <w:rsid w:val="006362B1"/>
    <w:rsid w:val="006A5E4B"/>
    <w:rsid w:val="006A6258"/>
    <w:rsid w:val="00813A71"/>
    <w:rsid w:val="00874613"/>
    <w:rsid w:val="008F4C56"/>
    <w:rsid w:val="00931146"/>
    <w:rsid w:val="0093546B"/>
    <w:rsid w:val="00993A7A"/>
    <w:rsid w:val="00A02E2B"/>
    <w:rsid w:val="00AB5B70"/>
    <w:rsid w:val="00AC0DC5"/>
    <w:rsid w:val="00AC1010"/>
    <w:rsid w:val="00AF6CEF"/>
    <w:rsid w:val="00B3657C"/>
    <w:rsid w:val="00BF7071"/>
    <w:rsid w:val="00C1151C"/>
    <w:rsid w:val="00C90670"/>
    <w:rsid w:val="00E33037"/>
    <w:rsid w:val="00E653C9"/>
    <w:rsid w:val="00EB3681"/>
    <w:rsid w:val="00EE64E0"/>
    <w:rsid w:val="00F94183"/>
    <w:rsid w:val="00FC11B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138A6"/>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53435"/>
    <w:pPr>
      <w:ind w:left="720"/>
      <w:contextualSpacing/>
    </w:pPr>
  </w:style>
</w:styles>
</file>

<file path=word/webSettings.xml><?xml version="1.0" encoding="utf-8"?>
<w:webSettings xmlns:r="http://schemas.openxmlformats.org/officeDocument/2006/relationships" xmlns:w="http://schemas.openxmlformats.org/wordprocessingml/2006/main">
  <w:divs>
    <w:div w:id="646007795">
      <w:bodyDiv w:val="1"/>
      <w:marLeft w:val="0"/>
      <w:marRight w:val="0"/>
      <w:marTop w:val="0"/>
      <w:marBottom w:val="0"/>
      <w:divBdr>
        <w:top w:val="none" w:sz="0" w:space="0" w:color="auto"/>
        <w:left w:val="none" w:sz="0" w:space="0" w:color="auto"/>
        <w:bottom w:val="none" w:sz="0" w:space="0" w:color="auto"/>
        <w:right w:val="none" w:sz="0" w:space="0" w:color="auto"/>
      </w:divBdr>
      <w:divsChild>
        <w:div w:id="340938458">
          <w:marLeft w:val="1166"/>
          <w:marRight w:val="0"/>
          <w:marTop w:val="0"/>
          <w:marBottom w:val="0"/>
          <w:divBdr>
            <w:top w:val="none" w:sz="0" w:space="0" w:color="auto"/>
            <w:left w:val="none" w:sz="0" w:space="0" w:color="auto"/>
            <w:bottom w:val="none" w:sz="0" w:space="0" w:color="auto"/>
            <w:right w:val="none" w:sz="0" w:space="0" w:color="auto"/>
          </w:divBdr>
        </w:div>
      </w:divsChild>
    </w:div>
    <w:div w:id="1568297056">
      <w:bodyDiv w:val="1"/>
      <w:marLeft w:val="0"/>
      <w:marRight w:val="0"/>
      <w:marTop w:val="0"/>
      <w:marBottom w:val="0"/>
      <w:divBdr>
        <w:top w:val="none" w:sz="0" w:space="0" w:color="auto"/>
        <w:left w:val="none" w:sz="0" w:space="0" w:color="auto"/>
        <w:bottom w:val="none" w:sz="0" w:space="0" w:color="auto"/>
        <w:right w:val="none" w:sz="0" w:space="0" w:color="auto"/>
      </w:divBdr>
      <w:divsChild>
        <w:div w:id="163133463">
          <w:marLeft w:val="1166"/>
          <w:marRight w:val="0"/>
          <w:marTop w:val="0"/>
          <w:marBottom w:val="0"/>
          <w:divBdr>
            <w:top w:val="none" w:sz="0" w:space="0" w:color="auto"/>
            <w:left w:val="none" w:sz="0" w:space="0" w:color="auto"/>
            <w:bottom w:val="none" w:sz="0" w:space="0" w:color="auto"/>
            <w:right w:val="none" w:sz="0" w:space="0" w:color="auto"/>
          </w:divBdr>
        </w:div>
      </w:divsChild>
    </w:div>
    <w:div w:id="1950965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3663</Words>
  <Characters>19784</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Washington University School of Medicine</Company>
  <LinksUpToDate>false</LinksUpToDate>
  <CharactersWithSpaces>25645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4</cp:revision>
  <dcterms:created xsi:type="dcterms:W3CDTF">2013-01-16T16:59:00Z</dcterms:created>
  <dcterms:modified xsi:type="dcterms:W3CDTF">2013-01-21T03:26:00Z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citations="9" publications="14"/&gt;&lt;/info&gt;PAPERS2_INFO_END</vt:lpwstr>
  </property>
</Properties>
</file>