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2299" w:rsidRPr="00171E75" w:rsidRDefault="008B2299" w:rsidP="00171E75">
      <w:pPr>
        <w:spacing w:after="0" w:line="480" w:lineRule="auto"/>
        <w:rPr>
          <w:rFonts w:ascii="Arial" w:hAnsi="Arial"/>
          <w:sz w:val="22"/>
        </w:rPr>
      </w:pPr>
    </w:p>
    <w:p w:rsidR="00DA3C51" w:rsidRDefault="008B2299" w:rsidP="00DA3C51">
      <w:pPr>
        <w:spacing w:after="0" w:line="480" w:lineRule="auto"/>
        <w:rPr>
          <w:rFonts w:ascii="Arial" w:hAnsi="Arial"/>
          <w:b/>
          <w:i/>
          <w:sz w:val="22"/>
        </w:rPr>
      </w:pPr>
      <w:r w:rsidRPr="00171E75">
        <w:rPr>
          <w:rFonts w:ascii="Arial" w:hAnsi="Arial"/>
          <w:sz w:val="22"/>
        </w:rPr>
        <w:t xml:space="preserve">With these factors in mind, </w:t>
      </w:r>
      <w:r w:rsidRPr="00171E75">
        <w:rPr>
          <w:rFonts w:ascii="Arial" w:hAnsi="Arial"/>
          <w:b/>
          <w:i/>
          <w:sz w:val="22"/>
        </w:rPr>
        <w:t xml:space="preserve">I hypothesize that there is a bloom of </w:t>
      </w:r>
      <w:proofErr w:type="spellStart"/>
      <w:r w:rsidRPr="00171E75">
        <w:rPr>
          <w:rFonts w:ascii="Arial" w:hAnsi="Arial"/>
          <w:b/>
          <w:i/>
          <w:sz w:val="22"/>
        </w:rPr>
        <w:t>uropathogenic</w:t>
      </w:r>
      <w:proofErr w:type="spellEnd"/>
      <w:r w:rsidRPr="00171E75">
        <w:rPr>
          <w:rFonts w:ascii="Arial" w:hAnsi="Arial"/>
          <w:b/>
          <w:i/>
          <w:sz w:val="22"/>
        </w:rPr>
        <w:t xml:space="preserve"> </w:t>
      </w:r>
      <w:r w:rsidRPr="00171E75">
        <w:rPr>
          <w:rFonts w:ascii="Arial" w:hAnsi="Arial"/>
          <w:b/>
          <w:i/>
          <w:iCs/>
          <w:sz w:val="22"/>
        </w:rPr>
        <w:t xml:space="preserve">E. coli </w:t>
      </w:r>
      <w:r w:rsidRPr="00171E75">
        <w:rPr>
          <w:rFonts w:ascii="Arial" w:hAnsi="Arial"/>
          <w:b/>
          <w:i/>
          <w:sz w:val="22"/>
        </w:rPr>
        <w:t>in the gut that coincides with the onset of a UTI.</w:t>
      </w:r>
    </w:p>
    <w:p w:rsidR="00DA3C51" w:rsidRDefault="00DA3C51" w:rsidP="00DA3C51">
      <w:pPr>
        <w:spacing w:after="0" w:line="480" w:lineRule="auto"/>
        <w:rPr>
          <w:rFonts w:ascii="Arial" w:hAnsi="Arial"/>
          <w:b/>
          <w:i/>
          <w:sz w:val="22"/>
        </w:rPr>
      </w:pPr>
    </w:p>
    <w:p w:rsidR="00DA3C51" w:rsidRDefault="00DA3C51" w:rsidP="00DA3C51">
      <w:pPr>
        <w:spacing w:after="0" w:line="480" w:lineRule="auto"/>
        <w:rPr>
          <w:rFonts w:ascii="Arial" w:hAnsi="Arial"/>
          <w:b/>
          <w:sz w:val="22"/>
        </w:rPr>
      </w:pPr>
      <w:r>
        <w:rPr>
          <w:rFonts w:ascii="Arial" w:hAnsi="Arial"/>
          <w:b/>
          <w:sz w:val="22"/>
        </w:rPr>
        <w:t xml:space="preserve">Sub-aim1: </w:t>
      </w:r>
      <w:r w:rsidRPr="00DA3C51">
        <w:rPr>
          <w:rFonts w:ascii="Arial" w:hAnsi="Arial"/>
          <w:b/>
          <w:sz w:val="22"/>
        </w:rPr>
        <w:t xml:space="preserve">Compare the community structure of the gut </w:t>
      </w:r>
      <w:proofErr w:type="spellStart"/>
      <w:r w:rsidRPr="00DA3C51">
        <w:rPr>
          <w:rFonts w:ascii="Arial" w:hAnsi="Arial"/>
          <w:b/>
          <w:sz w:val="22"/>
        </w:rPr>
        <w:t>microbiota</w:t>
      </w:r>
      <w:proofErr w:type="spellEnd"/>
      <w:r w:rsidRPr="00DA3C51">
        <w:rPr>
          <w:rFonts w:ascii="Arial" w:hAnsi="Arial"/>
          <w:b/>
          <w:sz w:val="22"/>
        </w:rPr>
        <w:t xml:space="preserve"> during UTI and after recovery.</w:t>
      </w:r>
    </w:p>
    <w:p w:rsidR="00DA3C51" w:rsidRDefault="00DA3C51" w:rsidP="00DA3C51">
      <w:pPr>
        <w:spacing w:after="0" w:line="480" w:lineRule="auto"/>
        <w:rPr>
          <w:rFonts w:ascii="Arial" w:hAnsi="Arial"/>
          <w:i/>
          <w:sz w:val="22"/>
        </w:rPr>
      </w:pPr>
      <w:r>
        <w:rPr>
          <w:rFonts w:ascii="Arial" w:hAnsi="Arial"/>
          <w:i/>
          <w:sz w:val="22"/>
        </w:rPr>
        <w:t>Rationale</w:t>
      </w:r>
    </w:p>
    <w:p w:rsidR="00DA3C51" w:rsidRPr="00741EF6" w:rsidRDefault="00DA3C51" w:rsidP="00DA3C51">
      <w:pPr>
        <w:spacing w:after="0" w:line="480" w:lineRule="auto"/>
        <w:rPr>
          <w:rFonts w:ascii="Arial" w:hAnsi="Arial"/>
          <w:sz w:val="22"/>
        </w:rPr>
      </w:pPr>
      <w:r>
        <w:rPr>
          <w:rFonts w:ascii="Arial" w:hAnsi="Arial"/>
          <w:sz w:val="22"/>
        </w:rPr>
        <w:tab/>
        <w:t>While th</w:t>
      </w:r>
      <w:r w:rsidR="00741EF6">
        <w:rPr>
          <w:rFonts w:ascii="Arial" w:hAnsi="Arial"/>
          <w:sz w:val="22"/>
        </w:rPr>
        <w:t>e human</w:t>
      </w:r>
      <w:r>
        <w:rPr>
          <w:rFonts w:ascii="Arial" w:hAnsi="Arial"/>
          <w:sz w:val="22"/>
        </w:rPr>
        <w:t xml:space="preserve"> </w:t>
      </w:r>
      <w:proofErr w:type="spellStart"/>
      <w:r>
        <w:rPr>
          <w:rFonts w:ascii="Arial" w:hAnsi="Arial"/>
          <w:sz w:val="22"/>
        </w:rPr>
        <w:t>microbiome</w:t>
      </w:r>
      <w:proofErr w:type="spellEnd"/>
      <w:r>
        <w:rPr>
          <w:rFonts w:ascii="Arial" w:hAnsi="Arial"/>
          <w:sz w:val="22"/>
        </w:rPr>
        <w:t xml:space="preserve"> is generally stable through time</w:t>
      </w:r>
      <w:r>
        <w:rPr>
          <w:rFonts w:ascii="Arial" w:hAnsi="Arial"/>
          <w:sz w:val="22"/>
        </w:rPr>
        <w:fldChar w:fldCharType="begin"/>
      </w:r>
      <w:r>
        <w:rPr>
          <w:rFonts w:ascii="Arial" w:hAnsi="Arial"/>
          <w:sz w:val="22"/>
        </w:rPr>
        <w:instrText xml:space="preserve"> ADDIN PAPERS2_CITATIONS &lt;citation&gt;&lt;uuid&gt;45A0C911-8575-4767-AE6D-07F2A85AB95A&lt;/uuid&gt;&lt;priority&gt;0&lt;/priority&gt;&lt;publications&gt;&lt;publication&gt;&lt;uuid&gt;ABCCE41F-63D7-492A-8B76-FD2519ECE953&lt;/uuid&gt;&lt;volume&gt;486&lt;/volume&gt;&lt;doi&gt;10.1038/nature11234&lt;/doi&gt;&lt;startpage&gt;207&lt;/startpage&gt;&lt;publication_date&gt;99201206141200000000222000&lt;/publication_date&gt;&lt;url&gt;http://dx.doi.org/10.1038/nature11234&lt;/url&gt;&lt;type&gt;400&lt;/type&gt;&lt;title&gt;Structure, function and diversity of the healthy human microbiome&lt;/title&gt;&lt;publisher&gt;Nature Publishing Group&lt;/publisher&gt;&lt;number&gt;7402&lt;/number&gt;&lt;subtype&gt;400&lt;/subtype&gt;&lt;endpage&gt;214&lt;/endpage&gt;&lt;bundle&gt;&lt;publication&gt;&lt;publisher&gt;Nature Publishing Group&lt;/publisher&gt;&lt;title&gt;Nature&lt;/title&gt;&lt;type&gt;-100&lt;/type&gt;&lt;subtype&gt;-100&lt;/subtype&gt;&lt;uuid&gt;9BF1FF41-3E20-4A07-BF35-6973C3395E5D&lt;/uuid&gt;&lt;/publication&gt;&lt;/bundle&gt;&lt;authors&gt;&lt;author&gt;&lt;firstName&gt;The&lt;/firstName&gt;&lt;middleNames&gt;Human Microbiome Project&lt;/middleNames&gt;&lt;lastName&gt;Consortium&lt;/lastName&gt;&lt;/author&gt;&lt;/authors&gt;&lt;/publication&gt;&lt;publication&gt;&lt;uuid&gt;E0F653FB-4F4F-44F1-99DF-0C12F7153DE1&lt;/uuid&gt;&lt;volume&gt;493&lt;/volume&gt;&lt;doi&gt;10.1038/nature11711&lt;/doi&gt;&lt;startpage&gt;45&lt;/startpage&gt;&lt;publication_date&gt;99201212051200000000222000&lt;/publication_date&gt;&lt;url&gt;http://www.nature.com/doifinder/10.1038/nature11711&lt;/url&gt;&lt;type&gt;400&lt;/type&gt;&lt;title&gt;Genomic variation landscape of the human gut microbiome&lt;/title&gt;&lt;publisher&gt;Nature Publishing Group&lt;/publisher&gt;&lt;number&gt;7430&lt;/number&gt;&lt;subtype&gt;400&lt;/subtype&gt;&lt;endpage&gt;50&lt;/endpage&gt;&lt;bundle&gt;&lt;publication&gt;&lt;publisher&gt;Nature Publishing Group&lt;/publisher&gt;&lt;title&gt;Nature&lt;/title&gt;&lt;type&gt;-100&lt;/type&gt;&lt;subtype&gt;-100&lt;/subtype&gt;&lt;uuid&gt;9BF1FF41-3E20-4A07-BF35-6973C3395E5D&lt;/uuid&gt;&lt;/publication&gt;&lt;/bundle&gt;&lt;authors&gt;&lt;author&gt;&lt;firstName&gt;Siegfried&lt;/firstName&gt;&lt;lastName&gt;Schloissnig&lt;/lastName&gt;&lt;/author&gt;&lt;author&gt;&lt;firstName&gt;Manimozhiyan&lt;/firstName&gt;&lt;lastName&gt;Arumugam&lt;/lastName&gt;&lt;/author&gt;&lt;author&gt;&lt;firstName&gt;Shinichi&lt;/firstName&gt;&lt;lastName&gt;Sunagawa&lt;/lastName&gt;&lt;/author&gt;&lt;author&gt;&lt;firstName&gt;Makedonka&lt;/firstName&gt;&lt;lastName&gt;Mitreva&lt;/lastName&gt;&lt;/author&gt;&lt;author&gt;&lt;firstName&gt;Julien&lt;/firstName&gt;&lt;lastName&gt;Tap&lt;/lastName&gt;&lt;/author&gt;&lt;author&gt;&lt;firstName&gt;Ana&lt;/firstName&gt;&lt;lastName&gt;Zhu&lt;/lastName&gt;&lt;/author&gt;&lt;author&gt;&lt;firstName&gt;Alison&lt;/firstName&gt;&lt;lastName&gt;Waller&lt;/lastName&gt;&lt;/author&gt;&lt;author&gt;&lt;firstName&gt;Daniel&lt;/firstName&gt;&lt;middleNames&gt;R&lt;/middleNames&gt;&lt;lastName&gt;Mende&lt;/lastName&gt;&lt;/author&gt;&lt;author&gt;&lt;firstName&gt;Jens&lt;/firstName&gt;&lt;middleNames&gt;Roat&lt;/middleNames&gt;&lt;lastName&gt;Kultima&lt;/lastName&gt;&lt;/author&gt;&lt;author&gt;&lt;firstName&gt;John&lt;/firstName&gt;&lt;lastName&gt;Martin&lt;/lastName&gt;&lt;/author&gt;&lt;author&gt;&lt;firstName&gt;Karthik&lt;/firstName&gt;&lt;lastName&gt;Kota&lt;/lastName&gt;&lt;/author&gt;&lt;author&gt;&lt;firstName&gt;Shamil&lt;/firstName&gt;&lt;middleNames&gt;R&lt;/middleNames&gt;&lt;lastName&gt;Sunyaev&lt;/lastName&gt;&lt;/author&gt;&lt;author&gt;&lt;firstName&gt;George&lt;/firstName&gt;&lt;middleNames&gt;M&lt;/middleNames&gt;&lt;lastName&gt;Weinstock&lt;/lastName&gt;&lt;/author&gt;&lt;author&gt;&lt;firstName&gt;Peer&lt;/firstName&gt;&lt;lastName&gt;Bork&lt;/lastName&gt;&lt;/author&gt;&lt;/authors&gt;&lt;/publication&gt;&lt;/publications&gt;&lt;cites&gt;&lt;/cites&gt;&lt;/citation&gt;</w:instrText>
      </w:r>
      <w:r>
        <w:rPr>
          <w:rFonts w:ascii="Arial" w:hAnsi="Arial"/>
          <w:sz w:val="22"/>
        </w:rPr>
        <w:fldChar w:fldCharType="separate"/>
      </w:r>
      <w:r>
        <w:rPr>
          <w:rFonts w:ascii="Arial" w:hAnsi="Arial" w:cs="Arial"/>
          <w:sz w:val="22"/>
          <w:szCs w:val="22"/>
        </w:rPr>
        <w:t>{Consortium:2012bb, Schloissnig:2012hx}</w:t>
      </w:r>
      <w:r>
        <w:rPr>
          <w:rFonts w:ascii="Arial" w:hAnsi="Arial"/>
          <w:sz w:val="22"/>
        </w:rPr>
        <w:fldChar w:fldCharType="end"/>
      </w:r>
      <w:r>
        <w:rPr>
          <w:rFonts w:ascii="Arial" w:hAnsi="Arial"/>
          <w:sz w:val="22"/>
        </w:rPr>
        <w:t>, changes in gut community structure during disease states has been identified</w:t>
      </w:r>
      <w:r>
        <w:rPr>
          <w:rFonts w:ascii="Arial" w:hAnsi="Arial"/>
          <w:sz w:val="22"/>
        </w:rPr>
        <w:fldChar w:fldCharType="begin"/>
      </w:r>
      <w:r>
        <w:rPr>
          <w:rFonts w:ascii="Arial" w:hAnsi="Arial"/>
          <w:sz w:val="22"/>
        </w:rPr>
        <w:instrText xml:space="preserve"> ADDIN PAPERS2_CITATIONS &lt;citation&gt;&lt;uuid&gt;84107405-BAE7-4234-8437-AD32F93B9B56&lt;/uuid&gt;&lt;priority&gt;1&lt;/priority&gt;&lt;publications&gt;&lt;publication&gt;&lt;volume&gt;4&lt;/volume&gt;&lt;publication_date&gt;99201206061200000000222000&lt;/publication_date&gt;&lt;number&gt;137&lt;/number&gt;&lt;doi&gt;10.1126/scitranslmed.3004184&lt;/doi&gt;&lt;startpage&gt;137rv7&lt;/startpage&gt;&lt;title&gt;Microbiota, Disease, and Back to Health: A Metastable Journey&lt;/title&gt;&lt;uuid&gt;3CB09BE1-CC81-4BFA-9EFA-58B548B311B1&lt;/uuid&gt;&lt;subtype&gt;400&lt;/subtype&gt;&lt;endpage&gt;137rv7&lt;/endpage&gt;&lt;type&gt;400&lt;/type&gt;&lt;url&gt;http://stm.sciencemag.org/cgi/doi/10.1126/scitranslmed.3004184&lt;/url&gt;&lt;bundle&gt;&lt;publication&gt;&lt;title&gt;Science Translational Medicine&lt;/title&gt;&lt;type&gt;-100&lt;/type&gt;&lt;subtype&gt;-100&lt;/subtype&gt;&lt;uuid&gt;BD8F490E-4ADA-4D02-8E43-2DC7FD98F89B&lt;/uuid&gt;&lt;/publication&gt;&lt;/bundle&gt;&lt;authors&gt;&lt;author&gt;&lt;firstName&gt;R&lt;/firstName&gt;&lt;lastName&gt;Blumberg&lt;/lastName&gt;&lt;/author&gt;&lt;author&gt;&lt;firstName&gt;F&lt;/firstName&gt;&lt;lastName&gt;Powrie&lt;/lastName&gt;&lt;/author&gt;&lt;/authors&gt;&lt;/publication&gt;&lt;/publications&gt;&lt;cites&gt;&lt;/cites&gt;&lt;/citation&gt;</w:instrText>
      </w:r>
      <w:r>
        <w:rPr>
          <w:rFonts w:ascii="Arial" w:hAnsi="Arial"/>
          <w:sz w:val="22"/>
        </w:rPr>
        <w:fldChar w:fldCharType="separate"/>
      </w:r>
      <w:r>
        <w:rPr>
          <w:rFonts w:ascii="Arial" w:hAnsi="Arial" w:cs="Arial"/>
          <w:sz w:val="22"/>
          <w:szCs w:val="22"/>
        </w:rPr>
        <w:t>{Blumberg:2012en}</w:t>
      </w:r>
      <w:r>
        <w:rPr>
          <w:rFonts w:ascii="Arial" w:hAnsi="Arial"/>
          <w:sz w:val="22"/>
        </w:rPr>
        <w:fldChar w:fldCharType="end"/>
      </w:r>
      <w:r>
        <w:rPr>
          <w:rFonts w:ascii="Arial" w:hAnsi="Arial"/>
          <w:sz w:val="22"/>
        </w:rPr>
        <w:t xml:space="preserve">.  Pregnant women, a population at a higher risk to develop </w:t>
      </w:r>
      <w:proofErr w:type="spellStart"/>
      <w:r>
        <w:rPr>
          <w:rFonts w:ascii="Arial" w:hAnsi="Arial"/>
          <w:sz w:val="22"/>
        </w:rPr>
        <w:t>UTIs</w:t>
      </w:r>
      <w:proofErr w:type="spellEnd"/>
      <w:r>
        <w:rPr>
          <w:rFonts w:ascii="Arial" w:hAnsi="Arial"/>
          <w:sz w:val="22"/>
        </w:rPr>
        <w:fldChar w:fldCharType="begin"/>
      </w:r>
      <w:r w:rsidR="00741EF6">
        <w:rPr>
          <w:rFonts w:ascii="Arial" w:hAnsi="Arial"/>
          <w:sz w:val="22"/>
        </w:rPr>
        <w:instrText xml:space="preserve"> ADDIN PAPERS2_CITATIONS &lt;citation&gt;&lt;uuid&gt;266B8E4B-A3D7-4F2A-8F74-B94B1170008E&lt;/uuid&gt;&lt;priority&gt;2&lt;/priority&gt;&lt;publications&gt;&lt;publication&gt;&lt;uuid&gt;58FF5157-1EE5-4F1F-9287-A7213E0BC50F&lt;/uuid&gt;&lt;volume&gt;32&lt;/volume&gt;&lt;doi&gt;10.3109/01443615.2011.635227&lt;/doi&gt;&lt;startpage&gt;109&lt;/startpage&gt;&lt;publication_date&gt;99201202001200000000220000&lt;/publication_date&gt;&lt;url&gt;http://eutils.ncbi.nlm.nih.gov/entrez/eutils/elink.fcgi?dbfrom=pubmed&amp;amp;id=22296415&amp;amp;retmode=ref&amp;amp;cmd=prlinks&lt;/url&gt;&lt;type&gt;400&lt;/type&gt;&lt;title&gt;Urogynaecological problems in pregnancy.&lt;/title&gt;&lt;institution&gt;Department of Obstetrics and Gynaecology, Mid-Essex Hospital NHS Trust, Chelmsford, UK. hannahlaw1@hotmail.com&lt;/institution&gt;&lt;number&gt;2&lt;/number&gt;&lt;subtype&gt;400&lt;/subtype&gt;&lt;endpage&gt;112&lt;/endpage&gt;&lt;bundle&gt;&lt;publication&gt;&lt;title&gt;Journal of obstetrics and gynaecology : the journal of the Institute of Obstetrics and Gynaecology&lt;/title&gt;&lt;type&gt;-100&lt;/type&gt;&lt;subtype&gt;-100&lt;/subtype&gt;&lt;uuid&gt;AD757C8A-AAC3-41C0-B163-FAEAD0D4B9B9&lt;/uuid&gt;&lt;/publication&gt;&lt;/bundle&gt;&lt;authors&gt;&lt;author&gt;&lt;firstName&gt;H&lt;/firstName&gt;&lt;lastName&gt;Law&lt;/lastName&gt;&lt;/author&gt;&lt;author&gt;&lt;firstName&gt;P&lt;/firstName&gt;&lt;lastName&gt;Fiadjoe&lt;/lastName&gt;&lt;/author&gt;&lt;/authors&gt;&lt;/publication&gt;&lt;/publications&gt;&lt;cites&gt;&lt;/cites&gt;&lt;/citation&gt;</w:instrText>
      </w:r>
      <w:r>
        <w:rPr>
          <w:rFonts w:ascii="Arial" w:hAnsi="Arial"/>
          <w:sz w:val="22"/>
        </w:rPr>
        <w:fldChar w:fldCharType="separate"/>
      </w:r>
      <w:r>
        <w:rPr>
          <w:rFonts w:ascii="Arial" w:hAnsi="Arial" w:cs="Arial"/>
          <w:sz w:val="22"/>
          <w:szCs w:val="22"/>
        </w:rPr>
        <w:t>{Law:2012jr}</w:t>
      </w:r>
      <w:r>
        <w:rPr>
          <w:rFonts w:ascii="Arial" w:hAnsi="Arial"/>
          <w:sz w:val="22"/>
        </w:rPr>
        <w:fldChar w:fldCharType="end"/>
      </w:r>
      <w:r>
        <w:rPr>
          <w:rFonts w:ascii="Arial" w:hAnsi="Arial"/>
          <w:sz w:val="22"/>
        </w:rPr>
        <w:t xml:space="preserve">, undergo shifts in the ecology of their gut </w:t>
      </w:r>
      <w:proofErr w:type="spellStart"/>
      <w:r>
        <w:rPr>
          <w:rFonts w:ascii="Arial" w:hAnsi="Arial"/>
          <w:sz w:val="22"/>
        </w:rPr>
        <w:t>microbiome</w:t>
      </w:r>
      <w:proofErr w:type="spellEnd"/>
      <w:r>
        <w:rPr>
          <w:rFonts w:ascii="Arial" w:hAnsi="Arial"/>
          <w:sz w:val="22"/>
        </w:rPr>
        <w:t xml:space="preserve">, including expansion of </w:t>
      </w:r>
      <w:proofErr w:type="spellStart"/>
      <w:r>
        <w:rPr>
          <w:rFonts w:ascii="Arial" w:hAnsi="Arial"/>
          <w:sz w:val="22"/>
        </w:rPr>
        <w:t>proteobacteria</w:t>
      </w:r>
      <w:proofErr w:type="spellEnd"/>
      <w:r>
        <w:rPr>
          <w:rFonts w:ascii="Arial" w:hAnsi="Arial"/>
          <w:sz w:val="22"/>
        </w:rPr>
        <w:fldChar w:fldCharType="begin"/>
      </w:r>
      <w:r>
        <w:rPr>
          <w:rFonts w:ascii="Arial" w:hAnsi="Arial"/>
          <w:sz w:val="22"/>
        </w:rPr>
        <w:instrText xml:space="preserve"> ADDIN PAPERS2_CITATIONS &lt;citation&gt;&lt;uuid&gt;DF026704-6C30-4F36-B385-4EC1F201EC32&lt;/uuid&gt;&lt;priority&gt;0&lt;/priority&gt;&lt;publications&gt;&lt;publication&gt;&lt;uuid&gt;6C371D02-9C74-4A0A-819F-268BCE8E54F9&lt;/uuid&gt;&lt;volume&gt;150&lt;/volume&gt;&lt;accepted_date&gt;99201207051200000000222000&lt;/accepted_date&gt;&lt;doi&gt;10.1016/j.cell.2012.07.008&lt;/doi&gt;&lt;startpage&gt;470&lt;/startpage&gt;&lt;revision_date&gt;99201206141200000000222000&lt;/revision_date&gt;&lt;publication_date&gt;99201208031200000000222000&lt;/publication_date&gt;&lt;url&gt;http://eutils.ncbi.nlm.nih.gov/entrez/eutils/elink.fcgi?dbfrom=pubmed&amp;amp;id=22863002&amp;amp;retmode=ref&amp;amp;cmd=prlinks&lt;/url&gt;&lt;type&gt;400&lt;/type&gt;&lt;title&gt;Host remodeling of the gut microbiome and metabolic changes during pregnancy.&lt;/title&gt;&lt;location&gt;200,9,42.4466766,-76.4711751&lt;/location&gt;&lt;submission_date&gt;99201204081200000000222000&lt;/submission_date&gt;&lt;number&gt;3&lt;/number&gt;&lt;institution&gt;Department of Microbiology, Cornell University, Ithaca, NY 14853, USA.&lt;/institution&gt;&lt;subtype&gt;400&lt;/subtype&gt;&lt;endpage&gt;480&lt;/endpage&gt;&lt;bundle&gt;&lt;publication&gt;&lt;publisher&gt;Elsevier Inc.&lt;/publisher&gt;&lt;url&gt;http://www.cell.com/&lt;/url&gt;&lt;title&gt;Cell&lt;/title&gt;&lt;type&gt;-100&lt;/type&gt;&lt;subtype&gt;-100&lt;/subtype&gt;&lt;uuid&gt;62EEDC85-25F2-4F27-B463-B0250BA1964F&lt;/uuid&gt;&lt;/publication&gt;&lt;/bundle&gt;&lt;authors&gt;&lt;author&gt;&lt;firstName&gt;Omry&lt;/firstName&gt;&lt;lastName&gt;Koren&lt;/lastName&gt;&lt;/author&gt;&lt;author&gt;&lt;firstName&gt;Julia&lt;/firstName&gt;&lt;middleNames&gt;K&lt;/middleNames&gt;&lt;lastName&gt;Goodrich&lt;/lastName&gt;&lt;/author&gt;&lt;author&gt;&lt;firstName&gt;Tyler&lt;/firstName&gt;&lt;middleNames&gt;C&lt;/middleNames&gt;&lt;lastName&gt;Cullender&lt;/lastName&gt;&lt;/author&gt;&lt;author&gt;&lt;firstName&gt;Aymé&lt;/firstName&gt;&lt;lastName&gt;Spor&lt;/lastName&gt;&lt;/author&gt;&lt;author&gt;&lt;firstName&gt;Kirsi&lt;/firstName&gt;&lt;lastName&gt;Laitinen&lt;/lastName&gt;&lt;/author&gt;&lt;author&gt;&lt;firstName&gt;Helene&lt;/firstName&gt;&lt;middleNames&gt;Kling&lt;/middleNames&gt;&lt;lastName&gt;Bäckhed&lt;/lastName&gt;&lt;/author&gt;&lt;author&gt;&lt;firstName&gt;Antonio&lt;/firstName&gt;&lt;lastName&gt;Gonzalez&lt;/lastName&gt;&lt;/author&gt;&lt;author&gt;&lt;firstName&gt;Jeffrey&lt;/firstName&gt;&lt;middleNames&gt;J&lt;/middleNames&gt;&lt;lastName&gt;Werner&lt;/lastName&gt;&lt;/author&gt;&lt;author&gt;&lt;firstName&gt;Largus&lt;/firstName&gt;&lt;middleNames&gt;T&lt;/middleNames&gt;&lt;lastName&gt;Angenent&lt;/lastName&gt;&lt;/author&gt;&lt;author&gt;&lt;firstName&gt;Rob&lt;/firstName&gt;&lt;lastName&gt;Knight&lt;/lastName&gt;&lt;/author&gt;&lt;author&gt;&lt;firstName&gt;Fredrik&lt;/firstName&gt;&lt;lastName&gt;Bäckhed&lt;/lastName&gt;&lt;/author&gt;&lt;author&gt;&lt;firstName&gt;Erika&lt;/firstName&gt;&lt;lastName&gt;Isolauri&lt;/lastName&gt;&lt;/author&gt;&lt;author&gt;&lt;firstName&gt;Seppo&lt;/firstName&gt;&lt;lastName&gt;Salminen&lt;/lastName&gt;&lt;/author&gt;&lt;author&gt;&lt;firstName&gt;Ruth&lt;/firstName&gt;&lt;middleNames&gt;E&lt;/middleNames&gt;&lt;lastName&gt;Ley&lt;/lastName&gt;&lt;/author&gt;&lt;/authors&gt;&lt;/publication&gt;&lt;/publications&gt;&lt;cites&gt;&lt;/cites&gt;&lt;/citation&gt;</w:instrText>
      </w:r>
      <w:r>
        <w:rPr>
          <w:rFonts w:ascii="Arial" w:hAnsi="Arial"/>
          <w:sz w:val="22"/>
        </w:rPr>
        <w:fldChar w:fldCharType="separate"/>
      </w:r>
      <w:r>
        <w:rPr>
          <w:rFonts w:ascii="Arial" w:hAnsi="Arial" w:cs="Arial"/>
          <w:sz w:val="22"/>
          <w:szCs w:val="22"/>
        </w:rPr>
        <w:t>{Koren:2012ji}</w:t>
      </w:r>
      <w:r>
        <w:rPr>
          <w:rFonts w:ascii="Arial" w:hAnsi="Arial"/>
          <w:sz w:val="22"/>
        </w:rPr>
        <w:fldChar w:fldCharType="end"/>
      </w:r>
      <w:r>
        <w:rPr>
          <w:rFonts w:ascii="Arial" w:hAnsi="Arial"/>
          <w:sz w:val="22"/>
        </w:rPr>
        <w:t xml:space="preserve">.  </w:t>
      </w:r>
      <w:r w:rsidR="00741EF6">
        <w:rPr>
          <w:rFonts w:ascii="Arial" w:hAnsi="Arial"/>
          <w:sz w:val="22"/>
        </w:rPr>
        <w:t xml:space="preserve">Changes in the </w:t>
      </w:r>
      <w:proofErr w:type="spellStart"/>
      <w:r w:rsidR="00741EF6">
        <w:rPr>
          <w:rFonts w:ascii="Arial" w:hAnsi="Arial"/>
          <w:sz w:val="22"/>
        </w:rPr>
        <w:t>periutheral</w:t>
      </w:r>
      <w:proofErr w:type="spellEnd"/>
      <w:r w:rsidR="00741EF6">
        <w:rPr>
          <w:rFonts w:ascii="Arial" w:hAnsi="Arial"/>
          <w:sz w:val="22"/>
        </w:rPr>
        <w:t xml:space="preserve"> </w:t>
      </w:r>
      <w:proofErr w:type="spellStart"/>
      <w:r w:rsidR="00741EF6">
        <w:rPr>
          <w:rFonts w:ascii="Arial" w:hAnsi="Arial"/>
          <w:sz w:val="22"/>
        </w:rPr>
        <w:t>microbiota</w:t>
      </w:r>
      <w:proofErr w:type="spellEnd"/>
      <w:r w:rsidR="00741EF6">
        <w:rPr>
          <w:rFonts w:ascii="Arial" w:hAnsi="Arial"/>
          <w:sz w:val="22"/>
        </w:rPr>
        <w:t xml:space="preserve"> have also been found, as the prevalence of </w:t>
      </w:r>
      <w:r w:rsidR="00741EF6">
        <w:rPr>
          <w:rFonts w:ascii="Arial" w:hAnsi="Arial"/>
          <w:i/>
          <w:sz w:val="22"/>
        </w:rPr>
        <w:t>E. coli</w:t>
      </w:r>
      <w:r w:rsidR="00741EF6">
        <w:rPr>
          <w:rFonts w:ascii="Arial" w:hAnsi="Arial"/>
          <w:sz w:val="22"/>
        </w:rPr>
        <w:t xml:space="preserve"> increases in the days preceding the onset of a UTI</w:t>
      </w:r>
      <w:r w:rsidR="00741EF6">
        <w:rPr>
          <w:rFonts w:ascii="Arial" w:hAnsi="Arial"/>
          <w:sz w:val="22"/>
        </w:rPr>
        <w:fldChar w:fldCharType="begin"/>
      </w:r>
      <w:r w:rsidR="00741EF6">
        <w:rPr>
          <w:rFonts w:ascii="Arial" w:hAnsi="Arial"/>
          <w:sz w:val="22"/>
        </w:rPr>
        <w:instrText xml:space="preserve"> ADDIN PAPERS2_CITATIONS &lt;citation&gt;&lt;uuid&gt;046CD635-E7EF-4CFC-83CF-D8358E764C1B&lt;/uuid&gt;&lt;priority&gt;0&lt;/priority&gt;&lt;publications&gt;&lt;publication&gt;&lt;volume&gt;200&lt;/volume&gt;&lt;publication_date&gt;99200908151200000000222000&lt;/publication_date&gt;&lt;number&gt;4&lt;/number&gt;&lt;doi&gt;10.1086/600385&lt;/doi&gt;&lt;startpage&gt;528&lt;/startpage&gt;&lt;title&gt;Prospective Cohort Study of Microbial and Inflammatory Events Immediately Preceding Escherichia coli Recurrent Urinary Tract Infection in Women&lt;/title&gt;&lt;uuid&gt;9A1AD949-3039-42DD-8214-6C2FD0F7FB51&lt;/uuid&gt;&lt;subtype&gt;400&lt;/subtype&gt;&lt;endpage&gt;536&lt;/endpage&gt;&lt;type&gt;400&lt;/type&gt;&lt;url&gt;http://jid.oxfordjournals.org/lookup/doi/10.1086/600385&lt;/url&gt;&lt;bundle&gt;&lt;publication&gt;&lt;title&gt;The Journal of infectious diseases&lt;/title&gt;&lt;type&gt;-100&lt;/type&gt;&lt;subtype&gt;-100&lt;/subtype&gt;&lt;uuid&gt;16FC4547-A2F3-478A-891C-29932C12B267&lt;/uuid&gt;&lt;/publication&gt;&lt;/bundle&gt;&lt;authors&gt;&lt;author&gt;&lt;firstName&gt;C&lt;/firstName&gt;&lt;middleNames&gt;A&lt;/middleNames&gt;&lt;lastName&gt;Czaja&lt;/lastName&gt;&lt;/author&gt;&lt;author&gt;&lt;firstName&gt;W&lt;/firstName&gt;&lt;middleNames&gt;E&lt;/middleNames&gt;&lt;lastName&gt;Stamm&lt;/lastName&gt;&lt;/author&gt;&lt;author&gt;&lt;firstName&gt;A&lt;/firstName&gt;&lt;middleNames&gt;E&lt;/middleNames&gt;&lt;lastName&gt;Stapleton&lt;/lastName&gt;&lt;/author&gt;&lt;author&gt;&lt;firstName&gt;P&lt;/firstName&gt;&lt;middleNames&gt;L&lt;/middleNames&gt;&lt;lastName&gt;Roberts&lt;/lastName&gt;&lt;/author&gt;&lt;author&gt;&lt;firstName&gt;T&lt;/firstName&gt;&lt;middleNames&gt;R&lt;/middleNames&gt;&lt;lastName&gt;Hawn&lt;/lastName&gt;&lt;/author&gt;&lt;author&gt;&lt;firstName&gt;D&lt;/firstName&gt;&lt;lastName&gt;Scholes&lt;/lastName&gt;&lt;/author&gt;&lt;author&gt;&lt;firstName&gt;M&lt;/firstName&gt;&lt;lastName&gt;Samadpour&lt;/lastName&gt;&lt;/author&gt;&lt;author&gt;&lt;firstName&gt;S&lt;/firstName&gt;&lt;middleNames&gt;J&lt;/middleNames&gt;&lt;lastName&gt;Hultgren&lt;/lastName&gt;&lt;/author&gt;&lt;author&gt;&lt;firstName&gt;T&lt;/firstName&gt;&lt;middleNames&gt;M&lt;/middleNames&gt;&lt;lastName&gt;Hooton&lt;/lastName&gt;&lt;/author&gt;&lt;/authors&gt;&lt;/publication&gt;&lt;/publications&gt;&lt;cites&gt;&lt;/cites&gt;&lt;/citation&gt;</w:instrText>
      </w:r>
      <w:r w:rsidR="00741EF6">
        <w:rPr>
          <w:rFonts w:ascii="Arial" w:hAnsi="Arial"/>
          <w:sz w:val="22"/>
        </w:rPr>
        <w:fldChar w:fldCharType="separate"/>
      </w:r>
      <w:r w:rsidR="00741EF6">
        <w:rPr>
          <w:rFonts w:ascii="Arial" w:hAnsi="Arial" w:cs="Arial"/>
          <w:sz w:val="22"/>
          <w:szCs w:val="22"/>
        </w:rPr>
        <w:t>{Czaja:2009jx}</w:t>
      </w:r>
      <w:r w:rsidR="00741EF6">
        <w:rPr>
          <w:rFonts w:ascii="Arial" w:hAnsi="Arial"/>
          <w:sz w:val="22"/>
        </w:rPr>
        <w:fldChar w:fldCharType="end"/>
      </w:r>
      <w:r w:rsidR="00741EF6">
        <w:rPr>
          <w:rFonts w:ascii="Arial" w:hAnsi="Arial"/>
          <w:sz w:val="22"/>
        </w:rPr>
        <w:t>.  This is concordant with the rectal-</w:t>
      </w:r>
      <w:proofErr w:type="spellStart"/>
      <w:r w:rsidR="00741EF6">
        <w:rPr>
          <w:rFonts w:ascii="Arial" w:hAnsi="Arial"/>
          <w:sz w:val="22"/>
        </w:rPr>
        <w:t>perineal</w:t>
      </w:r>
      <w:proofErr w:type="spellEnd"/>
      <w:r w:rsidR="00741EF6">
        <w:rPr>
          <w:rFonts w:ascii="Arial" w:hAnsi="Arial"/>
          <w:sz w:val="22"/>
        </w:rPr>
        <w:t xml:space="preserve">-urethral hypothesis, which states that UPEC originate in the gut.  </w:t>
      </w:r>
    </w:p>
    <w:p w:rsidR="00F90E4F" w:rsidRPr="00DA3C51" w:rsidRDefault="00F90E4F" w:rsidP="00171E75">
      <w:pPr>
        <w:spacing w:after="0" w:line="480" w:lineRule="auto"/>
        <w:rPr>
          <w:rFonts w:ascii="Arial" w:hAnsi="Arial"/>
          <w:b/>
          <w:sz w:val="22"/>
        </w:rPr>
      </w:pPr>
    </w:p>
    <w:p w:rsidR="00DA3C51" w:rsidRDefault="00F90E4F" w:rsidP="00DA3C51">
      <w:pPr>
        <w:spacing w:after="0" w:line="480" w:lineRule="auto"/>
        <w:rPr>
          <w:rFonts w:ascii="Arial" w:hAnsi="Arial"/>
          <w:i/>
          <w:sz w:val="22"/>
        </w:rPr>
      </w:pPr>
      <w:r w:rsidRPr="00171E75">
        <w:rPr>
          <w:rFonts w:ascii="Arial" w:hAnsi="Arial"/>
          <w:i/>
          <w:sz w:val="22"/>
        </w:rPr>
        <w:t>Experimental methods</w:t>
      </w:r>
    </w:p>
    <w:p w:rsidR="00DA3C51" w:rsidRPr="00DA3C51" w:rsidRDefault="00DA3C51" w:rsidP="00DA3C51">
      <w:pPr>
        <w:spacing w:after="0" w:line="480" w:lineRule="auto"/>
        <w:rPr>
          <w:rFonts w:ascii="Arial" w:hAnsi="Arial"/>
          <w:i/>
          <w:sz w:val="22"/>
        </w:rPr>
      </w:pPr>
      <w:r>
        <w:rPr>
          <w:rFonts w:ascii="Arial" w:hAnsi="Arial"/>
          <w:i/>
          <w:sz w:val="22"/>
        </w:rPr>
        <w:tab/>
      </w:r>
      <w:r w:rsidR="00F90E4F" w:rsidRPr="00171E75">
        <w:rPr>
          <w:rFonts w:ascii="Arial" w:hAnsi="Arial"/>
          <w:sz w:val="22"/>
        </w:rPr>
        <w:t xml:space="preserve">Genomic DNA from the fecal samples collected from cohort will be extracted </w:t>
      </w:r>
      <w:r w:rsidR="00741EF6">
        <w:rPr>
          <w:rFonts w:ascii="Arial" w:hAnsi="Arial"/>
          <w:sz w:val="22"/>
        </w:rPr>
        <w:t xml:space="preserve">and </w:t>
      </w:r>
      <w:r w:rsidR="00F90E4F" w:rsidRPr="00171E75">
        <w:rPr>
          <w:rFonts w:ascii="Arial" w:hAnsi="Arial"/>
          <w:sz w:val="22"/>
        </w:rPr>
        <w:t xml:space="preserve">used as template 16S </w:t>
      </w:r>
      <w:proofErr w:type="spellStart"/>
      <w:r w:rsidR="00F90E4F" w:rsidRPr="00171E75">
        <w:rPr>
          <w:rFonts w:ascii="Arial" w:hAnsi="Arial"/>
          <w:sz w:val="22"/>
        </w:rPr>
        <w:t>rRNA</w:t>
      </w:r>
      <w:proofErr w:type="spellEnd"/>
      <w:r w:rsidR="00F90E4F" w:rsidRPr="00171E75">
        <w:rPr>
          <w:rFonts w:ascii="Arial" w:hAnsi="Arial"/>
          <w:sz w:val="22"/>
        </w:rPr>
        <w:t xml:space="preserve"> g</w:t>
      </w:r>
      <w:r>
        <w:rPr>
          <w:rFonts w:ascii="Arial" w:hAnsi="Arial"/>
          <w:sz w:val="22"/>
        </w:rPr>
        <w:t>en</w:t>
      </w:r>
      <w:r w:rsidR="00741EF6">
        <w:rPr>
          <w:rFonts w:ascii="Arial" w:hAnsi="Arial"/>
          <w:sz w:val="22"/>
        </w:rPr>
        <w:t xml:space="preserve">e using 454 </w:t>
      </w:r>
      <w:proofErr w:type="spellStart"/>
      <w:r w:rsidR="00741EF6">
        <w:rPr>
          <w:rFonts w:ascii="Arial" w:hAnsi="Arial"/>
          <w:sz w:val="22"/>
        </w:rPr>
        <w:t>pyrosequencing</w:t>
      </w:r>
      <w:proofErr w:type="spellEnd"/>
      <w:r w:rsidR="00741EF6">
        <w:rPr>
          <w:rFonts w:ascii="Arial" w:hAnsi="Arial"/>
          <w:sz w:val="22"/>
        </w:rPr>
        <w:t xml:space="preserve">. Sequence data from this will </w:t>
      </w:r>
      <w:r w:rsidR="00F90E4F" w:rsidRPr="00171E75">
        <w:rPr>
          <w:rFonts w:ascii="Arial" w:hAnsi="Arial"/>
          <w:sz w:val="22"/>
        </w:rPr>
        <w:t xml:space="preserve">then </w:t>
      </w:r>
      <w:r w:rsidR="00741EF6">
        <w:rPr>
          <w:rFonts w:ascii="Arial" w:hAnsi="Arial"/>
          <w:sz w:val="22"/>
        </w:rPr>
        <w:t xml:space="preserve">be </w:t>
      </w:r>
      <w:r w:rsidR="00F90E4F" w:rsidRPr="00171E75">
        <w:rPr>
          <w:rFonts w:ascii="Arial" w:hAnsi="Arial"/>
          <w:sz w:val="22"/>
        </w:rPr>
        <w:t xml:space="preserve">used to estimate the community structure of the gut </w:t>
      </w:r>
      <w:proofErr w:type="spellStart"/>
      <w:r w:rsidR="00F90E4F" w:rsidRPr="00171E75">
        <w:rPr>
          <w:rFonts w:ascii="Arial" w:hAnsi="Arial"/>
          <w:sz w:val="22"/>
        </w:rPr>
        <w:t>microbiota</w:t>
      </w:r>
      <w:proofErr w:type="spellEnd"/>
      <w:r>
        <w:rPr>
          <w:rFonts w:ascii="Arial" w:hAnsi="Arial"/>
          <w:sz w:val="22"/>
        </w:rPr>
        <w:t>, as has been done previously</w:t>
      </w:r>
      <w:r>
        <w:rPr>
          <w:rFonts w:ascii="Arial" w:hAnsi="Arial"/>
          <w:sz w:val="22"/>
        </w:rPr>
        <w:fldChar w:fldCharType="begin"/>
      </w:r>
      <w:r w:rsidR="00741EF6">
        <w:rPr>
          <w:rFonts w:ascii="Arial" w:hAnsi="Arial"/>
          <w:sz w:val="22"/>
        </w:rPr>
        <w:instrText xml:space="preserve"> ADDIN PAPERS2_CITATIONS &lt;citation&gt;&lt;uuid&gt;E67923F6-6214-470A-B5F9-913BDA6167FB&lt;/uuid&gt;&lt;priority&gt;3&lt;/priority&gt;&lt;publications&gt;&lt;publication&gt;&lt;uuid&gt;ABCCE41F-63D7-492A-8B76-FD2519ECE953&lt;/uuid&gt;&lt;volume&gt;486&lt;/volume&gt;&lt;doi&gt;10.1038/nature11234&lt;/doi&gt;&lt;startpage&gt;207&lt;/startpage&gt;&lt;publication_date&gt;99201206141200000000222000&lt;/publication_date&gt;&lt;url&gt;http://dx.doi.org/10.1038/nature11234&lt;/url&gt;&lt;type&gt;400&lt;/type&gt;&lt;title&gt;Structure, function and diversity of the healthy human microbiome&lt;/title&gt;&lt;publisher&gt;Nature Publishing Group&lt;/publisher&gt;&lt;number&gt;7402&lt;/number&gt;&lt;subtype&gt;400&lt;/subtype&gt;&lt;endpage&gt;214&lt;/endpage&gt;&lt;bundle&gt;&lt;publication&gt;&lt;publisher&gt;Nature Publishing Group&lt;/publisher&gt;&lt;title&gt;Nature&lt;/title&gt;&lt;type&gt;-100&lt;/type&gt;&lt;subtype&gt;-100&lt;/subtype&gt;&lt;uuid&gt;9BF1FF41-3E20-4A07-BF35-6973C3395E5D&lt;/uuid&gt;&lt;/publication&gt;&lt;/bundle&gt;&lt;authors&gt;&lt;author&gt;&lt;firstName&gt;The&lt;/firstName&gt;&lt;middleNames&gt;Human Microbiome Project&lt;/middleNames&gt;&lt;lastName&gt;Consortium&lt;/lastName&gt;&lt;/author&gt;&lt;/authors&gt;&lt;/publication&gt;&lt;/publications&gt;&lt;cites&gt;&lt;/cites&gt;&lt;/citation&gt;</w:instrText>
      </w:r>
      <w:r>
        <w:rPr>
          <w:rFonts w:ascii="Arial" w:hAnsi="Arial"/>
          <w:sz w:val="22"/>
        </w:rPr>
        <w:fldChar w:fldCharType="separate"/>
      </w:r>
      <w:r>
        <w:rPr>
          <w:rFonts w:ascii="Arial" w:hAnsi="Arial" w:cs="Arial"/>
          <w:sz w:val="22"/>
          <w:szCs w:val="22"/>
        </w:rPr>
        <w:t>{Consortium:2012bb}</w:t>
      </w:r>
      <w:r>
        <w:rPr>
          <w:rFonts w:ascii="Arial" w:hAnsi="Arial"/>
          <w:sz w:val="22"/>
        </w:rPr>
        <w:fldChar w:fldCharType="end"/>
      </w:r>
      <w:r>
        <w:rPr>
          <w:rFonts w:ascii="Arial" w:hAnsi="Arial"/>
          <w:sz w:val="22"/>
        </w:rPr>
        <w:t xml:space="preserve">.  </w:t>
      </w:r>
      <w:r w:rsidR="00F90E4F" w:rsidRPr="00171E75">
        <w:rPr>
          <w:rFonts w:ascii="Arial" w:hAnsi="Arial"/>
          <w:sz w:val="22"/>
        </w:rPr>
        <w:t xml:space="preserve">Binning of the </w:t>
      </w:r>
      <w:proofErr w:type="spellStart"/>
      <w:r w:rsidR="00F90E4F" w:rsidRPr="00171E75">
        <w:rPr>
          <w:rFonts w:ascii="Arial" w:hAnsi="Arial"/>
          <w:sz w:val="22"/>
        </w:rPr>
        <w:t>amplicons</w:t>
      </w:r>
      <w:proofErr w:type="spellEnd"/>
      <w:r w:rsidR="00F90E4F" w:rsidRPr="00171E75">
        <w:rPr>
          <w:rFonts w:ascii="Arial" w:hAnsi="Arial"/>
          <w:sz w:val="22"/>
        </w:rPr>
        <w:t xml:space="preserve"> into </w:t>
      </w:r>
      <w:proofErr w:type="spellStart"/>
      <w:r w:rsidR="00F90E4F" w:rsidRPr="00171E75">
        <w:rPr>
          <w:rFonts w:ascii="Arial" w:hAnsi="Arial"/>
          <w:sz w:val="22"/>
        </w:rPr>
        <w:t>phylotypes</w:t>
      </w:r>
      <w:proofErr w:type="spellEnd"/>
      <w:r w:rsidR="00F90E4F" w:rsidRPr="00171E75">
        <w:rPr>
          <w:rFonts w:ascii="Arial" w:hAnsi="Arial"/>
          <w:sz w:val="22"/>
        </w:rPr>
        <w:t xml:space="preserve"> using the QIIME software package will allow for the representation of those </w:t>
      </w:r>
      <w:proofErr w:type="spellStart"/>
      <w:r w:rsidR="00F90E4F" w:rsidRPr="00171E75">
        <w:rPr>
          <w:rFonts w:ascii="Arial" w:hAnsi="Arial"/>
          <w:sz w:val="22"/>
        </w:rPr>
        <w:t>phylotypes</w:t>
      </w:r>
      <w:proofErr w:type="spellEnd"/>
      <w:r w:rsidR="00F90E4F" w:rsidRPr="00171E75">
        <w:rPr>
          <w:rFonts w:ascii="Arial" w:hAnsi="Arial"/>
          <w:sz w:val="22"/>
        </w:rPr>
        <w:t xml:space="preserve"> in the gut </w:t>
      </w:r>
      <w:proofErr w:type="spellStart"/>
      <w:r w:rsidR="00F90E4F" w:rsidRPr="00171E75">
        <w:rPr>
          <w:rFonts w:ascii="Arial" w:hAnsi="Arial"/>
          <w:sz w:val="22"/>
        </w:rPr>
        <w:t>microbiota</w:t>
      </w:r>
      <w:proofErr w:type="spellEnd"/>
      <w:r w:rsidR="00F90E4F" w:rsidRPr="00171E75">
        <w:rPr>
          <w:rFonts w:ascii="Arial" w:hAnsi="Arial"/>
          <w:sz w:val="22"/>
        </w:rPr>
        <w:t xml:space="preserve"> to be measured</w:t>
      </w:r>
      <w:r>
        <w:rPr>
          <w:rFonts w:ascii="Arial" w:hAnsi="Arial"/>
          <w:sz w:val="22"/>
        </w:rPr>
        <w:t xml:space="preserve"> at the family level (</w:t>
      </w:r>
      <w:r>
        <w:rPr>
          <w:rFonts w:ascii="Arial" w:hAnsi="Arial"/>
          <w:i/>
          <w:sz w:val="22"/>
        </w:rPr>
        <w:t xml:space="preserve">E. coli </w:t>
      </w:r>
      <w:r>
        <w:rPr>
          <w:rFonts w:ascii="Arial" w:hAnsi="Arial"/>
          <w:sz w:val="22"/>
        </w:rPr>
        <w:t xml:space="preserve">is found in the </w:t>
      </w:r>
      <w:proofErr w:type="spellStart"/>
      <w:r>
        <w:rPr>
          <w:rFonts w:ascii="Arial" w:hAnsi="Arial"/>
          <w:sz w:val="22"/>
        </w:rPr>
        <w:t>Enterobacteriaceae</w:t>
      </w:r>
      <w:proofErr w:type="spellEnd"/>
      <w:r>
        <w:rPr>
          <w:rFonts w:ascii="Arial" w:hAnsi="Arial"/>
          <w:sz w:val="22"/>
        </w:rPr>
        <w:t xml:space="preserve"> family)</w:t>
      </w:r>
      <w:r w:rsidR="00F90E4F" w:rsidRPr="00171E75">
        <w:rPr>
          <w:rFonts w:ascii="Arial" w:hAnsi="Arial"/>
          <w:sz w:val="22"/>
        </w:rPr>
        <w:fldChar w:fldCharType="begin"/>
      </w:r>
      <w:r w:rsidR="00741EF6">
        <w:rPr>
          <w:rFonts w:ascii="Arial" w:hAnsi="Arial"/>
          <w:sz w:val="22"/>
        </w:rPr>
        <w:instrText xml:space="preserve"> ADDIN PAPERS2_CITATIONS &lt;citation&gt;&lt;uuid&gt;6771719D-E96A-4DC5-A5FD-96B805329479&lt;/uuid&gt;&lt;priority&gt;4&lt;/priority&gt;&lt;publications&gt;&lt;publication&gt;&lt;uuid&gt;DACCE824-DA1B-4424-9BEB-76498026A9E6&lt;/uuid&gt;&lt;volume&gt;7&lt;/volume&gt;&lt;doi&gt;doi:10.1038/nmeth.f.303&lt;/doi&gt;&lt;startpage&gt;335&lt;/startpage&gt;&lt;publication_date&gt;99201004111200000000222000&lt;/publication_date&gt;&lt;url&gt;http://www.nature.com/nmeth/journal/v7/n5/full/nmeth.f.303.html&lt;/url&gt;&lt;type&gt;400&lt;/type&gt;&lt;title&gt;QIIME allows analysis of high-throughput community sequencing data&lt;/title&gt;&lt;publisher&gt;Nature Publishing Group&lt;/publisher&gt;&lt;number&gt;5&lt;/number&gt;&lt;subtype&gt;400&lt;/subtype&gt;&lt;endpage&gt;336&lt;/endpage&gt;&lt;bundle&gt;&lt;publication&gt;&lt;publisher&gt;Nature Publishing Group&lt;/publisher&gt;&lt;title&gt;Nature Methods&lt;/title&gt;&lt;type&gt;-100&lt;/type&gt;&lt;subtype&gt;-100&lt;/subtype&gt;&lt;uuid&gt;B155CCB4-D610-420E-9E68-AE0B5C8955AA&lt;/uuid&gt;&lt;/publication&gt;&lt;/bundle&gt;&lt;authors&gt;&lt;author&gt;&lt;firstName&gt;J&lt;/firstName&gt;&lt;middleNames&gt;Gregory&lt;/middleNames&gt;&lt;lastName&gt;Caporaso&lt;/lastName&gt;&lt;/author&gt;&lt;author&gt;&lt;firstName&gt;Justin&lt;/firstName&gt;&lt;lastName&gt;Kuczynski&lt;/lastName&gt;&lt;/author&gt;&lt;author&gt;&lt;firstName&gt;Jesse&lt;/firstName&gt;&lt;lastName&gt;Stombaugh&lt;/lastName&gt;&lt;/author&gt;&lt;author&gt;&lt;firstName&gt;Kyle&lt;/firstName&gt;&lt;lastName&gt;Bittinger&lt;/lastName&gt;&lt;/author&gt;&lt;author&gt;&lt;firstName&gt;Frederic&lt;/firstName&gt;&lt;middleNames&gt;D&lt;/middleNames&gt;&lt;lastName&gt;Bushman&lt;/lastName&gt;&lt;/author&gt;&lt;author&gt;&lt;firstName&gt;Elizabeth&lt;/firstName&gt;&lt;middleNames&gt;K&lt;/middleNames&gt;&lt;lastName&gt;Costello&lt;/lastName&gt;&lt;/author&gt;&lt;author&gt;&lt;firstName&gt;Noah&lt;/firstName&gt;&lt;lastName&gt;Fierer&lt;/lastName&gt;&lt;/author&gt;&lt;author&gt;&lt;firstName&gt;Antonio&lt;/firstName&gt;&lt;middleNames&gt;Gonzalez Pe ntilde&lt;/middleNames&gt;&lt;lastName&gt;a&lt;/lastName&gt;&lt;/author&gt;&lt;author&gt;&lt;firstName&gt;Julia&lt;/firstName&gt;&lt;middleNames&gt;K&lt;/middleNames&gt;&lt;lastName&gt;Goodrich&lt;/lastName&gt;&lt;/author&gt;&lt;author&gt;&lt;firstName&gt;Jeffrey&lt;/firstName&gt;&lt;middleNames&gt;I&lt;/middleNames&gt;&lt;lastName&gt;Gordon&lt;/lastName&gt;&lt;/author&gt;&lt;author&gt;&lt;firstName&gt;Gavin&lt;/firstName&gt;&lt;middleNames&gt;A&lt;/middleNames&gt;&lt;lastName&gt;Huttley&lt;/lastName&gt;&lt;/author&gt;&lt;author&gt;&lt;firstName&gt;Scott&lt;/firstName&gt;&lt;middleNames&gt;T&lt;/middleNames&gt;&lt;lastName&gt;Kelley&lt;/lastName&gt;&lt;/author&gt;&lt;author&gt;&lt;firstName&gt;Dan&lt;/firstName&gt;&lt;lastName&gt;Knights&lt;/lastName&gt;&lt;/author&gt;&lt;author&gt;&lt;firstName&gt;Jeremy&lt;/firstName&gt;&lt;middleNames&gt;E&lt;/middleNames&gt;&lt;lastName&gt;Koenig&lt;/lastName&gt;&lt;/author&gt;&lt;author&gt;&lt;firstName&gt;Ruth&lt;/firstName&gt;&lt;middleNames&gt;E&lt;/middleNames&gt;&lt;lastName&gt;Ley&lt;/lastName&gt;&lt;/author&gt;&lt;author&gt;&lt;firstName&gt;Catherine&lt;/firstName&gt;&lt;middleNames&gt;A&lt;/middleNames&gt;&lt;lastName&gt;Lozupone&lt;/lastName&gt;&lt;/author&gt;&lt;author&gt;&lt;firstName&gt;Daniel&lt;/firstName&gt;&lt;lastName&gt;McDonald&lt;/lastName&gt;&lt;/author&gt;&lt;author&gt;&lt;firstName&gt;Brian&lt;/firstName&gt;&lt;middleNames&gt;D&lt;/middleNames&gt;&lt;lastName&gt;Muegge&lt;/lastName&gt;&lt;/author&gt;&lt;author&gt;&lt;firstName&gt;Meg&lt;/firstName&gt;&lt;lastName&gt;Pirrung&lt;/lastName&gt;&lt;/author&gt;&lt;author&gt;&lt;firstName&gt;Jens&lt;/firstName&gt;&lt;lastName&gt;Reeder&lt;/lastName&gt;&lt;/author&gt;&lt;author&gt;&lt;firstName&gt;Joel&lt;/firstName&gt;&lt;middleNames&gt;R&lt;/middleNames&gt;&lt;lastName&gt;Sevinsky&lt;/lastName&gt;&lt;/author&gt;&lt;author&gt;&lt;firstName&gt;Peter&lt;/firstName&gt;&lt;middleNames&gt;J&lt;/middleNames&gt;&lt;lastName&gt;Turnbaugh&lt;/lastName&gt;&lt;/author&gt;&lt;author&gt;&lt;firstName&gt;William&lt;/firstName&gt;&lt;middleNames&gt;A&lt;/middleNames&gt;&lt;lastName&gt;Walters&lt;/lastName&gt;&lt;/author&gt;&lt;author&gt;&lt;firstName&gt;Jeremy&lt;/firstName&gt;&lt;lastName&gt;Widmann&lt;/lastName&gt;&lt;/author&gt;&lt;author&gt;&lt;firstName&gt;Tanya&lt;/firstName&gt;&lt;lastName&gt;Yatsunenko&lt;/lastName&gt;&lt;/author&gt;&lt;author&gt;&lt;firstName&gt;Jesse&lt;/firstName&gt;&lt;lastName&gt;Zaneveld&lt;/lastName&gt;&lt;/author&gt;&lt;author&gt;&lt;firstName&gt;Rob&lt;/firstName&gt;&lt;lastName&gt;Knight&lt;/lastName&gt;&lt;/author&gt;&lt;/authors&gt;&lt;/publication&gt;&lt;/publications&gt;&lt;cites&gt;&lt;/cites&gt;&lt;/citation&gt;</w:instrText>
      </w:r>
      <w:r w:rsidR="00F90E4F" w:rsidRPr="00171E75">
        <w:rPr>
          <w:rFonts w:ascii="Arial" w:hAnsi="Arial"/>
          <w:sz w:val="22"/>
        </w:rPr>
        <w:fldChar w:fldCharType="separate"/>
      </w:r>
      <w:r w:rsidR="00F90E4F" w:rsidRPr="00171E75">
        <w:rPr>
          <w:rFonts w:ascii="Arial" w:hAnsi="Arial" w:cs="Cambria"/>
          <w:sz w:val="22"/>
        </w:rPr>
        <w:t>{Caporaso:2010bi}</w:t>
      </w:r>
      <w:r w:rsidR="00F90E4F" w:rsidRPr="00171E75">
        <w:rPr>
          <w:rFonts w:ascii="Arial" w:hAnsi="Arial"/>
          <w:sz w:val="22"/>
        </w:rPr>
        <w:fldChar w:fldCharType="end"/>
      </w:r>
      <w:r w:rsidR="00F90E4F" w:rsidRPr="00171E75">
        <w:rPr>
          <w:rFonts w:ascii="Arial" w:hAnsi="Arial"/>
          <w:sz w:val="22"/>
        </w:rPr>
        <w:t>.</w:t>
      </w:r>
      <w:r>
        <w:rPr>
          <w:rFonts w:ascii="Arial" w:hAnsi="Arial"/>
          <w:sz w:val="22"/>
        </w:rPr>
        <w:t xml:space="preserve"> </w:t>
      </w:r>
      <w:r w:rsidR="00F90E4F" w:rsidRPr="00171E75">
        <w:rPr>
          <w:rFonts w:ascii="Arial" w:hAnsi="Arial"/>
          <w:sz w:val="22"/>
        </w:rPr>
        <w:t xml:space="preserve"> Statistical analysis will include application of the Shannon diversity index to identify intra- and inter-host differences in community structure, Mann-Whitney non-parametric test of means to identify changes in the representation of </w:t>
      </w:r>
      <w:proofErr w:type="spellStart"/>
      <w:r w:rsidR="00F90E4F" w:rsidRPr="00171E75">
        <w:rPr>
          <w:rFonts w:ascii="Arial" w:hAnsi="Arial"/>
          <w:sz w:val="22"/>
        </w:rPr>
        <w:t>Enterobacteriaceae</w:t>
      </w:r>
      <w:proofErr w:type="spellEnd"/>
      <w:r w:rsidR="00F90E4F" w:rsidRPr="00171E75">
        <w:rPr>
          <w:rFonts w:ascii="Arial" w:hAnsi="Arial"/>
          <w:sz w:val="22"/>
        </w:rPr>
        <w:t xml:space="preserve"> during the UTI, and </w:t>
      </w:r>
      <w:proofErr w:type="spellStart"/>
      <w:r w:rsidR="00F90E4F" w:rsidRPr="00171E75">
        <w:rPr>
          <w:rFonts w:ascii="Arial" w:hAnsi="Arial"/>
          <w:sz w:val="22"/>
        </w:rPr>
        <w:t>prinicipal</w:t>
      </w:r>
      <w:proofErr w:type="spellEnd"/>
      <w:r w:rsidR="00F90E4F" w:rsidRPr="00171E75">
        <w:rPr>
          <w:rFonts w:ascii="Arial" w:hAnsi="Arial"/>
          <w:sz w:val="22"/>
        </w:rPr>
        <w:t xml:space="preserve"> component analysis </w:t>
      </w:r>
      <w:r w:rsidR="00876237">
        <w:rPr>
          <w:rFonts w:ascii="Arial" w:hAnsi="Arial"/>
          <w:sz w:val="22"/>
        </w:rPr>
        <w:t xml:space="preserve">(PCA) </w:t>
      </w:r>
      <w:r w:rsidR="00F90E4F" w:rsidRPr="00171E75">
        <w:rPr>
          <w:rFonts w:ascii="Arial" w:hAnsi="Arial"/>
          <w:sz w:val="22"/>
        </w:rPr>
        <w:t>to measure the tendency of th</w:t>
      </w:r>
      <w:r w:rsidR="00876237">
        <w:rPr>
          <w:rFonts w:ascii="Arial" w:hAnsi="Arial"/>
          <w:sz w:val="22"/>
        </w:rPr>
        <w:t>e samples to cluster to their sample groups.</w:t>
      </w:r>
    </w:p>
    <w:p w:rsidR="00171E75" w:rsidRDefault="00DA3C51" w:rsidP="00DA3C51">
      <w:pPr>
        <w:spacing w:after="0" w:line="480" w:lineRule="auto"/>
        <w:rPr>
          <w:rFonts w:ascii="Arial" w:hAnsi="Arial"/>
          <w:sz w:val="22"/>
        </w:rPr>
      </w:pPr>
      <w:r>
        <w:rPr>
          <w:rFonts w:ascii="Arial" w:hAnsi="Arial"/>
          <w:sz w:val="22"/>
        </w:rPr>
        <w:tab/>
      </w:r>
      <w:r w:rsidR="00F90E4F" w:rsidRPr="00171E75">
        <w:rPr>
          <w:rFonts w:ascii="Arial" w:hAnsi="Arial"/>
          <w:sz w:val="22"/>
        </w:rPr>
        <w:t xml:space="preserve">Antibiotic treatment has been shown to dramatically effect the composition of the gut </w:t>
      </w:r>
      <w:proofErr w:type="spellStart"/>
      <w:r w:rsidR="00F90E4F" w:rsidRPr="00171E75">
        <w:rPr>
          <w:rFonts w:ascii="Arial" w:hAnsi="Arial"/>
          <w:sz w:val="22"/>
        </w:rPr>
        <w:t>microbiota</w:t>
      </w:r>
      <w:proofErr w:type="spellEnd"/>
      <w:r w:rsidR="00F90E4F" w:rsidRPr="00171E75">
        <w:rPr>
          <w:rFonts w:ascii="Arial" w:hAnsi="Arial"/>
          <w:sz w:val="22"/>
        </w:rPr>
        <w:t>, and some genera may take months to reappear {Dethlefsen</w:t>
      </w:r>
      <w:proofErr w:type="gramStart"/>
      <w:r w:rsidR="00F90E4F" w:rsidRPr="00171E75">
        <w:rPr>
          <w:rFonts w:ascii="Arial" w:hAnsi="Arial"/>
          <w:sz w:val="22"/>
        </w:rPr>
        <w:t>:2008kn</w:t>
      </w:r>
      <w:proofErr w:type="gramEnd"/>
      <w:r w:rsidR="00F90E4F" w:rsidRPr="00171E75">
        <w:rPr>
          <w:rFonts w:ascii="Arial" w:hAnsi="Arial"/>
          <w:sz w:val="22"/>
        </w:rPr>
        <w:t xml:space="preserve">}.  This will reduce the overall species richness of the gut </w:t>
      </w:r>
      <w:proofErr w:type="spellStart"/>
      <w:r w:rsidR="00F90E4F" w:rsidRPr="00171E75">
        <w:rPr>
          <w:rFonts w:ascii="Arial" w:hAnsi="Arial"/>
          <w:sz w:val="22"/>
        </w:rPr>
        <w:t>microbiota</w:t>
      </w:r>
      <w:proofErr w:type="spellEnd"/>
      <w:r w:rsidR="00F90E4F" w:rsidRPr="00171E75">
        <w:rPr>
          <w:rFonts w:ascii="Arial" w:hAnsi="Arial"/>
          <w:sz w:val="22"/>
        </w:rPr>
        <w:t>, and may artificially reduce the divergence between</w:t>
      </w:r>
      <w:r w:rsidR="00A065E0">
        <w:rPr>
          <w:rFonts w:ascii="Arial" w:hAnsi="Arial"/>
          <w:sz w:val="22"/>
        </w:rPr>
        <w:t xml:space="preserve"> the UTI and Recovered groups</w:t>
      </w:r>
      <w:r w:rsidR="00F90E4F" w:rsidRPr="00171E75">
        <w:rPr>
          <w:rFonts w:ascii="Arial" w:hAnsi="Arial"/>
          <w:sz w:val="22"/>
        </w:rPr>
        <w:t xml:space="preserve">.  As an additional control against this error, data on the gut community structure of healthy adults available from the Human </w:t>
      </w:r>
      <w:proofErr w:type="spellStart"/>
      <w:r w:rsidR="00F90E4F" w:rsidRPr="00171E75">
        <w:rPr>
          <w:rFonts w:ascii="Arial" w:hAnsi="Arial"/>
          <w:sz w:val="22"/>
        </w:rPr>
        <w:t>Microbiome</w:t>
      </w:r>
      <w:proofErr w:type="spellEnd"/>
      <w:r w:rsidR="00F90E4F" w:rsidRPr="00171E75">
        <w:rPr>
          <w:rFonts w:ascii="Arial" w:hAnsi="Arial"/>
          <w:sz w:val="22"/>
        </w:rPr>
        <w:t xml:space="preserve"> Project </w:t>
      </w:r>
      <w:r w:rsidR="00171E75">
        <w:rPr>
          <w:rFonts w:ascii="Arial" w:hAnsi="Arial"/>
          <w:sz w:val="22"/>
        </w:rPr>
        <w:t xml:space="preserve">(HMP) </w:t>
      </w:r>
      <w:r w:rsidR="00F90E4F" w:rsidRPr="00171E75">
        <w:rPr>
          <w:rFonts w:ascii="Arial" w:hAnsi="Arial"/>
          <w:sz w:val="22"/>
        </w:rPr>
        <w:t xml:space="preserve">will be included in these analyses in order to identify differences between healthy </w:t>
      </w:r>
      <w:proofErr w:type="spellStart"/>
      <w:r w:rsidR="00F90E4F" w:rsidRPr="00171E75">
        <w:rPr>
          <w:rFonts w:ascii="Arial" w:hAnsi="Arial"/>
          <w:sz w:val="22"/>
        </w:rPr>
        <w:t>microbiomes</w:t>
      </w:r>
      <w:proofErr w:type="spellEnd"/>
      <w:r w:rsidR="00F90E4F" w:rsidRPr="00171E75">
        <w:rPr>
          <w:rFonts w:ascii="Arial" w:hAnsi="Arial"/>
          <w:sz w:val="22"/>
        </w:rPr>
        <w:t xml:space="preserve"> and </w:t>
      </w:r>
      <w:proofErr w:type="spellStart"/>
      <w:r w:rsidR="00F90E4F" w:rsidRPr="00171E75">
        <w:rPr>
          <w:rFonts w:ascii="Arial" w:hAnsi="Arial"/>
          <w:sz w:val="22"/>
        </w:rPr>
        <w:t>microbiomes</w:t>
      </w:r>
      <w:proofErr w:type="spellEnd"/>
      <w:r w:rsidR="00F90E4F" w:rsidRPr="00171E75">
        <w:rPr>
          <w:rFonts w:ascii="Arial" w:hAnsi="Arial"/>
          <w:sz w:val="22"/>
        </w:rPr>
        <w:t xml:space="preserve"> that may be altered after antibiotic treatment</w:t>
      </w:r>
      <w:r>
        <w:rPr>
          <w:rFonts w:ascii="Arial" w:hAnsi="Arial"/>
          <w:sz w:val="22"/>
        </w:rPr>
        <w:t>, as has been done in other studies</w:t>
      </w:r>
      <w:r>
        <w:rPr>
          <w:rFonts w:ascii="Arial" w:hAnsi="Arial"/>
          <w:sz w:val="22"/>
        </w:rPr>
        <w:fldChar w:fldCharType="begin"/>
      </w:r>
      <w:r w:rsidR="00741EF6">
        <w:rPr>
          <w:rFonts w:ascii="Arial" w:hAnsi="Arial"/>
          <w:sz w:val="22"/>
        </w:rPr>
        <w:instrText xml:space="preserve"> ADDIN PAPERS2_CITATIONS &lt;citation&gt;&lt;uuid&gt;13B44650-3D61-4DBF-9F7D-054BCBD6ED30&lt;/uuid&gt;&lt;priority&gt;6&lt;/priority&gt;&lt;publications&gt;&lt;publication&gt;&lt;uuid&gt;6C371D02-9C74-4A0A-819F-268BCE8E54F9&lt;/uuid&gt;&lt;volume&gt;150&lt;/volume&gt;&lt;accepted_date&gt;99201207051200000000222000&lt;/accepted_date&gt;&lt;doi&gt;10.1016/j.cell.2012.07.008&lt;/doi&gt;&lt;startpage&gt;470&lt;/startpage&gt;&lt;revision_date&gt;99201206141200000000222000&lt;/revision_date&gt;&lt;publication_date&gt;99201208031200000000222000&lt;/publication_date&gt;&lt;url&gt;http://eutils.ncbi.nlm.nih.gov/entrez/eutils/elink.fcgi?dbfrom=pubmed&amp;amp;id=22863002&amp;amp;retmode=ref&amp;amp;cmd=prlinks&lt;/url&gt;&lt;type&gt;400&lt;/type&gt;&lt;title&gt;Host remodeling of the gut microbiome and metabolic changes during pregnancy.&lt;/title&gt;&lt;location&gt;200,9,42.4466766,-76.4711751&lt;/location&gt;&lt;submission_date&gt;99201204081200000000222000&lt;/submission_date&gt;&lt;number&gt;3&lt;/number&gt;&lt;institution&gt;Department of Microbiology, Cornell University, Ithaca, NY 14853, USA.&lt;/institution&gt;&lt;subtype&gt;400&lt;/subtype&gt;&lt;endpage&gt;480&lt;/endpage&gt;&lt;bundle&gt;&lt;publication&gt;&lt;publisher&gt;Elsevier Inc.&lt;/publisher&gt;&lt;url&gt;http://www.cell.com/&lt;/url&gt;&lt;title&gt;Cell&lt;/title&gt;&lt;type&gt;-100&lt;/type&gt;&lt;subtype&gt;-100&lt;/subtype&gt;&lt;uuid&gt;62EEDC85-25F2-4F27-B463-B0250BA1964F&lt;/uuid&gt;&lt;/publication&gt;&lt;/bundle&gt;&lt;authors&gt;&lt;author&gt;&lt;firstName&gt;Omry&lt;/firstName&gt;&lt;lastName&gt;Koren&lt;/lastName&gt;&lt;/author&gt;&lt;author&gt;&lt;firstName&gt;Julia&lt;/firstName&gt;&lt;middleNames&gt;K&lt;/middleNames&gt;&lt;lastName&gt;Goodrich&lt;/lastName&gt;&lt;/author&gt;&lt;author&gt;&lt;firstName&gt;Tyler&lt;/firstName&gt;&lt;middleNames&gt;C&lt;/middleNames&gt;&lt;lastName&gt;Cullender&lt;/lastName&gt;&lt;/author&gt;&lt;author&gt;&lt;firstName&gt;Aymé&lt;/firstName&gt;&lt;lastName&gt;Spor&lt;/lastName&gt;&lt;/author&gt;&lt;author&gt;&lt;firstName&gt;Kirsi&lt;/firstName&gt;&lt;lastName&gt;Laitinen&lt;/lastName&gt;&lt;/author&gt;&lt;author&gt;&lt;firstName&gt;Helene&lt;/firstName&gt;&lt;middleNames&gt;Kling&lt;/middleNames&gt;&lt;lastName&gt;Bäckhed&lt;/lastName&gt;&lt;/author&gt;&lt;author&gt;&lt;firstName&gt;Antonio&lt;/firstName&gt;&lt;lastName&gt;Gonzalez&lt;/lastName&gt;&lt;/author&gt;&lt;author&gt;&lt;firstName&gt;Jeffrey&lt;/firstName&gt;&lt;middleNames&gt;J&lt;/middleNames&gt;&lt;lastName&gt;Werner&lt;/lastName&gt;&lt;/author&gt;&lt;author&gt;&lt;firstName&gt;Largus&lt;/firstName&gt;&lt;middleNames&gt;T&lt;/middleNames&gt;&lt;lastName&gt;Angenent&lt;/lastName&gt;&lt;/author&gt;&lt;author&gt;&lt;firstName&gt;Rob&lt;/firstName&gt;&lt;lastName&gt;Knight&lt;/lastName&gt;&lt;/author&gt;&lt;author&gt;&lt;firstName&gt;Fredrik&lt;/firstName&gt;&lt;lastName&gt;Bäckhed&lt;/lastName&gt;&lt;/author&gt;&lt;author&gt;&lt;firstName&gt;Erika&lt;/firstName&gt;&lt;lastName&gt;Isolauri&lt;/lastName&gt;&lt;/author&gt;&lt;author&gt;&lt;firstName&gt;Seppo&lt;/firstName&gt;&lt;lastName&gt;Salminen&lt;/lastName&gt;&lt;/author&gt;&lt;author&gt;&lt;firstName&gt;Ruth&lt;/firstName&gt;&lt;middleNames&gt;E&lt;/middleNames&gt;&lt;lastName&gt;Ley&lt;/lastName&gt;&lt;/author&gt;&lt;/authors&gt;&lt;/publication&gt;&lt;/publications&gt;&lt;cites&gt;&lt;/cites&gt;&lt;/citation&gt;</w:instrText>
      </w:r>
      <w:r>
        <w:rPr>
          <w:rFonts w:ascii="Arial" w:hAnsi="Arial"/>
          <w:sz w:val="22"/>
        </w:rPr>
        <w:fldChar w:fldCharType="separate"/>
      </w:r>
      <w:r>
        <w:rPr>
          <w:rFonts w:ascii="Arial" w:hAnsi="Arial" w:cs="Arial"/>
          <w:sz w:val="22"/>
          <w:szCs w:val="22"/>
        </w:rPr>
        <w:t>{Koren:2012ji}</w:t>
      </w:r>
      <w:r>
        <w:rPr>
          <w:rFonts w:ascii="Arial" w:hAnsi="Arial"/>
          <w:sz w:val="22"/>
        </w:rPr>
        <w:fldChar w:fldCharType="end"/>
      </w:r>
      <w:r w:rsidR="00F90E4F" w:rsidRPr="00171E75">
        <w:rPr>
          <w:rFonts w:ascii="Arial" w:hAnsi="Arial"/>
          <w:sz w:val="22"/>
        </w:rPr>
        <w:t>.</w:t>
      </w:r>
      <w:r w:rsidR="00171E75">
        <w:rPr>
          <w:rFonts w:ascii="Arial" w:hAnsi="Arial"/>
          <w:sz w:val="22"/>
        </w:rPr>
        <w:t xml:space="preserve"> </w:t>
      </w:r>
    </w:p>
    <w:p w:rsidR="00171E75" w:rsidRDefault="00171E75" w:rsidP="00171E75">
      <w:pPr>
        <w:spacing w:after="0" w:line="480" w:lineRule="auto"/>
        <w:rPr>
          <w:rFonts w:ascii="Arial" w:hAnsi="Arial"/>
          <w:sz w:val="22"/>
        </w:rPr>
      </w:pPr>
    </w:p>
    <w:p w:rsidR="00171E75" w:rsidRDefault="00171E75" w:rsidP="00171E75">
      <w:pPr>
        <w:spacing w:after="0" w:line="480" w:lineRule="auto"/>
        <w:rPr>
          <w:rFonts w:ascii="Arial" w:hAnsi="Arial"/>
          <w:sz w:val="22"/>
        </w:rPr>
      </w:pPr>
      <w:r>
        <w:rPr>
          <w:rFonts w:ascii="Arial" w:hAnsi="Arial"/>
          <w:i/>
          <w:sz w:val="22"/>
        </w:rPr>
        <w:t>Expected results</w:t>
      </w:r>
    </w:p>
    <w:p w:rsidR="00171E75" w:rsidRPr="00876237" w:rsidRDefault="00171E75" w:rsidP="00171E75">
      <w:pPr>
        <w:spacing w:after="0" w:line="480" w:lineRule="auto"/>
        <w:rPr>
          <w:rFonts w:ascii="Arial" w:hAnsi="Arial"/>
          <w:sz w:val="22"/>
        </w:rPr>
      </w:pPr>
      <w:r>
        <w:rPr>
          <w:rFonts w:ascii="Arial" w:hAnsi="Arial"/>
          <w:sz w:val="22"/>
        </w:rPr>
        <w:tab/>
        <w:t xml:space="preserve">The above </w:t>
      </w:r>
      <w:r w:rsidRPr="00171E75">
        <w:rPr>
          <w:rFonts w:ascii="Arial" w:hAnsi="Arial"/>
          <w:sz w:val="22"/>
        </w:rPr>
        <w:t xml:space="preserve">methods will enable discrimination between the sample groups (during UTI, after antibiotic treatment, and after recovery) and </w:t>
      </w:r>
      <w:r>
        <w:rPr>
          <w:rFonts w:ascii="Arial" w:hAnsi="Arial"/>
          <w:sz w:val="22"/>
        </w:rPr>
        <w:t xml:space="preserve">gut </w:t>
      </w:r>
      <w:proofErr w:type="spellStart"/>
      <w:r>
        <w:rPr>
          <w:rFonts w:ascii="Arial" w:hAnsi="Arial"/>
          <w:sz w:val="22"/>
        </w:rPr>
        <w:t>microbiomes</w:t>
      </w:r>
      <w:proofErr w:type="spellEnd"/>
      <w:r>
        <w:rPr>
          <w:rFonts w:ascii="Arial" w:hAnsi="Arial"/>
          <w:sz w:val="22"/>
        </w:rPr>
        <w:t xml:space="preserve"> collected from the HMP.  Analysis using the Shannon diversity index will measure the differences between the sample groups and will likely show that the samples from the different groups will show more inter-group diversity than intra-g</w:t>
      </w:r>
      <w:r w:rsidR="00876237">
        <w:rPr>
          <w:rFonts w:ascii="Arial" w:hAnsi="Arial"/>
          <w:sz w:val="22"/>
        </w:rPr>
        <w:t xml:space="preserve">roup diversity, indicating that the groups have shared features of their community structure that differ between the groups.  This analysis will be supported by PCA which will show that communities from the Recovered group will cluster with the data from the HMP, while the UTI group and the Treated group will each cluster separately.  Finally, the Mann-Whitney t-test will show that the UTI group will have a statistically significant higher representation of </w:t>
      </w:r>
      <w:proofErr w:type="spellStart"/>
      <w:r w:rsidR="00876237">
        <w:rPr>
          <w:rFonts w:ascii="Arial" w:hAnsi="Arial"/>
          <w:sz w:val="22"/>
        </w:rPr>
        <w:t>Enterobacteriaceae</w:t>
      </w:r>
      <w:proofErr w:type="spellEnd"/>
      <w:r w:rsidR="00876237">
        <w:rPr>
          <w:rFonts w:ascii="Arial" w:hAnsi="Arial"/>
          <w:sz w:val="22"/>
        </w:rPr>
        <w:t xml:space="preserve"> than the Recovered group, which indicates that gut </w:t>
      </w:r>
      <w:r w:rsidR="00876237">
        <w:rPr>
          <w:rFonts w:ascii="Arial" w:hAnsi="Arial"/>
          <w:i/>
          <w:sz w:val="22"/>
        </w:rPr>
        <w:t>E. coli</w:t>
      </w:r>
      <w:r w:rsidR="00876237">
        <w:rPr>
          <w:rFonts w:ascii="Arial" w:hAnsi="Arial"/>
          <w:sz w:val="22"/>
        </w:rPr>
        <w:t xml:space="preserve"> carriage is higher during UTI than after antibiotic treatment and recovery.</w:t>
      </w:r>
    </w:p>
    <w:p w:rsidR="00171E75" w:rsidRDefault="00171E75" w:rsidP="00171E75">
      <w:pPr>
        <w:spacing w:after="0" w:line="480" w:lineRule="auto"/>
        <w:rPr>
          <w:rFonts w:ascii="Arial" w:hAnsi="Arial"/>
          <w:sz w:val="22"/>
        </w:rPr>
      </w:pPr>
    </w:p>
    <w:p w:rsidR="00171E75" w:rsidRPr="00171E75" w:rsidRDefault="00171E75" w:rsidP="00171E75">
      <w:pPr>
        <w:spacing w:after="0" w:line="480" w:lineRule="auto"/>
        <w:rPr>
          <w:rFonts w:ascii="Arial" w:hAnsi="Arial"/>
          <w:i/>
          <w:sz w:val="22"/>
        </w:rPr>
      </w:pPr>
      <w:r w:rsidRPr="00171E75">
        <w:rPr>
          <w:rFonts w:ascii="Arial" w:hAnsi="Arial"/>
          <w:i/>
          <w:sz w:val="22"/>
        </w:rPr>
        <w:t>Anticipated challenges</w:t>
      </w:r>
    </w:p>
    <w:p w:rsidR="00171E75" w:rsidRPr="00171E75" w:rsidRDefault="00171E75" w:rsidP="00876237">
      <w:pPr>
        <w:spacing w:after="0" w:line="480" w:lineRule="auto"/>
        <w:ind w:firstLine="720"/>
        <w:rPr>
          <w:rFonts w:ascii="Arial" w:hAnsi="Arial"/>
          <w:sz w:val="22"/>
        </w:rPr>
      </w:pPr>
      <w:r w:rsidRPr="00171E75">
        <w:rPr>
          <w:rFonts w:ascii="Arial" w:hAnsi="Arial"/>
          <w:sz w:val="22"/>
        </w:rPr>
        <w:t>Recurrence of a UTI episode within 6-12 months after an initial UTI caused by UPEC occurs in approximately 25-30% of cases.  The chance of recurrence is greatest within the first 3 months following the initial UTI, and is often caused by the same UPEC strain as the one that caused the initial UTI.  The chance of another UTI episode caused by the same strain drops after 6 months.  This indicates that there may be a short-lived reservoir of UPEC in the patient that survives antibiotic treatment and immune system clearance.  This reservoir may be located in the gut, which would complicate analysis of the gut carriage of UPEC during an acute UTI episode.  As a result, any patients who self-reported another UTI episode within the 6 months following entry into the cohort will be excluded from the final analyses.</w:t>
      </w:r>
    </w:p>
    <w:p w:rsidR="00171E75" w:rsidRPr="00171E75" w:rsidRDefault="00171E75" w:rsidP="00171E75">
      <w:pPr>
        <w:spacing w:after="0" w:line="480" w:lineRule="auto"/>
        <w:rPr>
          <w:rFonts w:ascii="Arial" w:hAnsi="Arial"/>
          <w:sz w:val="22"/>
        </w:rPr>
      </w:pPr>
      <w:r w:rsidRPr="00171E75">
        <w:rPr>
          <w:rFonts w:ascii="Arial" w:hAnsi="Arial"/>
          <w:sz w:val="22"/>
        </w:rPr>
        <w:t xml:space="preserve">It is possible that there </w:t>
      </w:r>
      <w:proofErr w:type="gramStart"/>
      <w:r w:rsidRPr="00171E75">
        <w:rPr>
          <w:rFonts w:ascii="Arial" w:hAnsi="Arial"/>
          <w:sz w:val="22"/>
        </w:rPr>
        <w:t>are</w:t>
      </w:r>
      <w:proofErr w:type="gramEnd"/>
      <w:r w:rsidRPr="00171E75">
        <w:rPr>
          <w:rFonts w:ascii="Arial" w:hAnsi="Arial"/>
          <w:sz w:val="22"/>
        </w:rPr>
        <w:t xml:space="preserve"> members of the </w:t>
      </w:r>
      <w:proofErr w:type="spellStart"/>
      <w:r w:rsidRPr="00171E75">
        <w:rPr>
          <w:rFonts w:ascii="Arial" w:hAnsi="Arial"/>
          <w:sz w:val="22"/>
        </w:rPr>
        <w:t>Enterobacteriaceae</w:t>
      </w:r>
      <w:proofErr w:type="spellEnd"/>
      <w:r w:rsidRPr="00171E75">
        <w:rPr>
          <w:rFonts w:ascii="Arial" w:hAnsi="Arial"/>
          <w:sz w:val="22"/>
        </w:rPr>
        <w:t xml:space="preserve"> that could be have increased representation in the gut at the onset of a UTI episode due to host factors, such as immunodeficiency.  If there are large discrepancies between the estimated abundance of </w:t>
      </w:r>
      <w:proofErr w:type="spellStart"/>
      <w:r w:rsidRPr="00171E75">
        <w:rPr>
          <w:rFonts w:ascii="Arial" w:hAnsi="Arial"/>
          <w:sz w:val="22"/>
        </w:rPr>
        <w:t>Enterobacteriaceae</w:t>
      </w:r>
      <w:proofErr w:type="spellEnd"/>
      <w:r w:rsidRPr="00171E75">
        <w:rPr>
          <w:rFonts w:ascii="Arial" w:hAnsi="Arial"/>
          <w:sz w:val="22"/>
        </w:rPr>
        <w:t xml:space="preserve"> and </w:t>
      </w:r>
      <w:r w:rsidRPr="00171E75">
        <w:rPr>
          <w:rFonts w:ascii="Arial" w:hAnsi="Arial"/>
          <w:i/>
          <w:sz w:val="22"/>
        </w:rPr>
        <w:t>E. coli</w:t>
      </w:r>
      <w:r w:rsidRPr="00171E75">
        <w:rPr>
          <w:rFonts w:ascii="Arial" w:hAnsi="Arial"/>
          <w:sz w:val="22"/>
        </w:rPr>
        <w:t xml:space="preserve"> specific markers identified in sub-aim2, then the relative representation of </w:t>
      </w:r>
      <w:r w:rsidRPr="00171E75">
        <w:rPr>
          <w:rFonts w:ascii="Arial" w:hAnsi="Arial"/>
          <w:i/>
          <w:sz w:val="22"/>
        </w:rPr>
        <w:t>E. coli</w:t>
      </w:r>
      <w:r w:rsidRPr="00171E75">
        <w:rPr>
          <w:rFonts w:ascii="Arial" w:hAnsi="Arial"/>
          <w:sz w:val="22"/>
        </w:rPr>
        <w:t xml:space="preserve"> in the gut </w:t>
      </w:r>
      <w:proofErr w:type="spellStart"/>
      <w:r w:rsidRPr="00171E75">
        <w:rPr>
          <w:rFonts w:ascii="Arial" w:hAnsi="Arial"/>
          <w:sz w:val="22"/>
        </w:rPr>
        <w:t>microbiome</w:t>
      </w:r>
      <w:proofErr w:type="spellEnd"/>
      <w:r w:rsidRPr="00171E75">
        <w:rPr>
          <w:rFonts w:ascii="Arial" w:hAnsi="Arial"/>
          <w:sz w:val="22"/>
        </w:rPr>
        <w:t xml:space="preserve"> will be re-estimated using </w:t>
      </w:r>
      <w:proofErr w:type="spellStart"/>
      <w:r w:rsidRPr="00171E75">
        <w:rPr>
          <w:rFonts w:ascii="Arial" w:hAnsi="Arial"/>
          <w:sz w:val="22"/>
        </w:rPr>
        <w:t>qPCR</w:t>
      </w:r>
      <w:proofErr w:type="spellEnd"/>
      <w:r w:rsidRPr="00171E75">
        <w:rPr>
          <w:rFonts w:ascii="Arial" w:hAnsi="Arial"/>
          <w:sz w:val="22"/>
        </w:rPr>
        <w:t xml:space="preserve"> targeting </w:t>
      </w:r>
      <w:r w:rsidRPr="00171E75">
        <w:rPr>
          <w:rFonts w:ascii="Arial" w:hAnsi="Arial"/>
          <w:i/>
          <w:sz w:val="22"/>
        </w:rPr>
        <w:t>E. coli</w:t>
      </w:r>
      <w:r w:rsidRPr="00171E75">
        <w:rPr>
          <w:rFonts w:ascii="Arial" w:hAnsi="Arial"/>
          <w:sz w:val="22"/>
        </w:rPr>
        <w:t xml:space="preserve"> specific housekeeping genes and comparing those results to a control region conserved in the family </w:t>
      </w:r>
      <w:proofErr w:type="spellStart"/>
      <w:r w:rsidRPr="00171E75">
        <w:rPr>
          <w:rFonts w:ascii="Arial" w:hAnsi="Arial"/>
          <w:sz w:val="22"/>
        </w:rPr>
        <w:t>Enterobacteriaceae</w:t>
      </w:r>
      <w:proofErr w:type="spellEnd"/>
      <w:r w:rsidRPr="00171E75">
        <w:rPr>
          <w:rFonts w:ascii="Arial" w:hAnsi="Arial"/>
          <w:sz w:val="22"/>
        </w:rPr>
        <w:t xml:space="preserve">.  This will identify the proportion of </w:t>
      </w:r>
      <w:r w:rsidRPr="00171E75">
        <w:rPr>
          <w:rFonts w:ascii="Arial" w:hAnsi="Arial"/>
          <w:i/>
          <w:sz w:val="22"/>
        </w:rPr>
        <w:t>E. coli</w:t>
      </w:r>
      <w:r w:rsidRPr="00171E75">
        <w:rPr>
          <w:rFonts w:ascii="Arial" w:hAnsi="Arial"/>
          <w:sz w:val="22"/>
        </w:rPr>
        <w:t xml:space="preserve"> in the fecal sample relative to the </w:t>
      </w:r>
      <w:proofErr w:type="spellStart"/>
      <w:r w:rsidRPr="00171E75">
        <w:rPr>
          <w:rFonts w:ascii="Arial" w:hAnsi="Arial"/>
          <w:sz w:val="22"/>
        </w:rPr>
        <w:t>abudance</w:t>
      </w:r>
      <w:proofErr w:type="spellEnd"/>
      <w:r w:rsidRPr="00171E75">
        <w:rPr>
          <w:rFonts w:ascii="Arial" w:hAnsi="Arial"/>
          <w:sz w:val="22"/>
        </w:rPr>
        <w:t xml:space="preserve"> of the </w:t>
      </w:r>
      <w:proofErr w:type="spellStart"/>
      <w:r w:rsidRPr="00171E75">
        <w:rPr>
          <w:rFonts w:ascii="Arial" w:hAnsi="Arial"/>
          <w:sz w:val="22"/>
        </w:rPr>
        <w:t>Enterobacteriaceae</w:t>
      </w:r>
      <w:proofErr w:type="spellEnd"/>
      <w:r w:rsidRPr="00171E75">
        <w:rPr>
          <w:rFonts w:ascii="Arial" w:hAnsi="Arial"/>
          <w:sz w:val="22"/>
        </w:rPr>
        <w:t xml:space="preserve"> family.</w:t>
      </w:r>
    </w:p>
    <w:p w:rsidR="00813A71" w:rsidRPr="00171E75" w:rsidRDefault="00813A71" w:rsidP="00171E75">
      <w:pPr>
        <w:spacing w:after="0" w:line="480" w:lineRule="auto"/>
        <w:ind w:firstLine="360"/>
        <w:rPr>
          <w:rFonts w:ascii="Arial" w:hAnsi="Arial"/>
          <w:sz w:val="22"/>
        </w:rPr>
      </w:pPr>
    </w:p>
    <w:sectPr w:rsidR="00813A71" w:rsidRPr="00171E75" w:rsidSect="00171E75">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94799"/>
    <w:multiLevelType w:val="hybridMultilevel"/>
    <w:tmpl w:val="D7EAE4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41A3C3D"/>
    <w:multiLevelType w:val="hybridMultilevel"/>
    <w:tmpl w:val="D7EAE4F6"/>
    <w:lvl w:ilvl="0" w:tplc="0409000F">
      <w:start w:val="1"/>
      <w:numFmt w:val="upperRoman"/>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13A71"/>
    <w:rsid w:val="00053435"/>
    <w:rsid w:val="00171E75"/>
    <w:rsid w:val="00433E75"/>
    <w:rsid w:val="00741EF6"/>
    <w:rsid w:val="00813A71"/>
    <w:rsid w:val="00876237"/>
    <w:rsid w:val="008B2299"/>
    <w:rsid w:val="00A065E0"/>
    <w:rsid w:val="00A802B1"/>
    <w:rsid w:val="00AB5B70"/>
    <w:rsid w:val="00DA3C51"/>
    <w:rsid w:val="00E653C9"/>
    <w:rsid w:val="00F90E4F"/>
  </w:rsids>
  <m:mathPr>
    <m:mathFont m:val="Arial Unicode M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List Paragraph" w:uiPriority="34" w:qFormat="1"/>
  </w:latentStyles>
  <w:style w:type="paragraph" w:default="1" w:styleId="Normal">
    <w:name w:val="Normal"/>
    <w:qFormat/>
    <w:rsid w:val="00D138A6"/>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053435"/>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1571</Words>
  <Characters>8955</Characters>
  <Application>Microsoft Macintosh Word</Application>
  <DocSecurity>0</DocSecurity>
  <Lines>74</Lines>
  <Paragraphs>17</Paragraphs>
  <ScaleCrop>false</ScaleCrop>
  <Company>Washington University School of Medicine</Company>
  <LinksUpToDate>false</LinksUpToDate>
  <CharactersWithSpaces>10997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 Schreiber IV</dc:creator>
  <cp:keywords/>
  <cp:lastModifiedBy>Henry L. Schreiber IV</cp:lastModifiedBy>
  <cp:revision>2</cp:revision>
  <dcterms:created xsi:type="dcterms:W3CDTF">2013-01-14T02:58:00Z</dcterms:created>
  <dcterms:modified xsi:type="dcterms:W3CDTF">2013-01-16T21:43:00Z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id="http://www.zotero.org/styles/nature"/&gt;&lt;format class="21"/&gt;&lt;count citations="9" publications="8"/&gt;&lt;/info&gt;PAPERS2_INFO_END</vt:lpwstr>
  </property>
</Properties>
</file>