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0BE" w:rsidRPr="00461D94" w:rsidRDefault="00D830BE" w:rsidP="00D830BE">
      <w:pPr>
        <w:spacing w:before="240" w:line="360" w:lineRule="auto"/>
        <w:jc w:val="center"/>
        <w:rPr>
          <w:rFonts w:ascii="Times New Roman" w:hAnsi="Times New Roman" w:cs="Times New Roman"/>
          <w:b/>
        </w:rPr>
      </w:pPr>
      <w:r w:rsidRPr="00461D94">
        <w:rPr>
          <w:rFonts w:ascii="Times New Roman" w:hAnsi="Times New Roman" w:cs="Times New Roman"/>
          <w:b/>
        </w:rPr>
        <w:t>SimpleDSFviewer: a tool to analyse and view differential scanning fluorimetry data for characterising protein thermal stability and interactions</w:t>
      </w:r>
    </w:p>
    <w:p w:rsidR="00C0611E" w:rsidRPr="00770B1D" w:rsidRDefault="00C0611E" w:rsidP="00C0611E">
      <w:pPr>
        <w:jc w:val="both"/>
        <w:rPr>
          <w:rFonts w:ascii="Times New Roman" w:hAnsi="Times New Roman" w:cs="Times New Roman"/>
          <w:b/>
          <w:color w:val="000000" w:themeColor="text1"/>
        </w:rPr>
      </w:pPr>
    </w:p>
    <w:p w:rsidR="00C0611E" w:rsidRPr="00770B1D" w:rsidRDefault="00C0611E" w:rsidP="00C0611E">
      <w:pPr>
        <w:jc w:val="both"/>
        <w:rPr>
          <w:rFonts w:ascii="Times New Roman" w:hAnsi="Times New Roman" w:cs="Times New Roman"/>
          <w:b/>
          <w:color w:val="000000" w:themeColor="text1"/>
        </w:rPr>
      </w:pPr>
      <w:bookmarkStart w:id="0" w:name="_GoBack"/>
      <w:bookmarkEnd w:id="0"/>
    </w:p>
    <w:p w:rsidR="00C0611E" w:rsidRPr="00770B1D" w:rsidRDefault="00C0611E" w:rsidP="00C0611E">
      <w:pPr>
        <w:jc w:val="both"/>
        <w:outlineLvl w:val="0"/>
        <w:rPr>
          <w:rFonts w:ascii="Times New Roman" w:hAnsi="Times New Roman" w:cs="Times New Roman"/>
          <w:b/>
          <w:color w:val="000000" w:themeColor="text1"/>
        </w:rPr>
      </w:pPr>
      <w:r w:rsidRPr="00770B1D">
        <w:rPr>
          <w:rFonts w:ascii="Times New Roman" w:hAnsi="Times New Roman" w:cs="Times New Roman"/>
          <w:b/>
          <w:color w:val="000000" w:themeColor="text1"/>
        </w:rPr>
        <w:t>Supplementary:</w:t>
      </w:r>
    </w:p>
    <w:p w:rsidR="00C0611E" w:rsidRPr="00770B1D" w:rsidRDefault="00C0611E" w:rsidP="00C0611E">
      <w:pPr>
        <w:jc w:val="both"/>
        <w:rPr>
          <w:rFonts w:ascii="Times New Roman" w:hAnsi="Times New Roman" w:cs="Times New Roman"/>
          <w:b/>
          <w:color w:val="000000" w:themeColor="text1"/>
        </w:rPr>
      </w:pPr>
    </w:p>
    <w:p w:rsidR="00C0611E" w:rsidRPr="00770B1D" w:rsidRDefault="00C0611E" w:rsidP="00C0611E">
      <w:pPr>
        <w:jc w:val="both"/>
        <w:rPr>
          <w:rFonts w:ascii="Times New Roman" w:hAnsi="Times New Roman" w:cs="Times New Roman"/>
          <w:b/>
          <w:color w:val="000000" w:themeColor="text1"/>
        </w:rPr>
      </w:pPr>
    </w:p>
    <w:p w:rsidR="00C0611E" w:rsidRPr="00770B1D" w:rsidRDefault="00C0611E" w:rsidP="00C0611E">
      <w:pPr>
        <w:jc w:val="both"/>
        <w:outlineLvl w:val="0"/>
        <w:rPr>
          <w:rFonts w:ascii="Times New Roman" w:hAnsi="Times New Roman" w:cs="Times New Roman"/>
          <w:b/>
          <w:color w:val="000000" w:themeColor="text1"/>
        </w:rPr>
      </w:pPr>
      <w:r w:rsidRPr="00770B1D">
        <w:rPr>
          <w:rFonts w:ascii="Times New Roman" w:hAnsi="Times New Roman" w:cs="Times New Roman"/>
          <w:b/>
          <w:color w:val="000000" w:themeColor="text1"/>
        </w:rPr>
        <w:t>1 File Table:</w:t>
      </w:r>
    </w:p>
    <w:p w:rsidR="00C0611E" w:rsidRPr="00770B1D" w:rsidRDefault="00C0611E" w:rsidP="00C0611E">
      <w:pPr>
        <w:spacing w:before="240" w:after="240" w:line="480" w:lineRule="auto"/>
        <w:jc w:val="both"/>
        <w:outlineLvl w:val="0"/>
        <w:rPr>
          <w:rFonts w:ascii="Times New Roman" w:hAnsi="Times New Roman" w:cs="Times New Roman"/>
          <w:b/>
          <w:color w:val="000000" w:themeColor="text1"/>
        </w:rPr>
      </w:pPr>
      <w:r w:rsidRPr="00770B1D">
        <w:rPr>
          <w:rFonts w:ascii="Times New Roman" w:hAnsi="Times New Roman" w:cs="Times New Roman"/>
          <w:b/>
          <w:color w:val="000000" w:themeColor="text1"/>
        </w:rPr>
        <w:t>(1) Code files (</w:t>
      </w:r>
      <w:r w:rsidRPr="00770B1D">
        <w:rPr>
          <w:rFonts w:ascii="Times New Roman" w:hAnsi="Times New Roman" w:cs="Times New Roman"/>
          <w:color w:val="000000" w:themeColor="text1"/>
        </w:rPr>
        <w:t>Folder: SimpleDSFviewer MATLAB code</w:t>
      </w:r>
      <w:r w:rsidRPr="00770B1D">
        <w:rPr>
          <w:rFonts w:ascii="Times New Roman" w:hAnsi="Times New Roman" w:cs="Times New Roman"/>
          <w:b/>
          <w:color w:val="000000" w:themeColor="text1"/>
        </w:rPr>
        <w:t>):</w:t>
      </w:r>
    </w:p>
    <w:p w:rsidR="00C0611E" w:rsidRPr="00770B1D" w:rsidRDefault="00C0611E" w:rsidP="00C0611E">
      <w:pPr>
        <w:spacing w:before="120" w:line="480" w:lineRule="auto"/>
        <w:jc w:val="both"/>
        <w:rPr>
          <w:rFonts w:ascii="Times New Roman" w:hAnsi="Times New Roman" w:cs="Times New Roman"/>
          <w:color w:val="000000" w:themeColor="text1"/>
          <w:sz w:val="22"/>
          <w:szCs w:val="22"/>
        </w:rPr>
      </w:pPr>
      <w:proofErr w:type="spellStart"/>
      <w:r w:rsidRPr="00770B1D">
        <w:rPr>
          <w:rFonts w:ascii="Times New Roman" w:hAnsi="Times New Roman" w:cs="Times New Roman"/>
          <w:b/>
          <w:color w:val="000000" w:themeColor="text1"/>
          <w:sz w:val="22"/>
          <w:szCs w:val="22"/>
        </w:rPr>
        <w:t>SimpleDSFviewer.m</w:t>
      </w:r>
      <w:proofErr w:type="spellEnd"/>
      <w:r w:rsidRPr="00770B1D">
        <w:rPr>
          <w:rFonts w:ascii="Times New Roman" w:hAnsi="Times New Roman" w:cs="Times New Roman"/>
          <w:b/>
          <w:color w:val="000000" w:themeColor="text1"/>
          <w:sz w:val="22"/>
          <w:szCs w:val="22"/>
        </w:rPr>
        <w:t xml:space="preserve"> (</w:t>
      </w:r>
      <w:proofErr w:type="spellStart"/>
      <w:r w:rsidRPr="00770B1D">
        <w:rPr>
          <w:rFonts w:ascii="Times New Roman" w:hAnsi="Times New Roman" w:cs="Times New Roman"/>
          <w:b/>
          <w:color w:val="000000" w:themeColor="text1"/>
          <w:sz w:val="22"/>
          <w:szCs w:val="22"/>
        </w:rPr>
        <w:t>SimpleDSFviewer.fig</w:t>
      </w:r>
      <w:proofErr w:type="spellEnd"/>
      <w:r w:rsidRPr="00770B1D">
        <w:rPr>
          <w:rFonts w:ascii="Times New Roman" w:hAnsi="Times New Roman" w:cs="Times New Roman"/>
          <w:b/>
          <w:color w:val="000000" w:themeColor="text1"/>
          <w:sz w:val="22"/>
          <w:szCs w:val="22"/>
        </w:rPr>
        <w:t>)</w:t>
      </w:r>
      <w:r w:rsidRPr="00770B1D">
        <w:rPr>
          <w:rFonts w:ascii="Times New Roman" w:hAnsi="Times New Roman" w:cs="Times New Roman"/>
          <w:color w:val="000000" w:themeColor="text1"/>
          <w:sz w:val="22"/>
          <w:szCs w:val="22"/>
        </w:rPr>
        <w:t xml:space="preserve"> is the main script, which displays the user interface and contains the buttons and parameter input</w:t>
      </w:r>
      <w:r w:rsidR="00FD4340">
        <w:rPr>
          <w:rFonts w:ascii="Times New Roman" w:hAnsi="Times New Roman" w:cs="Times New Roman"/>
          <w:color w:val="000000" w:themeColor="text1"/>
          <w:sz w:val="22"/>
          <w:szCs w:val="22"/>
        </w:rPr>
        <w:t>s</w:t>
      </w:r>
      <w:r w:rsidRPr="00770B1D">
        <w:rPr>
          <w:rFonts w:ascii="Times New Roman" w:hAnsi="Times New Roman" w:cs="Times New Roman"/>
          <w:color w:val="000000" w:themeColor="text1"/>
          <w:sz w:val="22"/>
          <w:szCs w:val="22"/>
        </w:rPr>
        <w:t>.</w:t>
      </w:r>
    </w:p>
    <w:p w:rsidR="00C0611E" w:rsidRPr="00770B1D" w:rsidRDefault="00C0611E" w:rsidP="00C0611E">
      <w:pPr>
        <w:spacing w:before="120" w:line="480" w:lineRule="auto"/>
        <w:jc w:val="both"/>
        <w:rPr>
          <w:rFonts w:ascii="Times New Roman" w:hAnsi="Times New Roman" w:cs="Times New Roman"/>
          <w:color w:val="000000" w:themeColor="text1"/>
          <w:sz w:val="22"/>
          <w:szCs w:val="22"/>
        </w:rPr>
      </w:pPr>
      <w:proofErr w:type="spellStart"/>
      <w:r w:rsidRPr="00770B1D">
        <w:rPr>
          <w:rFonts w:ascii="Times New Roman" w:hAnsi="Times New Roman" w:cs="Times New Roman"/>
          <w:b/>
          <w:color w:val="000000" w:themeColor="text1"/>
          <w:sz w:val="22"/>
          <w:szCs w:val="22"/>
        </w:rPr>
        <w:t>Normalisemc.m</w:t>
      </w:r>
      <w:proofErr w:type="spellEnd"/>
      <w:r w:rsidRPr="00770B1D">
        <w:rPr>
          <w:rFonts w:ascii="Times New Roman" w:hAnsi="Times New Roman" w:cs="Times New Roman"/>
          <w:color w:val="000000" w:themeColor="text1"/>
          <w:sz w:val="22"/>
          <w:szCs w:val="22"/>
        </w:rPr>
        <w:t xml:space="preserve"> is connected to the user interface script to normalise the melting curves by using the parameters loaded into the user interface.</w:t>
      </w:r>
    </w:p>
    <w:p w:rsidR="00C0611E" w:rsidRPr="001D312B" w:rsidRDefault="00C0611E" w:rsidP="00C0611E">
      <w:pPr>
        <w:spacing w:before="120" w:line="480" w:lineRule="auto"/>
        <w:jc w:val="both"/>
        <w:rPr>
          <w:rFonts w:ascii="Times New Roman" w:hAnsi="Times New Roman" w:cs="Times New Roman"/>
          <w:color w:val="000000" w:themeColor="text1"/>
          <w:sz w:val="22"/>
          <w:szCs w:val="22"/>
        </w:rPr>
      </w:pPr>
      <w:proofErr w:type="spellStart"/>
      <w:r w:rsidRPr="001D312B">
        <w:rPr>
          <w:rFonts w:ascii="Times New Roman" w:hAnsi="Times New Roman" w:cs="Times New Roman"/>
          <w:b/>
          <w:color w:val="000000" w:themeColor="text1"/>
          <w:sz w:val="22"/>
          <w:szCs w:val="22"/>
        </w:rPr>
        <w:t>Smomcurve.m</w:t>
      </w:r>
      <w:proofErr w:type="spellEnd"/>
      <w:r w:rsidRPr="001D312B">
        <w:rPr>
          <w:rFonts w:ascii="Times New Roman" w:hAnsi="Times New Roman" w:cs="Times New Roman"/>
          <w:color w:val="000000" w:themeColor="text1"/>
          <w:sz w:val="22"/>
          <w:szCs w:val="22"/>
        </w:rPr>
        <w:t xml:space="preserve"> is used to smooth the melting curves if it required.</w:t>
      </w:r>
    </w:p>
    <w:p w:rsidR="00C0611E" w:rsidRPr="001D312B" w:rsidRDefault="00C0611E" w:rsidP="00C0611E">
      <w:pPr>
        <w:spacing w:before="120" w:line="480" w:lineRule="auto"/>
        <w:jc w:val="both"/>
        <w:rPr>
          <w:rFonts w:ascii="Times New Roman" w:hAnsi="Times New Roman" w:cs="Times New Roman"/>
          <w:color w:val="000000" w:themeColor="text1"/>
          <w:sz w:val="22"/>
          <w:szCs w:val="22"/>
        </w:rPr>
      </w:pPr>
      <w:proofErr w:type="spellStart"/>
      <w:r w:rsidRPr="001D312B">
        <w:rPr>
          <w:rFonts w:ascii="Times New Roman" w:hAnsi="Times New Roman" w:cs="Times New Roman"/>
          <w:b/>
          <w:color w:val="000000" w:themeColor="text1"/>
          <w:sz w:val="22"/>
          <w:szCs w:val="22"/>
        </w:rPr>
        <w:t>Peaknumber.m</w:t>
      </w:r>
      <w:proofErr w:type="spellEnd"/>
      <w:r w:rsidRPr="001D312B">
        <w:rPr>
          <w:rFonts w:ascii="Times New Roman" w:hAnsi="Times New Roman" w:cs="Times New Roman"/>
          <w:color w:val="000000" w:themeColor="text1"/>
          <w:sz w:val="22"/>
          <w:szCs w:val="22"/>
        </w:rPr>
        <w:t xml:space="preserve"> is used to screen the melting curves, which automatically classifies the curves. The different curves shown in Fig. 4 A can be recognised automatically, and the parameters for classifying the curves can be changed manually.</w:t>
      </w:r>
    </w:p>
    <w:p w:rsidR="00C0611E" w:rsidRPr="001D312B" w:rsidRDefault="00C0611E" w:rsidP="00C0611E">
      <w:pPr>
        <w:spacing w:before="120" w:line="480" w:lineRule="auto"/>
        <w:jc w:val="both"/>
        <w:rPr>
          <w:rFonts w:ascii="Times New Roman" w:hAnsi="Times New Roman" w:cs="Times New Roman"/>
          <w:color w:val="000000" w:themeColor="text1"/>
          <w:sz w:val="22"/>
          <w:szCs w:val="22"/>
        </w:rPr>
      </w:pPr>
      <w:proofErr w:type="spellStart"/>
      <w:proofErr w:type="gramStart"/>
      <w:r w:rsidRPr="001D312B">
        <w:rPr>
          <w:rFonts w:ascii="Times New Roman" w:hAnsi="Times New Roman" w:cs="Times New Roman"/>
          <w:b/>
          <w:color w:val="000000" w:themeColor="text1"/>
          <w:sz w:val="22"/>
          <w:szCs w:val="22"/>
        </w:rPr>
        <w:t>mapTm.m</w:t>
      </w:r>
      <w:proofErr w:type="spellEnd"/>
      <w:proofErr w:type="gramEnd"/>
      <w:r w:rsidRPr="001D312B">
        <w:rPr>
          <w:rFonts w:ascii="Times New Roman" w:hAnsi="Times New Roman" w:cs="Times New Roman"/>
          <w:color w:val="000000" w:themeColor="text1"/>
          <w:sz w:val="22"/>
          <w:szCs w:val="22"/>
        </w:rPr>
        <w:t xml:space="preserve"> is to generate the preview map (Fig. 4 C) and 3 D bar plot graph (Fig. 4 D).</w:t>
      </w:r>
    </w:p>
    <w:p w:rsidR="00C0611E" w:rsidRPr="001D312B" w:rsidRDefault="00C0611E" w:rsidP="00C0611E">
      <w:pPr>
        <w:spacing w:before="240" w:after="240" w:line="480" w:lineRule="auto"/>
        <w:jc w:val="both"/>
        <w:outlineLvl w:val="0"/>
        <w:rPr>
          <w:rFonts w:ascii="Times New Roman" w:hAnsi="Times New Roman" w:cs="Times New Roman"/>
          <w:b/>
          <w:color w:val="000000" w:themeColor="text1"/>
        </w:rPr>
      </w:pPr>
      <w:r w:rsidRPr="001D312B">
        <w:rPr>
          <w:rFonts w:ascii="Times New Roman" w:hAnsi="Times New Roman" w:cs="Times New Roman"/>
          <w:b/>
          <w:color w:val="000000" w:themeColor="text1"/>
        </w:rPr>
        <w:t>(2) Runtime app files (</w:t>
      </w:r>
      <w:r w:rsidRPr="001D312B">
        <w:rPr>
          <w:rFonts w:ascii="Times New Roman" w:hAnsi="Times New Roman" w:cs="Times New Roman"/>
          <w:color w:val="000000" w:themeColor="text1"/>
        </w:rPr>
        <w:t>Folders:</w:t>
      </w:r>
      <w:r w:rsidRPr="001D312B">
        <w:rPr>
          <w:rFonts w:ascii="Times New Roman" w:hAnsi="Times New Roman" w:cs="Times New Roman"/>
          <w:b/>
          <w:color w:val="000000" w:themeColor="text1"/>
        </w:rPr>
        <w:t xml:space="preserve"> </w:t>
      </w:r>
      <w:r w:rsidRPr="001D312B">
        <w:rPr>
          <w:rFonts w:ascii="Times New Roman" w:hAnsi="Times New Roman" w:cs="Times New Roman"/>
          <w:color w:val="000000" w:themeColor="text1"/>
        </w:rPr>
        <w:t>SimpleDSFviewer Mac/Win32/Win64 runtime</w:t>
      </w:r>
      <w:r w:rsidRPr="001D312B">
        <w:rPr>
          <w:rFonts w:ascii="Times New Roman" w:hAnsi="Times New Roman" w:cs="Times New Roman"/>
          <w:b/>
          <w:color w:val="000000" w:themeColor="text1"/>
        </w:rPr>
        <w:t>):</w:t>
      </w:r>
    </w:p>
    <w:p w:rsidR="00C0611E" w:rsidRPr="001D312B" w:rsidRDefault="00C0611E" w:rsidP="00C0611E">
      <w:pPr>
        <w:spacing w:before="120" w:line="480" w:lineRule="auto"/>
        <w:jc w:val="both"/>
        <w:rPr>
          <w:rFonts w:ascii="Times New Roman" w:hAnsi="Times New Roman" w:cs="Times New Roman"/>
          <w:color w:val="000000" w:themeColor="text1"/>
          <w:sz w:val="22"/>
          <w:szCs w:val="22"/>
        </w:rPr>
      </w:pPr>
      <w:r w:rsidRPr="001D312B">
        <w:rPr>
          <w:rFonts w:ascii="Times New Roman" w:hAnsi="Times New Roman" w:cs="Times New Roman"/>
          <w:b/>
          <w:color w:val="000000" w:themeColor="text1"/>
          <w:sz w:val="22"/>
          <w:szCs w:val="22"/>
        </w:rPr>
        <w:t>SimpleDSFviewer.exe</w:t>
      </w:r>
      <w:r w:rsidRPr="001D312B">
        <w:rPr>
          <w:rFonts w:ascii="Times New Roman" w:hAnsi="Times New Roman" w:cs="Times New Roman"/>
          <w:color w:val="000000" w:themeColor="text1"/>
          <w:sz w:val="22"/>
          <w:szCs w:val="22"/>
        </w:rPr>
        <w:t xml:space="preserve"> is the software package for running the program. Choose the appropriate version, depending on the computer (Windows 32 or Windows 64 or Mac), and double click this file to run the program.</w:t>
      </w:r>
      <w:r w:rsidR="00987108">
        <w:rPr>
          <w:rFonts w:ascii="Times New Roman" w:hAnsi="Times New Roman" w:cs="Times New Roman"/>
          <w:color w:val="000000" w:themeColor="text1"/>
          <w:sz w:val="22"/>
          <w:szCs w:val="22"/>
        </w:rPr>
        <w:t xml:space="preserve"> The required Matlab Runtime should be installed before running this software.</w:t>
      </w:r>
    </w:p>
    <w:p w:rsidR="00C0611E" w:rsidRPr="001D312B" w:rsidRDefault="00C0611E" w:rsidP="00C0611E">
      <w:pPr>
        <w:spacing w:before="120" w:line="480" w:lineRule="auto"/>
        <w:jc w:val="both"/>
        <w:rPr>
          <w:rFonts w:ascii="Times New Roman" w:hAnsi="Times New Roman" w:cs="Times New Roman"/>
          <w:color w:val="000000" w:themeColor="text1"/>
          <w:sz w:val="22"/>
          <w:szCs w:val="22"/>
        </w:rPr>
      </w:pPr>
      <w:proofErr w:type="gramStart"/>
      <w:r w:rsidRPr="001D312B">
        <w:rPr>
          <w:rFonts w:ascii="Times New Roman" w:hAnsi="Times New Roman" w:cs="Times New Roman"/>
          <w:b/>
          <w:color w:val="000000" w:themeColor="text1"/>
          <w:sz w:val="22"/>
          <w:szCs w:val="22"/>
        </w:rPr>
        <w:t>readme.txt</w:t>
      </w:r>
      <w:proofErr w:type="gramEnd"/>
      <w:r w:rsidRPr="001D312B">
        <w:rPr>
          <w:rFonts w:ascii="Times New Roman" w:hAnsi="Times New Roman" w:cs="Times New Roman"/>
          <w:color w:val="000000" w:themeColor="text1"/>
          <w:sz w:val="22"/>
          <w:szCs w:val="22"/>
        </w:rPr>
        <w:t xml:space="preserve"> contains the details which introduce the requirement of installation of MATLAB runtime.</w:t>
      </w:r>
    </w:p>
    <w:p w:rsidR="00C0611E" w:rsidRDefault="00C0611E" w:rsidP="00C0611E">
      <w:pPr>
        <w:spacing w:before="120" w:line="480" w:lineRule="auto"/>
        <w:jc w:val="both"/>
        <w:rPr>
          <w:rFonts w:ascii="Times New Roman" w:hAnsi="Times New Roman" w:cs="Times New Roman"/>
          <w:color w:val="000000" w:themeColor="text1"/>
          <w:sz w:val="22"/>
          <w:szCs w:val="22"/>
        </w:rPr>
      </w:pPr>
      <w:r w:rsidRPr="001D312B">
        <w:rPr>
          <w:rFonts w:ascii="Times New Roman" w:hAnsi="Times New Roman" w:cs="Times New Roman"/>
          <w:b/>
          <w:color w:val="000000" w:themeColor="text1"/>
          <w:sz w:val="22"/>
          <w:szCs w:val="22"/>
        </w:rPr>
        <w:t>Other files</w:t>
      </w:r>
      <w:r w:rsidRPr="001D312B">
        <w:rPr>
          <w:rFonts w:ascii="Times New Roman" w:hAnsi="Times New Roman" w:cs="Times New Roman"/>
          <w:color w:val="000000" w:themeColor="text1"/>
          <w:sz w:val="22"/>
          <w:szCs w:val="22"/>
        </w:rPr>
        <w:t xml:space="preserve"> are icon pictures and supporting files.</w:t>
      </w:r>
    </w:p>
    <w:p w:rsidR="001B6806" w:rsidRPr="001B6806" w:rsidRDefault="001B6806" w:rsidP="00C0611E">
      <w:pPr>
        <w:spacing w:before="120" w:line="480" w:lineRule="auto"/>
        <w:jc w:val="both"/>
        <w:rPr>
          <w:rFonts w:ascii="Times New Roman" w:hAnsi="Times New Roman" w:cs="Times New Roman"/>
          <w:b/>
          <w:color w:val="000000" w:themeColor="text1"/>
        </w:rPr>
      </w:pPr>
      <w:r w:rsidRPr="001B6806">
        <w:rPr>
          <w:rFonts w:ascii="Times New Roman" w:hAnsi="Times New Roman" w:cs="Times New Roman"/>
          <w:b/>
          <w:color w:val="000000" w:themeColor="text1"/>
        </w:rPr>
        <w:t>(3) Example data (</w:t>
      </w:r>
      <w:r w:rsidRPr="001B6806">
        <w:rPr>
          <w:rFonts w:ascii="Times New Roman" w:hAnsi="Times New Roman" w:cs="Times New Roman"/>
          <w:color w:val="000000" w:themeColor="text1"/>
        </w:rPr>
        <w:t xml:space="preserve">‘example raw.xlsx’ and </w:t>
      </w:r>
      <w:r>
        <w:rPr>
          <w:rFonts w:ascii="Times New Roman" w:hAnsi="Times New Roman" w:cs="Times New Roman"/>
          <w:color w:val="000000" w:themeColor="text1"/>
        </w:rPr>
        <w:t>‘</w:t>
      </w:r>
      <w:r w:rsidRPr="001B6806">
        <w:rPr>
          <w:rFonts w:ascii="Times New Roman" w:hAnsi="Times New Roman" w:cs="Times New Roman"/>
          <w:color w:val="000000" w:themeColor="text1"/>
        </w:rPr>
        <w:t>example sorted.xlsx</w:t>
      </w:r>
      <w:r>
        <w:rPr>
          <w:rFonts w:ascii="Times New Roman" w:hAnsi="Times New Roman" w:cs="Times New Roman"/>
          <w:color w:val="000000" w:themeColor="text1"/>
        </w:rPr>
        <w:t>’</w:t>
      </w:r>
      <w:r w:rsidRPr="001B6806">
        <w:rPr>
          <w:rFonts w:ascii="Times New Roman" w:hAnsi="Times New Roman" w:cs="Times New Roman"/>
          <w:b/>
          <w:color w:val="000000" w:themeColor="text1"/>
        </w:rPr>
        <w:t>).</w:t>
      </w:r>
    </w:p>
    <w:p w:rsidR="001B6806" w:rsidRDefault="001B6806" w:rsidP="00C0611E">
      <w:pPr>
        <w:spacing w:before="240" w:after="240" w:line="480" w:lineRule="auto"/>
        <w:jc w:val="both"/>
        <w:outlineLvl w:val="0"/>
        <w:rPr>
          <w:rFonts w:ascii="Times New Roman" w:hAnsi="Times New Roman" w:cs="Times New Roman"/>
          <w:b/>
          <w:color w:val="000000" w:themeColor="text1"/>
        </w:rPr>
      </w:pPr>
    </w:p>
    <w:p w:rsidR="00C0611E" w:rsidRPr="001D312B" w:rsidRDefault="00C0611E" w:rsidP="00C0611E">
      <w:pPr>
        <w:spacing w:before="240" w:after="240" w:line="480" w:lineRule="auto"/>
        <w:jc w:val="both"/>
        <w:outlineLvl w:val="0"/>
        <w:rPr>
          <w:rFonts w:ascii="Times New Roman" w:hAnsi="Times New Roman" w:cs="Times New Roman"/>
          <w:b/>
          <w:color w:val="000000" w:themeColor="text1"/>
        </w:rPr>
      </w:pPr>
      <w:r w:rsidRPr="001D312B">
        <w:rPr>
          <w:rFonts w:ascii="Times New Roman" w:hAnsi="Times New Roman" w:cs="Times New Roman"/>
          <w:b/>
          <w:color w:val="000000" w:themeColor="text1"/>
        </w:rPr>
        <w:lastRenderedPageBreak/>
        <w:t>2 User instruction</w:t>
      </w:r>
      <w:r w:rsidR="007F2CB9">
        <w:rPr>
          <w:rFonts w:ascii="Times New Roman" w:hAnsi="Times New Roman" w:cs="Times New Roman"/>
          <w:b/>
          <w:color w:val="000000" w:themeColor="text1"/>
        </w:rPr>
        <w:t>s</w:t>
      </w:r>
      <w:r w:rsidRPr="001D312B">
        <w:rPr>
          <w:rFonts w:ascii="Times New Roman" w:hAnsi="Times New Roman" w:cs="Times New Roman"/>
          <w:b/>
          <w:color w:val="000000" w:themeColor="text1"/>
        </w:rPr>
        <w:t>:</w:t>
      </w:r>
    </w:p>
    <w:p w:rsidR="00C0611E" w:rsidRPr="001D312B" w:rsidRDefault="00C0611E" w:rsidP="001B6806">
      <w:pPr>
        <w:pStyle w:val="ListParagraph"/>
        <w:numPr>
          <w:ilvl w:val="0"/>
          <w:numId w:val="1"/>
        </w:numPr>
        <w:spacing w:before="240" w:after="240" w:line="480" w:lineRule="auto"/>
        <w:rPr>
          <w:rFonts w:ascii="Times New Roman" w:hAnsi="Times New Roman" w:cs="Times New Roman"/>
          <w:color w:val="000000" w:themeColor="text1"/>
        </w:rPr>
      </w:pPr>
      <w:r w:rsidRPr="001D312B">
        <w:rPr>
          <w:rFonts w:ascii="Times New Roman" w:hAnsi="Times New Roman" w:cs="Times New Roman"/>
          <w:b/>
          <w:color w:val="000000" w:themeColor="text1"/>
        </w:rPr>
        <w:t>Start the program:</w:t>
      </w:r>
      <w:r w:rsidRPr="001D312B">
        <w:rPr>
          <w:rFonts w:ascii="Times New Roman" w:hAnsi="Times New Roman" w:cs="Times New Roman"/>
          <w:color w:val="000000" w:themeColor="text1"/>
        </w:rPr>
        <w:t xml:space="preserve"> Open </w:t>
      </w:r>
      <w:proofErr w:type="spellStart"/>
      <w:r w:rsidRPr="001D312B">
        <w:rPr>
          <w:rFonts w:ascii="Times New Roman" w:hAnsi="Times New Roman" w:cs="Times New Roman"/>
          <w:color w:val="000000" w:themeColor="text1"/>
        </w:rPr>
        <w:t>SimpleDSFviewer.m</w:t>
      </w:r>
      <w:proofErr w:type="spellEnd"/>
      <w:r w:rsidRPr="001D312B">
        <w:rPr>
          <w:rFonts w:ascii="Times New Roman" w:hAnsi="Times New Roman" w:cs="Times New Roman"/>
          <w:color w:val="000000" w:themeColor="text1"/>
        </w:rPr>
        <w:t xml:space="preserve"> in MATLAB R2015a (containing ‘Signal Processing Toolbox’, ‘Statistics and Machine Learning Toolbox’ and ‘Curve Fitting Toolbox’) and run the script. Alternatively, install the desired MATLAB Runtime 2015 (download from webpage: </w:t>
      </w:r>
      <w:hyperlink r:id="rId6" w:history="1">
        <w:r w:rsidRPr="001D312B">
          <w:rPr>
            <w:rStyle w:val="Hyperlink"/>
            <w:rFonts w:ascii="Times New Roman" w:hAnsi="Times New Roman" w:cs="Times New Roman"/>
            <w:color w:val="000000" w:themeColor="text1"/>
          </w:rPr>
          <w:t>http://uk.mathworks.com/products/compiler/mcr/</w:t>
        </w:r>
      </w:hyperlink>
      <w:r w:rsidRPr="001D312B">
        <w:rPr>
          <w:rFonts w:ascii="Times New Roman" w:hAnsi="Times New Roman" w:cs="Times New Roman"/>
          <w:color w:val="000000" w:themeColor="text1"/>
        </w:rPr>
        <w:t xml:space="preserve">) and open the compiled app (SimpleDSFviewer), if MATLAB software is not installed. The interface (Fig. S1) will be loaded and ready to use. A Windows computer is preferred, since the analysed data cannot be written into an </w:t>
      </w:r>
      <w:r>
        <w:rPr>
          <w:rFonts w:ascii="Times New Roman" w:hAnsi="Times New Roman" w:cs="Times New Roman"/>
          <w:color w:val="000000" w:themeColor="text1"/>
        </w:rPr>
        <w:t>E</w:t>
      </w:r>
      <w:r w:rsidRPr="001D312B">
        <w:rPr>
          <w:rFonts w:ascii="Times New Roman" w:hAnsi="Times New Roman" w:cs="Times New Roman"/>
          <w:color w:val="000000" w:themeColor="text1"/>
        </w:rPr>
        <w:t>xcel file for ‘Save Data’ function on a Mac computer.</w:t>
      </w:r>
    </w:p>
    <w:p w:rsidR="00C0611E" w:rsidRPr="001D312B" w:rsidRDefault="00C0611E" w:rsidP="005A5917">
      <w:pPr>
        <w:spacing w:before="240" w:after="240" w:line="480" w:lineRule="auto"/>
        <w:jc w:val="right"/>
        <w:rPr>
          <w:rFonts w:ascii="Times New Roman" w:hAnsi="Times New Roman" w:cs="Times New Roman"/>
          <w:color w:val="000000" w:themeColor="text1"/>
        </w:rPr>
      </w:pPr>
      <w:r w:rsidRPr="001D312B">
        <w:rPr>
          <w:noProof/>
          <w:color w:val="000000" w:themeColor="text1"/>
          <w:lang w:eastAsia="zh-CN"/>
        </w:rPr>
        <w:drawing>
          <wp:inline distT="0" distB="0" distL="0" distR="0" wp14:anchorId="3032EFB9" wp14:editId="2D23636D">
            <wp:extent cx="5288300" cy="2926080"/>
            <wp:effectExtent l="0" t="0" r="7620" b="7620"/>
            <wp:docPr id="47" name="Picture 2" descr="E:\OneDrive\Screen Shot 2015-08-01 at 14.4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E:\OneDrive\Screen Shot 2015-08-01 at 14.43.0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3054" b="8399"/>
                    <a:stretch/>
                  </pic:blipFill>
                  <pic:spPr bwMode="auto">
                    <a:xfrm>
                      <a:off x="0" y="0"/>
                      <a:ext cx="5292556" cy="2928435"/>
                    </a:xfrm>
                    <a:prstGeom prst="rect">
                      <a:avLst/>
                    </a:prstGeom>
                    <a:noFill/>
                    <a:extLst/>
                  </pic:spPr>
                </pic:pic>
              </a:graphicData>
            </a:graphic>
          </wp:inline>
        </w:drawing>
      </w:r>
    </w:p>
    <w:p w:rsidR="00C0611E" w:rsidRPr="001D312B" w:rsidRDefault="00C0611E" w:rsidP="00C0611E">
      <w:pPr>
        <w:spacing w:line="360" w:lineRule="auto"/>
        <w:jc w:val="both"/>
        <w:rPr>
          <w:rFonts w:ascii="Times New Roman" w:hAnsi="Times New Roman" w:cs="Times New Roman"/>
          <w:color w:val="000000" w:themeColor="text1"/>
        </w:rPr>
      </w:pPr>
      <w:r w:rsidRPr="001D312B">
        <w:rPr>
          <w:rFonts w:ascii="Times New Roman" w:hAnsi="Times New Roman" w:cs="Times New Roman"/>
          <w:b/>
          <w:color w:val="000000" w:themeColor="text1"/>
        </w:rPr>
        <w:t xml:space="preserve">Figure S1 User interface of SimpleDSFviewer. </w:t>
      </w:r>
      <w:r w:rsidRPr="001D312B">
        <w:rPr>
          <w:rFonts w:ascii="Times New Roman" w:hAnsi="Times New Roman" w:cs="Times New Roman"/>
          <w:color w:val="000000" w:themeColor="text1"/>
        </w:rPr>
        <w:t>This figure shows the user interface of SimpleDSFviewer, in which the user</w:t>
      </w:r>
      <w:r w:rsidRPr="002F20D0">
        <w:rPr>
          <w:rFonts w:ascii="Times New Roman" w:hAnsi="Times New Roman" w:cs="Times New Roman"/>
          <w:color w:val="000000" w:themeColor="text1"/>
        </w:rPr>
        <w:t xml:space="preserve"> </w:t>
      </w:r>
      <w:r w:rsidRPr="001D312B">
        <w:rPr>
          <w:rFonts w:ascii="Times New Roman" w:hAnsi="Times New Roman" w:cs="Times New Roman"/>
          <w:color w:val="000000" w:themeColor="text1"/>
        </w:rPr>
        <w:t>can analyse and view the collected DSF data. The top-left three panels are used to load the parameters and collected DSF data. The 96 well radio buttons and the data view buttons are distributed on the bottom left. The right side contains a graphical view box for displaying the selected data and the path of input data in a text box.</w:t>
      </w:r>
    </w:p>
    <w:p w:rsidR="00C0611E" w:rsidRPr="001D312B" w:rsidRDefault="00C0611E" w:rsidP="00C0611E">
      <w:pPr>
        <w:pStyle w:val="ListParagraph"/>
        <w:numPr>
          <w:ilvl w:val="0"/>
          <w:numId w:val="1"/>
        </w:numPr>
        <w:spacing w:before="240" w:after="240" w:line="480" w:lineRule="auto"/>
        <w:jc w:val="both"/>
        <w:rPr>
          <w:rFonts w:ascii="Times New Roman" w:hAnsi="Times New Roman" w:cs="Times New Roman"/>
          <w:color w:val="000000" w:themeColor="text1"/>
          <w:u w:val="single"/>
        </w:rPr>
      </w:pPr>
      <w:r w:rsidRPr="001D312B">
        <w:rPr>
          <w:rFonts w:ascii="Times New Roman" w:hAnsi="Times New Roman" w:cs="Times New Roman"/>
          <w:b/>
          <w:color w:val="000000" w:themeColor="text1"/>
        </w:rPr>
        <w:t>Load parameters:</w:t>
      </w:r>
      <w:r w:rsidRPr="001D312B">
        <w:rPr>
          <w:rFonts w:ascii="Times New Roman" w:hAnsi="Times New Roman" w:cs="Times New Roman"/>
          <w:color w:val="000000" w:themeColor="text1"/>
        </w:rPr>
        <w:t xml:space="preserve"> The temperatures, including start temperature, temperature step and end temperature are required, if a raw data file (Fig. S2 A) is to be loaded.  In the </w:t>
      </w:r>
      <w:r w:rsidRPr="001D312B">
        <w:rPr>
          <w:rFonts w:ascii="Times New Roman" w:hAnsi="Times New Roman" w:cs="Times New Roman"/>
          <w:color w:val="000000" w:themeColor="text1"/>
        </w:rPr>
        <w:lastRenderedPageBreak/>
        <w:t>software, ‘1’ signifies Yes and 0 signifies No for ‘</w:t>
      </w:r>
      <w:r w:rsidRPr="001D312B">
        <w:rPr>
          <w:rFonts w:ascii="Times New Roman" w:hAnsi="Times New Roman" w:cs="Times New Roman"/>
          <w:i/>
          <w:color w:val="000000" w:themeColor="text1"/>
        </w:rPr>
        <w:t>Smooth</w:t>
      </w:r>
      <w:r w:rsidRPr="001D312B">
        <w:rPr>
          <w:rFonts w:ascii="Times New Roman" w:hAnsi="Times New Roman" w:cs="Times New Roman"/>
          <w:color w:val="000000" w:themeColor="text1"/>
        </w:rPr>
        <w:t xml:space="preserve">’, ‘Normalise’ and ‘Legend’ parameters. The </w:t>
      </w:r>
      <w:r w:rsidRPr="001D312B">
        <w:rPr>
          <w:rFonts w:ascii="Times New Roman" w:hAnsi="Times New Roman" w:cs="Times New Roman"/>
          <w:i/>
          <w:color w:val="000000" w:themeColor="text1"/>
        </w:rPr>
        <w:t>Smooth</w:t>
      </w:r>
      <w:r w:rsidRPr="001D312B">
        <w:rPr>
          <w:rFonts w:ascii="Times New Roman" w:hAnsi="Times New Roman" w:cs="Times New Roman"/>
          <w:color w:val="000000" w:themeColor="text1"/>
        </w:rPr>
        <w:t xml:space="preserve"> and </w:t>
      </w:r>
      <w:r w:rsidRPr="001D312B">
        <w:rPr>
          <w:rFonts w:ascii="Times New Roman" w:hAnsi="Times New Roman" w:cs="Times New Roman"/>
          <w:i/>
          <w:color w:val="000000" w:themeColor="text1"/>
        </w:rPr>
        <w:t>Normalise</w:t>
      </w:r>
      <w:r w:rsidRPr="001D312B">
        <w:rPr>
          <w:rFonts w:ascii="Times New Roman" w:hAnsi="Times New Roman" w:cs="Times New Roman"/>
          <w:color w:val="000000" w:themeColor="text1"/>
        </w:rPr>
        <w:t xml:space="preserve"> parameters should be kept as ‘1’ as the data are loaded, but the range (</w:t>
      </w:r>
      <w:r w:rsidRPr="001D312B">
        <w:rPr>
          <w:rFonts w:ascii="Times New Roman" w:hAnsi="Times New Roman" w:cs="Times New Roman"/>
          <w:i/>
          <w:color w:val="000000" w:themeColor="text1"/>
        </w:rPr>
        <w:t>Smooth Range</w:t>
      </w:r>
      <w:r w:rsidRPr="001D312B">
        <w:rPr>
          <w:rFonts w:ascii="Times New Roman" w:hAnsi="Times New Roman" w:cs="Times New Roman"/>
          <w:color w:val="000000" w:themeColor="text1"/>
        </w:rPr>
        <w:t>) can be changed to be increased or decreased. The ‘</w:t>
      </w:r>
      <w:r w:rsidRPr="001D312B">
        <w:rPr>
          <w:rFonts w:ascii="Times New Roman" w:hAnsi="Times New Roman" w:cs="Times New Roman"/>
          <w:i/>
          <w:color w:val="000000" w:themeColor="text1"/>
        </w:rPr>
        <w:t>Normalise</w:t>
      </w:r>
      <w:r w:rsidRPr="001D312B">
        <w:rPr>
          <w:rFonts w:ascii="Times New Roman" w:hAnsi="Times New Roman" w:cs="Times New Roman"/>
          <w:color w:val="000000" w:themeColor="text1"/>
        </w:rPr>
        <w:t>’ and ‘</w:t>
      </w:r>
      <w:r w:rsidRPr="001D312B">
        <w:rPr>
          <w:rFonts w:ascii="Times New Roman" w:hAnsi="Times New Roman" w:cs="Times New Roman"/>
          <w:i/>
          <w:color w:val="000000" w:themeColor="text1"/>
        </w:rPr>
        <w:t>Smooth</w:t>
      </w:r>
      <w:r w:rsidRPr="001D312B">
        <w:rPr>
          <w:rFonts w:ascii="Times New Roman" w:hAnsi="Times New Roman" w:cs="Times New Roman"/>
          <w:color w:val="000000" w:themeColor="text1"/>
        </w:rPr>
        <w:t>’ functions can be turned off when the original melting curves are desired.</w:t>
      </w:r>
      <w:r w:rsidRPr="001D312B">
        <w:rPr>
          <w:rFonts w:ascii="Times New Roman" w:hAnsi="Times New Roman" w:cs="Times New Roman"/>
          <w:color w:val="000000" w:themeColor="text1"/>
          <w:u w:val="single"/>
        </w:rPr>
        <w:t xml:space="preserve">  </w:t>
      </w:r>
    </w:p>
    <w:p w:rsidR="00C0611E" w:rsidRPr="001D312B" w:rsidRDefault="00C0611E" w:rsidP="00C0611E">
      <w:pPr>
        <w:pStyle w:val="ListParagraph"/>
        <w:spacing w:before="240" w:after="240" w:line="480" w:lineRule="auto"/>
        <w:jc w:val="both"/>
        <w:rPr>
          <w:rFonts w:ascii="Times New Roman" w:hAnsi="Times New Roman" w:cs="Times New Roman"/>
          <w:color w:val="000000" w:themeColor="text1"/>
        </w:rPr>
      </w:pPr>
      <w:r w:rsidRPr="001D312B">
        <w:rPr>
          <w:rFonts w:ascii="Times New Roman" w:hAnsi="Times New Roman" w:cs="Times New Roman"/>
          <w:color w:val="000000" w:themeColor="text1"/>
        </w:rPr>
        <w:t>The default values are loaded automatically and are generally ideal for analysis.</w:t>
      </w:r>
    </w:p>
    <w:p w:rsidR="00C0611E" w:rsidRPr="001D312B" w:rsidRDefault="00C0611E" w:rsidP="005A5917">
      <w:pPr>
        <w:spacing w:before="240" w:after="240" w:line="480" w:lineRule="auto"/>
        <w:jc w:val="right"/>
        <w:rPr>
          <w:rFonts w:ascii="Times New Roman" w:hAnsi="Times New Roman" w:cs="Times New Roman"/>
          <w:color w:val="000000" w:themeColor="text1"/>
        </w:rPr>
      </w:pPr>
      <w:r w:rsidRPr="001D312B">
        <w:rPr>
          <w:rFonts w:ascii="Times New Roman" w:hAnsi="Times New Roman" w:cs="Times New Roman"/>
          <w:noProof/>
          <w:color w:val="000000" w:themeColor="text1"/>
          <w:lang w:eastAsia="zh-CN"/>
        </w:rPr>
        <w:drawing>
          <wp:inline distT="0" distB="0" distL="0" distR="0" wp14:anchorId="283F1864" wp14:editId="17977A04">
            <wp:extent cx="5270500" cy="2658110"/>
            <wp:effectExtent l="0" t="0" r="635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0500" cy="2658110"/>
                    </a:xfrm>
                    <a:prstGeom prst="rect">
                      <a:avLst/>
                    </a:prstGeom>
                  </pic:spPr>
                </pic:pic>
              </a:graphicData>
            </a:graphic>
          </wp:inline>
        </w:drawing>
      </w:r>
    </w:p>
    <w:p w:rsidR="00C0611E" w:rsidRPr="00FC303C" w:rsidRDefault="00C0611E" w:rsidP="00C0611E">
      <w:pPr>
        <w:spacing w:line="360" w:lineRule="auto"/>
        <w:jc w:val="both"/>
        <w:rPr>
          <w:rFonts w:ascii="Times New Roman" w:hAnsi="Times New Roman" w:cs="Times New Roman"/>
          <w:color w:val="000000" w:themeColor="text1"/>
        </w:rPr>
      </w:pPr>
      <w:r w:rsidRPr="00FC303C">
        <w:rPr>
          <w:rFonts w:ascii="Times New Roman" w:hAnsi="Times New Roman" w:cs="Times New Roman"/>
          <w:b/>
          <w:color w:val="000000" w:themeColor="text1"/>
        </w:rPr>
        <w:t>Figure S2 Templates of input data for SimpleDSFviewer.</w:t>
      </w:r>
      <w:r w:rsidRPr="00FC303C">
        <w:rPr>
          <w:rFonts w:ascii="Times New Roman" w:hAnsi="Times New Roman" w:cs="Times New Roman"/>
          <w:color w:val="000000" w:themeColor="text1"/>
        </w:rPr>
        <w:t xml:space="preserve"> Two formats of input data can be loaded into the program. (A): Raw data contains all the fluorescence reading from wells 1 to 96 and from the lowest temperature to the highest temperature in one column. The number of desired column needs to be specified. (B): Sorted data contains the melting temperature in the first column and the 96 wells’ fluorescence in 96 columns.</w:t>
      </w:r>
    </w:p>
    <w:p w:rsidR="00C0611E" w:rsidRPr="001D312B" w:rsidRDefault="00C0611E" w:rsidP="00C0611E">
      <w:pPr>
        <w:pStyle w:val="ListParagraph"/>
        <w:numPr>
          <w:ilvl w:val="0"/>
          <w:numId w:val="1"/>
        </w:numPr>
        <w:spacing w:before="240" w:after="240" w:line="480" w:lineRule="auto"/>
        <w:jc w:val="both"/>
        <w:rPr>
          <w:rFonts w:ascii="Times New Roman" w:hAnsi="Times New Roman" w:cs="Times New Roman"/>
          <w:color w:val="000000" w:themeColor="text1"/>
        </w:rPr>
      </w:pPr>
      <w:r w:rsidRPr="001D312B">
        <w:rPr>
          <w:rFonts w:ascii="Times New Roman" w:hAnsi="Times New Roman" w:cs="Times New Roman"/>
          <w:b/>
          <w:color w:val="000000" w:themeColor="text1"/>
        </w:rPr>
        <w:t>Load experimental result:</w:t>
      </w:r>
      <w:r w:rsidRPr="001D312B">
        <w:rPr>
          <w:rFonts w:ascii="Times New Roman" w:hAnsi="Times New Roman" w:cs="Times New Roman"/>
          <w:color w:val="000000" w:themeColor="text1"/>
        </w:rPr>
        <w:t xml:space="preserve"> Two formats of data can be loaded, as shown in Fig. S2. The first format is the raw data, which contains all the data in a single column and the column that contains the desired data should be specified (Text box next to ‘</w:t>
      </w:r>
      <w:r w:rsidRPr="001D312B">
        <w:rPr>
          <w:rFonts w:ascii="Times New Roman" w:hAnsi="Times New Roman" w:cs="Times New Roman"/>
          <w:i/>
          <w:color w:val="000000" w:themeColor="text1"/>
        </w:rPr>
        <w:t xml:space="preserve">Load </w:t>
      </w:r>
      <w:proofErr w:type="spellStart"/>
      <w:r w:rsidRPr="001D312B">
        <w:rPr>
          <w:rFonts w:ascii="Times New Roman" w:hAnsi="Times New Roman" w:cs="Times New Roman"/>
          <w:i/>
          <w:color w:val="000000" w:themeColor="text1"/>
        </w:rPr>
        <w:t>RawData</w:t>
      </w:r>
      <w:proofErr w:type="spellEnd"/>
      <w:r w:rsidRPr="001D312B">
        <w:rPr>
          <w:rFonts w:ascii="Times New Roman" w:hAnsi="Times New Roman" w:cs="Times New Roman"/>
          <w:i/>
          <w:color w:val="000000" w:themeColor="text1"/>
        </w:rPr>
        <w:t>’</w:t>
      </w:r>
      <w:r w:rsidRPr="001D312B">
        <w:rPr>
          <w:rFonts w:ascii="Times New Roman" w:hAnsi="Times New Roman" w:cs="Times New Roman"/>
          <w:color w:val="000000" w:themeColor="text1"/>
        </w:rPr>
        <w:t xml:space="preserve"> pushing button, Fig. S1). Column 3 was selected in the example (Figs. S1 and S2 A). The second format is sorted data (Fig. S2 B), which contains 96 columns </w:t>
      </w:r>
      <w:r w:rsidRPr="001D312B">
        <w:rPr>
          <w:rFonts w:ascii="Times New Roman" w:hAnsi="Times New Roman" w:cs="Times New Roman"/>
          <w:color w:val="000000" w:themeColor="text1"/>
        </w:rPr>
        <w:lastRenderedPageBreak/>
        <w:t xml:space="preserve">corresponding to 96 wells and fluorescence intensities of each temperature in each row. The loading data should be stored in the first sheet of the </w:t>
      </w:r>
      <w:r>
        <w:rPr>
          <w:rFonts w:ascii="Times New Roman" w:hAnsi="Times New Roman" w:cs="Times New Roman"/>
          <w:color w:val="000000" w:themeColor="text1"/>
        </w:rPr>
        <w:t>E</w:t>
      </w:r>
      <w:r w:rsidRPr="001D312B">
        <w:rPr>
          <w:rFonts w:ascii="Times New Roman" w:hAnsi="Times New Roman" w:cs="Times New Roman"/>
          <w:color w:val="000000" w:themeColor="text1"/>
        </w:rPr>
        <w:t>xcel file.</w:t>
      </w:r>
    </w:p>
    <w:p w:rsidR="00C0611E" w:rsidRPr="001D312B" w:rsidRDefault="00C0611E" w:rsidP="00C0611E">
      <w:pPr>
        <w:pStyle w:val="ListParagraph"/>
        <w:numPr>
          <w:ilvl w:val="0"/>
          <w:numId w:val="1"/>
        </w:numPr>
        <w:spacing w:before="240" w:after="240" w:line="480" w:lineRule="auto"/>
        <w:jc w:val="both"/>
        <w:rPr>
          <w:rFonts w:ascii="Times New Roman" w:hAnsi="Times New Roman" w:cs="Times New Roman"/>
          <w:color w:val="000000" w:themeColor="text1"/>
        </w:rPr>
      </w:pPr>
      <w:r w:rsidRPr="001D312B">
        <w:rPr>
          <w:rFonts w:ascii="Times New Roman" w:hAnsi="Times New Roman" w:cs="Times New Roman"/>
          <w:b/>
          <w:color w:val="000000" w:themeColor="text1"/>
        </w:rPr>
        <w:t>Functions:</w:t>
      </w:r>
      <w:r w:rsidRPr="001D312B">
        <w:rPr>
          <w:rFonts w:ascii="Times New Roman" w:hAnsi="Times New Roman" w:cs="Times New Roman"/>
          <w:color w:val="000000" w:themeColor="text1"/>
        </w:rPr>
        <w:t xml:space="preserve"> Multiple wells can be selected by clicking the corresponding radio buttons for data view. The melting curves and first derivative curves can be previewed in the graph box (Fig. S1) by pushing the buttons (containing MC or FD) in the </w:t>
      </w:r>
      <w:r w:rsidRPr="001D312B">
        <w:rPr>
          <w:rFonts w:ascii="Times New Roman" w:hAnsi="Times New Roman" w:cs="Times New Roman"/>
          <w:i/>
          <w:color w:val="000000" w:themeColor="text1"/>
        </w:rPr>
        <w:t>Select Wells</w:t>
      </w:r>
      <w:r w:rsidRPr="001D312B">
        <w:rPr>
          <w:rFonts w:ascii="Times New Roman" w:hAnsi="Times New Roman" w:cs="Times New Roman"/>
          <w:color w:val="000000" w:themeColor="text1"/>
        </w:rPr>
        <w:t xml:space="preserve"> panel or be viewed and saved by pushing the buttons in the </w:t>
      </w:r>
      <w:r w:rsidRPr="001D312B">
        <w:rPr>
          <w:rFonts w:ascii="Times New Roman" w:hAnsi="Times New Roman" w:cs="Times New Roman"/>
          <w:i/>
          <w:color w:val="000000" w:themeColor="text1"/>
        </w:rPr>
        <w:t>Save Result</w:t>
      </w:r>
      <w:r w:rsidRPr="001D312B">
        <w:rPr>
          <w:rFonts w:ascii="Times New Roman" w:hAnsi="Times New Roman" w:cs="Times New Roman"/>
          <w:color w:val="000000" w:themeColor="text1"/>
        </w:rPr>
        <w:t xml:space="preserve"> panel. ‘+T</w:t>
      </w:r>
      <w:r w:rsidRPr="001D312B">
        <w:rPr>
          <w:rFonts w:ascii="Times New Roman" w:hAnsi="Times New Roman" w:cs="Times New Roman"/>
          <w:color w:val="000000" w:themeColor="text1"/>
          <w:vertAlign w:val="subscript"/>
        </w:rPr>
        <w:t>m</w:t>
      </w:r>
      <w:r w:rsidRPr="001D312B">
        <w:rPr>
          <w:rFonts w:ascii="Times New Roman" w:hAnsi="Times New Roman" w:cs="Times New Roman"/>
          <w:color w:val="000000" w:themeColor="text1"/>
        </w:rPr>
        <w:t>’ means the melting temperature is marked on the melting curve. MC (Half-Value) shows the melting curves with half denaturation point (main paper 3.3). The legend can be added by changing the legend parameter to ‘1’.</w:t>
      </w:r>
    </w:p>
    <w:p w:rsidR="00C0611E" w:rsidRPr="001D312B" w:rsidRDefault="00C0611E" w:rsidP="00C0611E">
      <w:pPr>
        <w:pStyle w:val="ListParagraph"/>
        <w:spacing w:before="240" w:after="240" w:line="480" w:lineRule="auto"/>
        <w:jc w:val="both"/>
        <w:rPr>
          <w:rFonts w:ascii="Times New Roman" w:hAnsi="Times New Roman" w:cs="Times New Roman"/>
          <w:color w:val="000000" w:themeColor="text1"/>
        </w:rPr>
      </w:pPr>
      <w:r w:rsidRPr="001D312B">
        <w:rPr>
          <w:rFonts w:ascii="Times New Roman" w:hAnsi="Times New Roman" w:cs="Times New Roman"/>
          <w:i/>
          <w:color w:val="000000" w:themeColor="text1"/>
        </w:rPr>
        <w:t>Different samples can be compared by ANOVA:</w:t>
      </w:r>
      <w:r w:rsidRPr="001D312B">
        <w:rPr>
          <w:rFonts w:ascii="Times New Roman" w:hAnsi="Times New Roman" w:cs="Times New Roman"/>
          <w:color w:val="000000" w:themeColor="text1"/>
        </w:rPr>
        <w:t xml:space="preserve"> Repeating samples are selected by clicking the radio buttons and a name should be input </w:t>
      </w:r>
      <w:r>
        <w:rPr>
          <w:rFonts w:ascii="Times New Roman" w:hAnsi="Times New Roman" w:cs="Times New Roman"/>
          <w:color w:val="000000" w:themeColor="text1"/>
        </w:rPr>
        <w:t xml:space="preserve">into </w:t>
      </w:r>
      <w:r w:rsidRPr="001D312B">
        <w:rPr>
          <w:rFonts w:ascii="Times New Roman" w:hAnsi="Times New Roman" w:cs="Times New Roman"/>
          <w:color w:val="000000" w:themeColor="text1"/>
        </w:rPr>
        <w:t>the text box in the ‘</w:t>
      </w:r>
      <w:r w:rsidRPr="001D312B">
        <w:rPr>
          <w:rFonts w:ascii="Times New Roman" w:hAnsi="Times New Roman" w:cs="Times New Roman"/>
          <w:i/>
          <w:color w:val="000000" w:themeColor="text1"/>
        </w:rPr>
        <w:t>Load Explanatory Values (X)</w:t>
      </w:r>
      <w:r w:rsidRPr="001D312B">
        <w:rPr>
          <w:rFonts w:ascii="Times New Roman" w:hAnsi="Times New Roman" w:cs="Times New Roman"/>
          <w:color w:val="000000" w:themeColor="text1"/>
        </w:rPr>
        <w:t>’ panel. Then, the sample is added by pushing</w:t>
      </w:r>
      <w:r>
        <w:rPr>
          <w:rFonts w:ascii="Times New Roman" w:hAnsi="Times New Roman" w:cs="Times New Roman"/>
          <w:color w:val="000000" w:themeColor="text1"/>
        </w:rPr>
        <w:t xml:space="preserve"> the</w:t>
      </w:r>
      <w:r w:rsidRPr="001D312B">
        <w:rPr>
          <w:rFonts w:ascii="Times New Roman" w:hAnsi="Times New Roman" w:cs="Times New Roman"/>
          <w:color w:val="000000" w:themeColor="text1"/>
        </w:rPr>
        <w:t xml:space="preserve"> ‘</w:t>
      </w:r>
      <w:r w:rsidRPr="001D312B">
        <w:rPr>
          <w:rFonts w:ascii="Times New Roman" w:hAnsi="Times New Roman" w:cs="Times New Roman"/>
          <w:i/>
          <w:color w:val="000000" w:themeColor="text1"/>
        </w:rPr>
        <w:t>Group (String)</w:t>
      </w:r>
      <w:r w:rsidRPr="001D312B">
        <w:rPr>
          <w:rFonts w:ascii="Times New Roman" w:hAnsi="Times New Roman" w:cs="Times New Roman"/>
          <w:color w:val="000000" w:themeColor="text1"/>
        </w:rPr>
        <w:t>’ button. The selected wells should be deselected and more samples can be added in the same way. The ANOVA (string) button will give the statistical analysis and a box-plot graph for the samples under comparison.</w:t>
      </w:r>
    </w:p>
    <w:p w:rsidR="00C0611E" w:rsidRPr="001D312B" w:rsidRDefault="00C0611E" w:rsidP="00C0611E">
      <w:pPr>
        <w:pStyle w:val="ListParagraph"/>
        <w:numPr>
          <w:ilvl w:val="0"/>
          <w:numId w:val="1"/>
        </w:numPr>
        <w:spacing w:before="240" w:after="240" w:line="480" w:lineRule="auto"/>
        <w:jc w:val="both"/>
        <w:rPr>
          <w:rFonts w:ascii="Times New Roman" w:hAnsi="Times New Roman" w:cs="Times New Roman"/>
          <w:color w:val="000000" w:themeColor="text1"/>
        </w:rPr>
      </w:pPr>
      <w:r w:rsidRPr="001D312B">
        <w:rPr>
          <w:rFonts w:ascii="Times New Roman" w:hAnsi="Times New Roman" w:cs="Times New Roman"/>
          <w:b/>
          <w:color w:val="000000" w:themeColor="text1"/>
        </w:rPr>
        <w:t>Save function:</w:t>
      </w:r>
      <w:r w:rsidRPr="001D312B">
        <w:rPr>
          <w:rFonts w:ascii="Times New Roman" w:hAnsi="Times New Roman" w:cs="Times New Roman"/>
          <w:color w:val="000000" w:themeColor="text1"/>
        </w:rPr>
        <w:t xml:space="preserve"> The sorted (Sheet1) and normalised melting curves (Sheet: </w:t>
      </w:r>
      <w:proofErr w:type="spellStart"/>
      <w:r w:rsidRPr="001D312B">
        <w:rPr>
          <w:rFonts w:ascii="Times New Roman" w:hAnsi="Times New Roman" w:cs="Times New Roman"/>
          <w:color w:val="000000" w:themeColor="text1"/>
        </w:rPr>
        <w:t>nMC</w:t>
      </w:r>
      <w:proofErr w:type="spellEnd"/>
      <w:r w:rsidRPr="001D312B">
        <w:rPr>
          <w:rFonts w:ascii="Times New Roman" w:hAnsi="Times New Roman" w:cs="Times New Roman"/>
          <w:color w:val="000000" w:themeColor="text1"/>
        </w:rPr>
        <w:t xml:space="preserve"> and </w:t>
      </w:r>
      <w:proofErr w:type="spellStart"/>
      <w:r w:rsidRPr="001D312B">
        <w:rPr>
          <w:rFonts w:ascii="Times New Roman" w:hAnsi="Times New Roman" w:cs="Times New Roman"/>
          <w:color w:val="000000" w:themeColor="text1"/>
        </w:rPr>
        <w:t>nFD</w:t>
      </w:r>
      <w:proofErr w:type="spellEnd"/>
      <w:r w:rsidRPr="001D312B">
        <w:rPr>
          <w:rFonts w:ascii="Times New Roman" w:hAnsi="Times New Roman" w:cs="Times New Roman"/>
          <w:color w:val="000000" w:themeColor="text1"/>
        </w:rPr>
        <w:t>) and the first derivative curves and the melting temperatures (Sheet: T</w:t>
      </w:r>
      <w:r w:rsidRPr="001D312B">
        <w:rPr>
          <w:rFonts w:ascii="Times New Roman" w:hAnsi="Times New Roman" w:cs="Times New Roman"/>
          <w:color w:val="000000" w:themeColor="text1"/>
          <w:vertAlign w:val="subscript"/>
        </w:rPr>
        <w:t>m</w:t>
      </w:r>
      <w:r w:rsidRPr="001D312B">
        <w:rPr>
          <w:rFonts w:ascii="Times New Roman" w:hAnsi="Times New Roman" w:cs="Times New Roman"/>
          <w:color w:val="000000" w:themeColor="text1"/>
        </w:rPr>
        <w:t>) calculated by the three different methods (Fig. 1) may be saved as an Excel file by pushing ‘</w:t>
      </w:r>
      <w:r w:rsidRPr="001D312B">
        <w:rPr>
          <w:rFonts w:ascii="Times New Roman" w:hAnsi="Times New Roman" w:cs="Times New Roman"/>
          <w:i/>
          <w:color w:val="000000" w:themeColor="text1"/>
        </w:rPr>
        <w:t>Save Data’</w:t>
      </w:r>
      <w:r w:rsidRPr="001D312B">
        <w:rPr>
          <w:rFonts w:ascii="Times New Roman" w:hAnsi="Times New Roman" w:cs="Times New Roman"/>
          <w:color w:val="000000" w:themeColor="text1"/>
        </w:rPr>
        <w:t xml:space="preserve"> button.</w:t>
      </w:r>
    </w:p>
    <w:p w:rsidR="00C0611E" w:rsidRPr="001D312B" w:rsidRDefault="00C0611E" w:rsidP="00C0611E">
      <w:pPr>
        <w:pStyle w:val="ListParagraph"/>
        <w:numPr>
          <w:ilvl w:val="0"/>
          <w:numId w:val="1"/>
        </w:numPr>
        <w:spacing w:before="240" w:after="240" w:line="480" w:lineRule="auto"/>
        <w:jc w:val="both"/>
        <w:rPr>
          <w:rFonts w:ascii="Times New Roman" w:hAnsi="Times New Roman" w:cs="Times New Roman"/>
          <w:color w:val="000000" w:themeColor="text1"/>
        </w:rPr>
      </w:pPr>
      <w:r w:rsidRPr="001D312B">
        <w:rPr>
          <w:rFonts w:ascii="Times New Roman" w:hAnsi="Times New Roman" w:cs="Times New Roman"/>
          <w:b/>
          <w:color w:val="000000" w:themeColor="text1"/>
        </w:rPr>
        <w:t>Errors:</w:t>
      </w:r>
      <w:r w:rsidRPr="001D312B">
        <w:rPr>
          <w:rFonts w:ascii="Times New Roman" w:hAnsi="Times New Roman" w:cs="Times New Roman"/>
          <w:color w:val="000000" w:themeColor="text1"/>
        </w:rPr>
        <w:t xml:space="preserve"> When the data are input into the program, a running status bar will be displayed on the screen and it will be turned off after the auto-analysis. However, if the running cannot be completed (bar status), the input data should be checked. For example, if the gradient numbers</w:t>
      </w:r>
      <w:r>
        <w:rPr>
          <w:rFonts w:ascii="Times New Roman" w:hAnsi="Times New Roman" w:cs="Times New Roman"/>
          <w:color w:val="000000" w:themeColor="text1"/>
        </w:rPr>
        <w:t xml:space="preserve"> of temperature</w:t>
      </w:r>
      <w:r w:rsidRPr="001D312B">
        <w:rPr>
          <w:rFonts w:ascii="Times New Roman" w:hAnsi="Times New Roman" w:cs="Times New Roman"/>
          <w:color w:val="000000" w:themeColor="text1"/>
        </w:rPr>
        <w:t xml:space="preserve"> are longer than the fluorescence measuring numbers for each well, an error will be generated and running will not complete. Missing values in the loaded data also cause the same problem.</w:t>
      </w:r>
    </w:p>
    <w:p w:rsidR="00C0611E" w:rsidRPr="001D312B" w:rsidRDefault="00C0611E" w:rsidP="00C0611E">
      <w:pPr>
        <w:pStyle w:val="ListParagraph"/>
        <w:numPr>
          <w:ilvl w:val="0"/>
          <w:numId w:val="1"/>
        </w:numPr>
        <w:spacing w:before="240" w:after="240" w:line="480" w:lineRule="auto"/>
        <w:jc w:val="both"/>
        <w:rPr>
          <w:rFonts w:ascii="Times New Roman" w:hAnsi="Times New Roman" w:cs="Times New Roman"/>
          <w:color w:val="000000" w:themeColor="text1"/>
        </w:rPr>
      </w:pPr>
      <w:r w:rsidRPr="001D312B">
        <w:rPr>
          <w:rFonts w:ascii="Times New Roman" w:hAnsi="Times New Roman" w:cs="Times New Roman"/>
          <w:b/>
          <w:color w:val="000000" w:themeColor="text1"/>
        </w:rPr>
        <w:lastRenderedPageBreak/>
        <w:t xml:space="preserve">Example data: </w:t>
      </w:r>
      <w:r w:rsidRPr="001D312B">
        <w:rPr>
          <w:rFonts w:ascii="Times New Roman" w:hAnsi="Times New Roman" w:cs="Times New Roman"/>
          <w:color w:val="000000" w:themeColor="text1"/>
        </w:rPr>
        <w:t xml:space="preserve">Protein and the heparin (Hep) ligand concentrations are listed in the following table. Every three consecutive wells contain three same samples to ensure the experimental results. </w:t>
      </w:r>
    </w:p>
    <w:tbl>
      <w:tblPr>
        <w:tblStyle w:val="TableGrid"/>
        <w:tblW w:w="0" w:type="auto"/>
        <w:jc w:val="right"/>
        <w:tblInd w:w="360" w:type="dxa"/>
        <w:tblLook w:val="04A0" w:firstRow="1" w:lastRow="0" w:firstColumn="1" w:lastColumn="0" w:noHBand="0" w:noVBand="1"/>
      </w:tblPr>
      <w:tblGrid>
        <w:gridCol w:w="1733"/>
        <w:gridCol w:w="1701"/>
        <w:gridCol w:w="2126"/>
        <w:gridCol w:w="2129"/>
      </w:tblGrid>
      <w:tr w:rsidR="00C0611E" w:rsidRPr="001D312B" w:rsidTr="005A5917">
        <w:trPr>
          <w:trHeight w:val="430"/>
          <w:jc w:val="right"/>
        </w:trPr>
        <w:tc>
          <w:tcPr>
            <w:tcW w:w="1733"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rPr>
            </w:pPr>
            <w:r w:rsidRPr="001D312B">
              <w:rPr>
                <w:rFonts w:ascii="Times New Roman" w:hAnsi="Times New Roman" w:cs="Times New Roman"/>
                <w:color w:val="000000" w:themeColor="text1"/>
                <w:sz w:val="20"/>
                <w:szCs w:val="20"/>
              </w:rPr>
              <w:t>PBS</w:t>
            </w:r>
          </w:p>
        </w:tc>
        <w:tc>
          <w:tcPr>
            <w:tcW w:w="1701"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Hep 0.2 µM</w:t>
            </w:r>
          </w:p>
        </w:tc>
        <w:tc>
          <w:tcPr>
            <w:tcW w:w="2126"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Hep 0.3 µM</w:t>
            </w:r>
          </w:p>
        </w:tc>
        <w:tc>
          <w:tcPr>
            <w:tcW w:w="2129"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Hep 0.4 µM</w:t>
            </w:r>
          </w:p>
        </w:tc>
      </w:tr>
      <w:tr w:rsidR="00C0611E" w:rsidRPr="001D312B" w:rsidTr="005A5917">
        <w:trPr>
          <w:trHeight w:val="430"/>
          <w:jc w:val="right"/>
        </w:trPr>
        <w:tc>
          <w:tcPr>
            <w:tcW w:w="1733"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Hep 0.5 µM</w:t>
            </w:r>
          </w:p>
        </w:tc>
        <w:tc>
          <w:tcPr>
            <w:tcW w:w="1701"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Hep 0.625 µM</w:t>
            </w:r>
          </w:p>
        </w:tc>
        <w:tc>
          <w:tcPr>
            <w:tcW w:w="2126"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Hep 0.75 µM</w:t>
            </w:r>
          </w:p>
        </w:tc>
        <w:tc>
          <w:tcPr>
            <w:tcW w:w="2129"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Hep 0.875 µM</w:t>
            </w:r>
          </w:p>
        </w:tc>
      </w:tr>
      <w:tr w:rsidR="00C0611E" w:rsidRPr="001D312B" w:rsidTr="005A5917">
        <w:trPr>
          <w:trHeight w:val="422"/>
          <w:jc w:val="right"/>
        </w:trPr>
        <w:tc>
          <w:tcPr>
            <w:tcW w:w="1733"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Hep 1 µM</w:t>
            </w:r>
          </w:p>
        </w:tc>
        <w:tc>
          <w:tcPr>
            <w:tcW w:w="1701"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Hep 1.25 µM</w:t>
            </w:r>
          </w:p>
        </w:tc>
        <w:tc>
          <w:tcPr>
            <w:tcW w:w="2126"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Hep 2.5 µM</w:t>
            </w:r>
          </w:p>
        </w:tc>
        <w:tc>
          <w:tcPr>
            <w:tcW w:w="2129"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Hep 5 µM</w:t>
            </w:r>
          </w:p>
        </w:tc>
      </w:tr>
      <w:tr w:rsidR="00C0611E" w:rsidRPr="001D312B" w:rsidTr="005A5917">
        <w:trPr>
          <w:trHeight w:val="633"/>
          <w:jc w:val="right"/>
        </w:trPr>
        <w:tc>
          <w:tcPr>
            <w:tcW w:w="1733"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Hep 50 µM</w:t>
            </w:r>
          </w:p>
        </w:tc>
        <w:tc>
          <w:tcPr>
            <w:tcW w:w="1701"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Hep 500 µM</w:t>
            </w:r>
          </w:p>
        </w:tc>
        <w:tc>
          <w:tcPr>
            <w:tcW w:w="2126"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rPr>
            </w:pPr>
            <w:r w:rsidRPr="001D312B">
              <w:rPr>
                <w:rFonts w:ascii="Times New Roman" w:hAnsi="Times New Roman" w:cs="Times New Roman"/>
                <w:color w:val="000000" w:themeColor="text1"/>
                <w:sz w:val="20"/>
                <w:szCs w:val="20"/>
              </w:rPr>
              <w:t>PBS</w:t>
            </w:r>
          </w:p>
        </w:tc>
        <w:tc>
          <w:tcPr>
            <w:tcW w:w="2129"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rPr>
            </w:pPr>
            <w:r w:rsidRPr="001D312B">
              <w:rPr>
                <w:rFonts w:ascii="Times New Roman" w:hAnsi="Times New Roman" w:cs="Times New Roman"/>
                <w:color w:val="000000" w:themeColor="text1"/>
                <w:sz w:val="20"/>
                <w:szCs w:val="20"/>
              </w:rPr>
              <w:t>Hep 0.2 µM</w:t>
            </w:r>
          </w:p>
        </w:tc>
      </w:tr>
      <w:tr w:rsidR="00C0611E" w:rsidRPr="001D312B" w:rsidTr="005A5917">
        <w:trPr>
          <w:trHeight w:val="625"/>
          <w:jc w:val="right"/>
        </w:trPr>
        <w:tc>
          <w:tcPr>
            <w:tcW w:w="1733"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rPr>
            </w:pPr>
            <w:r w:rsidRPr="001D312B">
              <w:rPr>
                <w:rFonts w:ascii="Times New Roman" w:hAnsi="Times New Roman" w:cs="Times New Roman"/>
                <w:color w:val="000000" w:themeColor="text1"/>
                <w:sz w:val="20"/>
                <w:szCs w:val="20"/>
              </w:rPr>
              <w:t>Hep 0.4 µM</w:t>
            </w:r>
          </w:p>
        </w:tc>
        <w:tc>
          <w:tcPr>
            <w:tcW w:w="1701"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rPr>
            </w:pPr>
            <w:r w:rsidRPr="001D312B">
              <w:rPr>
                <w:rFonts w:ascii="Times New Roman" w:hAnsi="Times New Roman" w:cs="Times New Roman"/>
                <w:color w:val="000000" w:themeColor="text1"/>
                <w:sz w:val="20"/>
                <w:szCs w:val="20"/>
              </w:rPr>
              <w:t>Hep 0.5 µM</w:t>
            </w:r>
          </w:p>
        </w:tc>
        <w:tc>
          <w:tcPr>
            <w:tcW w:w="2126"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rPr>
            </w:pPr>
            <w:r w:rsidRPr="001D312B">
              <w:rPr>
                <w:rFonts w:ascii="Times New Roman" w:hAnsi="Times New Roman" w:cs="Times New Roman"/>
                <w:color w:val="000000" w:themeColor="text1"/>
                <w:sz w:val="20"/>
                <w:szCs w:val="20"/>
              </w:rPr>
              <w:t>Hep 0.625 µM</w:t>
            </w:r>
          </w:p>
        </w:tc>
        <w:tc>
          <w:tcPr>
            <w:tcW w:w="2129"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rPr>
            </w:pPr>
            <w:r w:rsidRPr="001D312B">
              <w:rPr>
                <w:rFonts w:ascii="Times New Roman" w:hAnsi="Times New Roman" w:cs="Times New Roman"/>
                <w:color w:val="000000" w:themeColor="text1"/>
                <w:sz w:val="20"/>
                <w:szCs w:val="20"/>
              </w:rPr>
              <w:t>Hep 0.75 µM</w:t>
            </w:r>
          </w:p>
        </w:tc>
      </w:tr>
      <w:tr w:rsidR="00C0611E" w:rsidRPr="001D312B" w:rsidTr="005A5917">
        <w:trPr>
          <w:trHeight w:val="625"/>
          <w:jc w:val="right"/>
        </w:trPr>
        <w:tc>
          <w:tcPr>
            <w:tcW w:w="1733"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rPr>
            </w:pPr>
            <w:r w:rsidRPr="001D312B">
              <w:rPr>
                <w:rFonts w:ascii="Times New Roman" w:hAnsi="Times New Roman" w:cs="Times New Roman"/>
                <w:color w:val="000000" w:themeColor="text1"/>
                <w:sz w:val="20"/>
                <w:szCs w:val="20"/>
              </w:rPr>
              <w:t>Hep 0.875 µM</w:t>
            </w:r>
          </w:p>
        </w:tc>
        <w:tc>
          <w:tcPr>
            <w:tcW w:w="1701"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rPr>
            </w:pPr>
            <w:r w:rsidRPr="001D312B">
              <w:rPr>
                <w:rFonts w:ascii="Times New Roman" w:hAnsi="Times New Roman" w:cs="Times New Roman"/>
                <w:color w:val="000000" w:themeColor="text1"/>
                <w:sz w:val="20"/>
                <w:szCs w:val="20"/>
              </w:rPr>
              <w:t>Hep 1 µM</w:t>
            </w:r>
          </w:p>
        </w:tc>
        <w:tc>
          <w:tcPr>
            <w:tcW w:w="2126"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rPr>
            </w:pPr>
            <w:r w:rsidRPr="001D312B">
              <w:rPr>
                <w:rFonts w:ascii="Times New Roman" w:hAnsi="Times New Roman" w:cs="Times New Roman"/>
                <w:color w:val="000000" w:themeColor="text1"/>
                <w:sz w:val="20"/>
                <w:szCs w:val="20"/>
              </w:rPr>
              <w:t>Hep 1.25 µM</w:t>
            </w:r>
          </w:p>
        </w:tc>
        <w:tc>
          <w:tcPr>
            <w:tcW w:w="2129"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rPr>
            </w:pPr>
            <w:r w:rsidRPr="001D312B">
              <w:rPr>
                <w:rFonts w:ascii="Times New Roman" w:hAnsi="Times New Roman" w:cs="Times New Roman"/>
                <w:color w:val="000000" w:themeColor="text1"/>
                <w:sz w:val="20"/>
                <w:szCs w:val="20"/>
              </w:rPr>
              <w:t>Hep 2.5 µM</w:t>
            </w:r>
          </w:p>
        </w:tc>
      </w:tr>
      <w:tr w:rsidR="00C0611E" w:rsidRPr="001D312B" w:rsidTr="005A5917">
        <w:trPr>
          <w:trHeight w:val="633"/>
          <w:jc w:val="right"/>
        </w:trPr>
        <w:tc>
          <w:tcPr>
            <w:tcW w:w="1733"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rPr>
            </w:pPr>
            <w:r w:rsidRPr="001D312B">
              <w:rPr>
                <w:rFonts w:ascii="Times New Roman" w:hAnsi="Times New Roman" w:cs="Times New Roman"/>
                <w:color w:val="000000" w:themeColor="text1"/>
                <w:sz w:val="20"/>
                <w:szCs w:val="20"/>
              </w:rPr>
              <w:t>Hep 5 µM</w:t>
            </w:r>
          </w:p>
        </w:tc>
        <w:tc>
          <w:tcPr>
            <w:tcW w:w="1701"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rPr>
            </w:pPr>
            <w:r w:rsidRPr="001D312B">
              <w:rPr>
                <w:rFonts w:ascii="Times New Roman" w:hAnsi="Times New Roman" w:cs="Times New Roman"/>
                <w:color w:val="000000" w:themeColor="text1"/>
                <w:sz w:val="20"/>
                <w:szCs w:val="20"/>
              </w:rPr>
              <w:t>Hep 50 µM</w:t>
            </w:r>
          </w:p>
        </w:tc>
        <w:tc>
          <w:tcPr>
            <w:tcW w:w="2126"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rPr>
            </w:pPr>
            <w:r w:rsidRPr="001D312B">
              <w:rPr>
                <w:rFonts w:ascii="Times New Roman" w:hAnsi="Times New Roman" w:cs="Times New Roman"/>
                <w:color w:val="000000" w:themeColor="text1"/>
                <w:sz w:val="20"/>
                <w:szCs w:val="20"/>
              </w:rPr>
              <w:t>Hep 500 µM</w:t>
            </w:r>
          </w:p>
        </w:tc>
        <w:tc>
          <w:tcPr>
            <w:tcW w:w="2129"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rPr>
            </w:pPr>
            <w:r w:rsidRPr="001D312B">
              <w:rPr>
                <w:rFonts w:ascii="Times New Roman" w:hAnsi="Times New Roman" w:cs="Times New Roman"/>
                <w:color w:val="000000" w:themeColor="text1"/>
                <w:sz w:val="20"/>
                <w:szCs w:val="20"/>
              </w:rPr>
              <w:t>8 M urea</w:t>
            </w:r>
          </w:p>
        </w:tc>
      </w:tr>
      <w:tr w:rsidR="00C0611E" w:rsidRPr="001D312B" w:rsidTr="005A5917">
        <w:trPr>
          <w:trHeight w:val="633"/>
          <w:jc w:val="right"/>
        </w:trPr>
        <w:tc>
          <w:tcPr>
            <w:tcW w:w="1733"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 xml:space="preserve">FGF10 </w:t>
            </w:r>
          </w:p>
          <w:p w:rsidR="00C0611E" w:rsidRPr="001D312B" w:rsidRDefault="00C0611E" w:rsidP="007D6B55">
            <w:pPr>
              <w:spacing w:before="120"/>
              <w:jc w:val="both"/>
              <w:rPr>
                <w:rFonts w:ascii="Times New Roman" w:hAnsi="Times New Roman" w:cs="Times New Roman"/>
                <w:color w:val="000000" w:themeColor="text1"/>
              </w:rPr>
            </w:pPr>
            <w:r w:rsidRPr="001D312B">
              <w:rPr>
                <w:rFonts w:ascii="Times New Roman" w:hAnsi="Times New Roman" w:cs="Times New Roman"/>
                <w:color w:val="000000" w:themeColor="text1"/>
                <w:sz w:val="20"/>
                <w:szCs w:val="20"/>
              </w:rPr>
              <w:t>PBS</w:t>
            </w:r>
          </w:p>
        </w:tc>
        <w:tc>
          <w:tcPr>
            <w:tcW w:w="1701"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rPr>
            </w:pPr>
            <w:r w:rsidRPr="001D312B">
              <w:rPr>
                <w:rFonts w:ascii="Times New Roman" w:hAnsi="Times New Roman" w:cs="Times New Roman"/>
                <w:color w:val="000000" w:themeColor="text1"/>
                <w:sz w:val="20"/>
                <w:szCs w:val="20"/>
              </w:rPr>
              <w:t>Hep 50 µM</w:t>
            </w:r>
          </w:p>
        </w:tc>
        <w:tc>
          <w:tcPr>
            <w:tcW w:w="2126"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 xml:space="preserve">FGF10 </w:t>
            </w:r>
          </w:p>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0.5% Tween-20 (v/v)</w:t>
            </w:r>
          </w:p>
          <w:p w:rsidR="00C0611E" w:rsidRPr="001D312B" w:rsidRDefault="00C0611E" w:rsidP="007D6B55">
            <w:pPr>
              <w:spacing w:before="120"/>
              <w:jc w:val="both"/>
              <w:rPr>
                <w:rFonts w:ascii="Times New Roman" w:hAnsi="Times New Roman" w:cs="Times New Roman"/>
                <w:color w:val="000000" w:themeColor="text1"/>
              </w:rPr>
            </w:pPr>
            <w:r w:rsidRPr="001D312B">
              <w:rPr>
                <w:rFonts w:ascii="Times New Roman" w:hAnsi="Times New Roman" w:cs="Times New Roman"/>
                <w:color w:val="000000" w:themeColor="text1"/>
                <w:sz w:val="20"/>
                <w:szCs w:val="20"/>
              </w:rPr>
              <w:t>PBS</w:t>
            </w:r>
          </w:p>
        </w:tc>
        <w:tc>
          <w:tcPr>
            <w:tcW w:w="2129"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 xml:space="preserve">FGF10 </w:t>
            </w:r>
          </w:p>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0.5% Tween-20 (v/v)</w:t>
            </w:r>
          </w:p>
          <w:p w:rsidR="00C0611E" w:rsidRPr="001D312B" w:rsidRDefault="00C0611E" w:rsidP="007D6B55">
            <w:pPr>
              <w:spacing w:before="120"/>
              <w:jc w:val="both"/>
              <w:rPr>
                <w:rFonts w:ascii="Times New Roman" w:hAnsi="Times New Roman" w:cs="Times New Roman"/>
                <w:color w:val="000000" w:themeColor="text1"/>
              </w:rPr>
            </w:pPr>
            <w:r w:rsidRPr="001D312B">
              <w:rPr>
                <w:rFonts w:ascii="Times New Roman" w:hAnsi="Times New Roman" w:cs="Times New Roman"/>
                <w:color w:val="000000" w:themeColor="text1"/>
                <w:sz w:val="20"/>
                <w:szCs w:val="20"/>
              </w:rPr>
              <w:t>Hep 50 µM</w:t>
            </w:r>
          </w:p>
        </w:tc>
      </w:tr>
    </w:tbl>
    <w:p w:rsidR="00FD49F6" w:rsidRDefault="00FD49F6"/>
    <w:sectPr w:rsidR="00FD4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24AA6"/>
    <w:multiLevelType w:val="hybridMultilevel"/>
    <w:tmpl w:val="D6A89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4F5"/>
    <w:rsid w:val="001B6806"/>
    <w:rsid w:val="005A5917"/>
    <w:rsid w:val="00770B1D"/>
    <w:rsid w:val="007F2CB9"/>
    <w:rsid w:val="00987108"/>
    <w:rsid w:val="009B14F5"/>
    <w:rsid w:val="00C0611E"/>
    <w:rsid w:val="00D27908"/>
    <w:rsid w:val="00D830BE"/>
    <w:rsid w:val="00FD4340"/>
    <w:rsid w:val="00FD49F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11E"/>
    <w:pPr>
      <w:spacing w:after="0" w:line="240"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11E"/>
    <w:pPr>
      <w:ind w:left="720"/>
      <w:contextualSpacing/>
    </w:pPr>
  </w:style>
  <w:style w:type="character" w:styleId="Hyperlink">
    <w:name w:val="Hyperlink"/>
    <w:basedOn w:val="DefaultParagraphFont"/>
    <w:uiPriority w:val="99"/>
    <w:unhideWhenUsed/>
    <w:rsid w:val="00C0611E"/>
    <w:rPr>
      <w:color w:val="0000FF" w:themeColor="hyperlink"/>
      <w:u w:val="single"/>
    </w:rPr>
  </w:style>
  <w:style w:type="table" w:styleId="TableGrid">
    <w:name w:val="Table Grid"/>
    <w:basedOn w:val="TableNormal"/>
    <w:uiPriority w:val="59"/>
    <w:rsid w:val="00C0611E"/>
    <w:pPr>
      <w:spacing w:after="0" w:line="240" w:lineRule="auto"/>
    </w:pPr>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611E"/>
    <w:rPr>
      <w:rFonts w:ascii="Tahoma" w:hAnsi="Tahoma" w:cs="Tahoma"/>
      <w:sz w:val="16"/>
      <w:szCs w:val="16"/>
    </w:rPr>
  </w:style>
  <w:style w:type="character" w:customStyle="1" w:styleId="BalloonTextChar">
    <w:name w:val="Balloon Text Char"/>
    <w:basedOn w:val="DefaultParagraphFont"/>
    <w:link w:val="BalloonText"/>
    <w:uiPriority w:val="99"/>
    <w:semiHidden/>
    <w:rsid w:val="00C0611E"/>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11E"/>
    <w:pPr>
      <w:spacing w:after="0" w:line="240"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11E"/>
    <w:pPr>
      <w:ind w:left="720"/>
      <w:contextualSpacing/>
    </w:pPr>
  </w:style>
  <w:style w:type="character" w:styleId="Hyperlink">
    <w:name w:val="Hyperlink"/>
    <w:basedOn w:val="DefaultParagraphFont"/>
    <w:uiPriority w:val="99"/>
    <w:unhideWhenUsed/>
    <w:rsid w:val="00C0611E"/>
    <w:rPr>
      <w:color w:val="0000FF" w:themeColor="hyperlink"/>
      <w:u w:val="single"/>
    </w:rPr>
  </w:style>
  <w:style w:type="table" w:styleId="TableGrid">
    <w:name w:val="Table Grid"/>
    <w:basedOn w:val="TableNormal"/>
    <w:uiPriority w:val="59"/>
    <w:rsid w:val="00C0611E"/>
    <w:pPr>
      <w:spacing w:after="0" w:line="240" w:lineRule="auto"/>
    </w:pPr>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611E"/>
    <w:rPr>
      <w:rFonts w:ascii="Tahoma" w:hAnsi="Tahoma" w:cs="Tahoma"/>
      <w:sz w:val="16"/>
      <w:szCs w:val="16"/>
    </w:rPr>
  </w:style>
  <w:style w:type="character" w:customStyle="1" w:styleId="BalloonTextChar">
    <w:name w:val="Balloon Text Char"/>
    <w:basedOn w:val="DefaultParagraphFont"/>
    <w:link w:val="BalloonText"/>
    <w:uiPriority w:val="99"/>
    <w:semiHidden/>
    <w:rsid w:val="00C0611E"/>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k.mathworks.com/products/compiler/mc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6759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hscsun</dc:creator>
  <cp:keywords/>
  <dc:description/>
  <cp:lastModifiedBy>hscsun</cp:lastModifiedBy>
  <cp:revision>8</cp:revision>
  <dcterms:created xsi:type="dcterms:W3CDTF">2015-10-01T14:13:00Z</dcterms:created>
  <dcterms:modified xsi:type="dcterms:W3CDTF">2015-11-30T15:40:00Z</dcterms:modified>
</cp:coreProperties>
</file>