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ptos" w:hAnsi="Aptos"/>
          <w:b/>
          <w:color w:val="009999"/>
          <w:sz w:val="18"/>
        </w:rPr>
        <w:t>VERTRAULICHER GRÜNDERENTWURF</w:t>
      </w:r>
    </w:p>
    <w:p>
      <w:pPr>
        <w:pStyle w:val="Title"/>
        <w:jc w:val="left"/>
      </w:pPr>
      <w:r>
        <w:t>Businessplan und Compliance-Blueprint</w:t>
      </w:r>
    </w:p>
    <w:p>
      <w:pPr>
        <w:pStyle w:val="Subtitle"/>
      </w:pPr>
      <w:r>
        <w:t>Parkplatz-Sharing-Plattform für private und gewerbliche Stellflächen – Deutschland-Pilot mit international skalierbarer Architektur</w:t>
      </w:r>
    </w:p>
    <w:p>
      <w:pPr>
        <w:spacing w:before="480" w:after="480"/>
      </w:pPr>
      <w:r>
        <w:rPr>
          <w:rFonts w:ascii="Aptos" w:hAnsi="Aptos"/>
          <w:b/>
          <w:color w:val="17365D"/>
          <w:sz w:val="20"/>
        </w:rPr>
        <w:t>Arbeitsstand: 16. Juli 2026</w:t>
      </w:r>
    </w:p>
    <w:tbl>
      <w:tblPr>
        <w:tblW w:type="auto" w:w="0"/>
        <w:jc w:val="center"/>
        <w:tblLook w:firstColumn="1" w:firstRow="1" w:lastColumn="0" w:lastRow="0" w:noHBand="0" w:noVBand="1" w:val="04A0"/>
      </w:tblPr>
      <w:tblGrid>
        <w:gridCol w:w="9922"/>
      </w:tblGrid>
      <w:tr>
        <w:tc>
          <w:tcPr>
            <w:tcW w:type="dxa" w:w="9922"/>
            <w:shd w:fill="EAF0F7"/>
            <w:tcMar>
              <w:top w:w="180" w:type="dxa"/>
              <w:start w:w="180" w:type="dxa"/>
              <w:bottom w:w="180" w:type="dxa"/>
              <w:end w:w="180" w:type="dxa"/>
            </w:tcMar>
          </w:tcPr>
          <w:p>
            <w:r>
              <w:rPr>
                <w:rFonts w:ascii="Aptos" w:hAnsi="Aptos"/>
                <w:b/>
                <w:color w:val="17365D"/>
                <w:sz w:val="20"/>
              </w:rPr>
              <w:t>Wichtiger Hinweis</w:t>
            </w:r>
          </w:p>
          <w:p>
            <w:r>
              <w:t>Dieses Dokument ist ein strategischer und technischer Arbeitsentwurf. Es ersetzt keine individuelle Rechts- oder Steuerberatung. Vor dem öffentlichen Start müssen Vertragswerk, Zahlungsfluss, Datenschutz-Folgenabschätzung, DAC7/PStTG-Einordnung, Umsatzsteuerlogik und Versicherungsschutz von spezialisierten Beratern schriftlich freigegeben werden.</w:t>
            </w:r>
          </w:p>
        </w:tc>
      </w:tr>
    </w:tbl>
    <w:p>
      <w:r>
        <w:br w:type="page"/>
      </w:r>
    </w:p>
    <w:p>
      <w:pPr>
        <w:pStyle w:val="Heading1"/>
      </w:pPr>
      <w:r>
        <w:t>Inhalt</w:t>
      </w:r>
    </w:p>
    <w:p>
      <w:pPr>
        <w:spacing w:after="20"/>
      </w:pPr>
      <w:r>
        <w:rPr>
          <w:rFonts w:ascii="Aptos" w:hAnsi="Aptos"/>
          <w:color w:val="17365D"/>
          <w:sz w:val="19"/>
        </w:rPr>
        <w:t>1. Executive Summary</w:t>
      </w:r>
    </w:p>
    <w:p>
      <w:pPr>
        <w:spacing w:after="20"/>
      </w:pPr>
      <w:r>
        <w:rPr>
          <w:rFonts w:ascii="Aptos" w:hAnsi="Aptos"/>
          <w:color w:val="17365D"/>
          <w:sz w:val="19"/>
        </w:rPr>
        <w:t>2. Strategische Ausgangslage</w:t>
      </w:r>
    </w:p>
    <w:p>
      <w:pPr>
        <w:spacing w:after="20"/>
      </w:pPr>
      <w:r>
        <w:rPr>
          <w:rFonts w:ascii="Aptos" w:hAnsi="Aptos"/>
          <w:color w:val="17365D"/>
          <w:sz w:val="19"/>
        </w:rPr>
        <w:t>3. Produkt und Nutzererlebnis</w:t>
      </w:r>
    </w:p>
    <w:p>
      <w:pPr>
        <w:spacing w:after="20"/>
      </w:pPr>
      <w:r>
        <w:rPr>
          <w:rFonts w:ascii="Aptos" w:hAnsi="Aptos"/>
          <w:color w:val="17365D"/>
          <w:sz w:val="19"/>
        </w:rPr>
        <w:t>4. Rechtliche Lösungsmatrix</w:t>
      </w:r>
    </w:p>
    <w:p>
      <w:pPr>
        <w:spacing w:after="20"/>
      </w:pPr>
      <w:r>
        <w:rPr>
          <w:rFonts w:ascii="Aptos" w:hAnsi="Aptos"/>
          <w:color w:val="17365D"/>
          <w:sz w:val="19"/>
        </w:rPr>
        <w:t>5. Geschäftsmodell</w:t>
      </w:r>
    </w:p>
    <w:p>
      <w:pPr>
        <w:spacing w:after="20"/>
      </w:pPr>
      <w:r>
        <w:rPr>
          <w:rFonts w:ascii="Aptos" w:hAnsi="Aptos"/>
          <w:color w:val="17365D"/>
          <w:sz w:val="19"/>
        </w:rPr>
        <w:t>6. Zielgruppen und Anwendungsfälle</w:t>
      </w:r>
    </w:p>
    <w:p>
      <w:pPr>
        <w:spacing w:after="20"/>
      </w:pPr>
      <w:r>
        <w:rPr>
          <w:rFonts w:ascii="Aptos" w:hAnsi="Aptos"/>
          <w:color w:val="17365D"/>
          <w:sz w:val="19"/>
        </w:rPr>
        <w:t>7. Markt und Wettbewerb</w:t>
      </w:r>
    </w:p>
    <w:p>
      <w:pPr>
        <w:spacing w:after="20"/>
      </w:pPr>
      <w:r>
        <w:rPr>
          <w:rFonts w:ascii="Aptos" w:hAnsi="Aptos"/>
          <w:color w:val="17365D"/>
          <w:sz w:val="19"/>
        </w:rPr>
        <w:t>8. Positionierung und Wettbewerbsvorteile</w:t>
      </w:r>
    </w:p>
    <w:p>
      <w:pPr>
        <w:spacing w:after="20"/>
      </w:pPr>
      <w:r>
        <w:rPr>
          <w:rFonts w:ascii="Aptos" w:hAnsi="Aptos"/>
          <w:color w:val="17365D"/>
          <w:sz w:val="19"/>
        </w:rPr>
        <w:t>9. Go-to-Market</w:t>
      </w:r>
    </w:p>
    <w:p>
      <w:pPr>
        <w:spacing w:after="20"/>
      </w:pPr>
      <w:r>
        <w:rPr>
          <w:rFonts w:ascii="Aptos" w:hAnsi="Aptos"/>
          <w:color w:val="17365D"/>
          <w:sz w:val="19"/>
        </w:rPr>
        <w:t>10. Betrieb, Support und Qualität</w:t>
      </w:r>
    </w:p>
    <w:p>
      <w:pPr>
        <w:spacing w:after="20"/>
      </w:pPr>
      <w:r>
        <w:rPr>
          <w:rFonts w:ascii="Aptos" w:hAnsi="Aptos"/>
          <w:color w:val="17365D"/>
          <w:sz w:val="19"/>
        </w:rPr>
        <w:t>11. Risiko- und Kontrollsystem</w:t>
      </w:r>
    </w:p>
    <w:p>
      <w:pPr>
        <w:spacing w:after="20"/>
      </w:pPr>
      <w:r>
        <w:rPr>
          <w:rFonts w:ascii="Aptos" w:hAnsi="Aptos"/>
          <w:color w:val="17365D"/>
          <w:sz w:val="19"/>
        </w:rPr>
        <w:t>12. Finanzplanung</w:t>
      </w:r>
    </w:p>
    <w:p>
      <w:pPr>
        <w:spacing w:after="20"/>
      </w:pPr>
      <w:r>
        <w:rPr>
          <w:rFonts w:ascii="Aptos" w:hAnsi="Aptos"/>
          <w:color w:val="17365D"/>
          <w:sz w:val="19"/>
        </w:rPr>
        <w:t>13. Kapitalbedarf und Meilensteine</w:t>
      </w:r>
    </w:p>
    <w:p>
      <w:pPr>
        <w:spacing w:after="20"/>
      </w:pPr>
      <w:r>
        <w:rPr>
          <w:rFonts w:ascii="Aptos" w:hAnsi="Aptos"/>
          <w:color w:val="17365D"/>
          <w:sz w:val="19"/>
        </w:rPr>
        <w:t>14. KPI-System</w:t>
      </w:r>
    </w:p>
    <w:p>
      <w:pPr>
        <w:spacing w:after="20"/>
      </w:pPr>
      <w:r>
        <w:rPr>
          <w:rFonts w:ascii="Aptos" w:hAnsi="Aptos"/>
          <w:color w:val="17365D"/>
          <w:sz w:val="19"/>
        </w:rPr>
        <w:t>15. Zwölf-Monats-Roadmap</w:t>
      </w:r>
    </w:p>
    <w:p>
      <w:pPr>
        <w:spacing w:after="20"/>
      </w:pPr>
      <w:r>
        <w:rPr>
          <w:rFonts w:ascii="Aptos" w:hAnsi="Aptos"/>
          <w:color w:val="17365D"/>
          <w:sz w:val="19"/>
        </w:rPr>
        <w:t>16. Entscheidungen vor Entwicklungsstart</w:t>
      </w:r>
    </w:p>
    <w:p>
      <w:pPr>
        <w:spacing w:after="20"/>
      </w:pPr>
      <w:r>
        <w:rPr>
          <w:rFonts w:ascii="Aptos" w:hAnsi="Aptos"/>
          <w:color w:val="17365D"/>
          <w:sz w:val="19"/>
        </w:rPr>
        <w:t>17. Quellen und Referenzen</w:t>
      </w:r>
    </w:p>
    <w:p>
      <w:r>
        <w:br w:type="page"/>
      </w:r>
    </w:p>
    <w:p>
      <w:pPr>
        <w:pStyle w:val="Heading1"/>
      </w:pPr>
      <w:r>
        <w:t>1. Executive Summary</w:t>
      </w:r>
    </w:p>
    <w:p>
      <w:r>
        <w:t>Die Plattform vermittelt bislang ungenutzte private und gewerbliche Stellplätze an Fahrer, die kurzfristig, wiederkehrend oder langfristig Parkraum benötigen. Anbieter steuern Preis, Verfügbarkeit und Zugangsbedingungen. Buchung, Kommunikation, Zahlung, Rückerstattung und Konfliktbearbeitung erfolgen in einer App. Die Plattform bleibt Vermittlerin; der eigentliche Parkplatznutzungsvertrag kommt zwischen Anbieter und Fahrer zustande.</w:t>
      </w:r>
    </w:p>
    <w:tbl>
      <w:tblPr>
        <w:tblW w:type="auto" w:w="0"/>
        <w:jc w:val="center"/>
        <w:tblLook w:firstColumn="1" w:firstRow="1" w:lastColumn="0" w:lastRow="0" w:noHBand="0" w:noVBand="1" w:val="04A0"/>
      </w:tblPr>
      <w:tblGrid>
        <w:gridCol w:w="9922"/>
      </w:tblGrid>
      <w:tr>
        <w:trPr>
          <w:cantSplit/>
        </w:trPr>
        <w:tc>
          <w:tcPr>
            <w:tcW w:type="dxa" w:w="9922"/>
            <w:shd w:fill="E5F3E8"/>
            <w:tcMar>
              <w:top w:w="110" w:type="dxa"/>
              <w:start w:w="140" w:type="dxa"/>
              <w:bottom w:w="110" w:type="dxa"/>
              <w:end w:w="140" w:type="dxa"/>
            </w:tcMar>
          </w:tcPr>
          <w:p>
            <w:r>
              <w:rPr>
                <w:rFonts w:ascii="Aptos" w:hAnsi="Aptos"/>
                <w:b/>
                <w:color w:val="237A3B"/>
                <w:sz w:val="19"/>
              </w:rPr>
              <w:t>Zentrale Gründungsentscheidung</w:t>
            </w:r>
          </w:p>
          <w:p>
            <w:pPr>
              <w:spacing w:after="0"/>
            </w:pPr>
            <w:r>
              <w:t>Nicht sofort flächendeckend starten. Zuerst in Frankfurt am Main eine hohe Angebotsdichte in wenigen Mikrogebieten aufbauen: Messe/Europaviertel, Flughafen- und Bahnhofsumfeld, Kliniken, Veranstaltungsorte und dicht bewohnte Quartiere. Erst nach nachgewiesener Liquidität von Angebot und Nachfrage auf weitere Städte ausrollen.</w:t>
            </w:r>
          </w:p>
        </w:tc>
      </w:tr>
    </w:tbl>
    <w:tbl>
      <w:tblPr>
        <w:tblStyle w:val="TableGrid"/>
        <w:tblW w:type="auto" w:w="0"/>
        <w:jc w:val="center"/>
        <w:tblLayout w:type="autofit"/>
        <w:tblLook w:firstColumn="1" w:firstRow="1" w:lastColumn="0" w:lastRow="0" w:noHBand="0" w:noVBand="1" w:val="04A0"/>
      </w:tblPr>
      <w:tblGrid>
        <w:gridCol w:w="4961"/>
        <w:gridCol w:w="4961"/>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6"/>
              </w:rPr>
              <w:t>Dimension</w:t>
            </w:r>
          </w:p>
        </w:tc>
        <w:tc>
          <w:tcPr>
            <w:tcW w:type="dxa" w:w="7143"/>
            <w:shd w:fill="17365D"/>
            <w:vAlign w:val="center"/>
            <w:tcMar>
              <w:top w:w="80" w:type="dxa"/>
              <w:start w:w="100" w:type="dxa"/>
              <w:bottom w:w="80" w:type="dxa"/>
              <w:end w:w="100" w:type="dxa"/>
            </w:tcMar>
          </w:tcPr>
          <w:p>
            <w:pPr>
              <w:jc w:val="left"/>
            </w:pPr>
            <w:r>
              <w:rPr>
                <w:rFonts w:ascii="Aptos" w:hAnsi="Aptos"/>
                <w:b/>
                <w:color w:val="FFFFFF"/>
                <w:sz w:val="16"/>
              </w:rPr>
              <w:t>Empfehlung</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Kernmodell</w:t>
            </w:r>
          </w:p>
        </w:tc>
        <w:tc>
          <w:tcPr>
            <w:tcW w:type="dxa" w:w="7143"/>
            <w:vAlign w:val="top"/>
            <w:tcMar>
              <w:top w:w="80" w:type="dxa"/>
              <w:start w:w="100" w:type="dxa"/>
              <w:bottom w:w="80" w:type="dxa"/>
              <w:end w:w="100" w:type="dxa"/>
            </w:tcMar>
          </w:tcPr>
          <w:p>
            <w:pPr>
              <w:spacing w:after="0"/>
            </w:pPr>
            <w:r>
              <w:rPr>
                <w:rFonts w:ascii="Aptos" w:hAnsi="Aptos"/>
                <w:color w:val="1F2937"/>
                <w:sz w:val="16"/>
              </w:rPr>
              <w:t>Zweiseitiger Marktplatz: Anbieter stellt Stellfläche bereit; Fahrer bucht; Plattform vermittelt und wickelt technisch ab.</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Monetarisierung</w:t>
            </w:r>
          </w:p>
        </w:tc>
        <w:tc>
          <w:tcPr>
            <w:tcW w:type="dxa" w:w="7143"/>
            <w:vAlign w:val="top"/>
            <w:tcMar>
              <w:top w:w="80" w:type="dxa"/>
              <w:start w:w="100" w:type="dxa"/>
              <w:bottom w:w="80" w:type="dxa"/>
              <w:end w:w="100" w:type="dxa"/>
            </w:tcMar>
            <w:shd w:fill="F3F5F7"/>
          </w:tcPr>
          <w:p>
            <w:pPr>
              <w:spacing w:after="0"/>
            </w:pPr>
            <w:r>
              <w:rPr>
                <w:rFonts w:ascii="Aptos" w:hAnsi="Aptos"/>
                <w:color w:val="1F2937"/>
                <w:sz w:val="16"/>
              </w:rPr>
              <w:t>Transaktionsgebühr auf bezahlte Buchungen, B2B-SaaS für Immobilienpartner, optionale Mitgliedschaft und später API-/Versicherungsumsätze.</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Rechtliche Leitplanke</w:t>
            </w:r>
          </w:p>
        </w:tc>
        <w:tc>
          <w:tcPr>
            <w:tcW w:type="dxa" w:w="7143"/>
            <w:vAlign w:val="top"/>
            <w:tcMar>
              <w:top w:w="80" w:type="dxa"/>
              <w:start w:w="100" w:type="dxa"/>
              <w:bottom w:w="80" w:type="dxa"/>
              <w:end w:w="100" w:type="dxa"/>
            </w:tcMar>
          </w:tcPr>
          <w:p>
            <w:pPr>
              <w:spacing w:after="0"/>
            </w:pPr>
            <w:r>
              <w:rPr>
                <w:rFonts w:ascii="Aptos" w:hAnsi="Aptos"/>
                <w:color w:val="1F2937"/>
                <w:sz w:val="16"/>
              </w:rPr>
              <w:t>Nur Eigentümer oder nachweislich berechtigte Nutzer dürfen öffentlich anbieten. Kostenloses Teilen beseitigt eine erforderliche Vermietererlaubnis nicht.</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MVP</w:t>
            </w:r>
          </w:p>
        </w:tc>
        <w:tc>
          <w:tcPr>
            <w:tcW w:type="dxa" w:w="7143"/>
            <w:vAlign w:val="top"/>
            <w:tcMar>
              <w:top w:w="80" w:type="dxa"/>
              <w:start w:w="100" w:type="dxa"/>
              <w:bottom w:w="80" w:type="dxa"/>
              <w:end w:w="100" w:type="dxa"/>
            </w:tcMar>
            <w:shd w:fill="F3F5F7"/>
          </w:tcPr>
          <w:p>
            <w:pPr>
              <w:spacing w:after="0"/>
            </w:pPr>
            <w:r>
              <w:rPr>
                <w:rFonts w:ascii="Aptos" w:hAnsi="Aptos"/>
                <w:color w:val="1F2937"/>
                <w:sz w:val="16"/>
              </w:rPr>
              <w:t>Suche, Inserat, Verfügbarkeit, Buchung, Marktplatzzahlung, Chat, Check-in/out, Storno, Bewertungen, Support- und Moderations-Backoffice.</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Erfolgslogik</w:t>
            </w:r>
          </w:p>
        </w:tc>
        <w:tc>
          <w:tcPr>
            <w:tcW w:type="dxa" w:w="7143"/>
            <w:vAlign w:val="top"/>
            <w:tcMar>
              <w:top w:w="80" w:type="dxa"/>
              <w:start w:w="100" w:type="dxa"/>
              <w:bottom w:w="80" w:type="dxa"/>
              <w:end w:w="100" w:type="dxa"/>
            </w:tcMar>
          </w:tcPr>
          <w:p>
            <w:pPr>
              <w:spacing w:after="0"/>
            </w:pPr>
            <w:r>
              <w:rPr>
                <w:rFonts w:ascii="Aptos" w:hAnsi="Aptos"/>
                <w:color w:val="1F2937"/>
                <w:sz w:val="16"/>
              </w:rPr>
              <w:t>Lokale Dichte, zuverlässige Verfügbarkeit, einfache Zufahrt, schnelle Rückerstattung und institutionelle Angebotsquellen sind wichtiger als eine große Zahl inaktiver Registrierungen.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Planungsziel</w:t>
            </w:r>
          </w:p>
        </w:tc>
        <w:tc>
          <w:tcPr>
            <w:tcW w:type="dxa" w:w="7143"/>
            <w:vAlign w:val="top"/>
            <w:tcMar>
              <w:top w:w="80" w:type="dxa"/>
              <w:start w:w="100" w:type="dxa"/>
              <w:bottom w:w="80" w:type="dxa"/>
              <w:end w:w="100" w:type="dxa"/>
            </w:tcMar>
            <w:shd w:fill="F3F5F7"/>
          </w:tcPr>
          <w:p>
            <w:pPr>
              <w:spacing w:after="0"/>
            </w:pPr>
            <w:r>
              <w:rPr>
                <w:rFonts w:ascii="Aptos" w:hAnsi="Aptos"/>
                <w:color w:val="1F2937"/>
                <w:sz w:val="16"/>
              </w:rPr>
              <w:t>Im Basisszenario operativer Break-even nach Erreichen mehrerer Städte und hoher Wiederbuchungsrate; alle Zahlen sind Annahmen, keine Prognose.</w:t>
            </w:r>
          </w:p>
        </w:tc>
      </w:tr>
    </w:tbl>
    <w:p>
      <w:pPr>
        <w:spacing w:after="20"/>
      </w:pPr>
    </w:p>
    <w:p>
      <w:pPr>
        <w:pStyle w:val="Heading1"/>
      </w:pPr>
      <w:r>
        <w:t>2. Strategische Ausgangslage</w:t>
      </w:r>
    </w:p>
    <w:p>
      <w:pPr>
        <w:pStyle w:val="Heading2"/>
      </w:pPr>
      <w:r>
        <w:t>2.1 Das zu lösende Problem</w:t>
      </w:r>
    </w:p>
    <w:p>
      <w:pPr>
        <w:pStyle w:val="ListBullet"/>
        <w:spacing w:after="40"/>
      </w:pPr>
      <w:r>
        <w:t>Fahrer verlieren Zeit durch unklare Verfügbarkeit, unpassende Zufahrten und fehlende Vorabreservierung.</w:t>
      </w:r>
    </w:p>
    <w:p>
      <w:pPr>
        <w:pStyle w:val="ListBullet"/>
        <w:spacing w:after="40"/>
      </w:pPr>
      <w:r>
        <w:t>Private Tiefgaragen, Bürostellplätze, Hotelplätze und Stellflächen von Wohnanlagen bleiben regelmäßig zeitweise ungenutzt.</w:t>
      </w:r>
    </w:p>
    <w:p>
      <w:pPr>
        <w:pStyle w:val="ListBullet"/>
        <w:spacing w:after="40"/>
      </w:pPr>
      <w:r>
        <w:t>Bestehende Lösungen konzentrieren sich häufig auf Parkhäuser, einzelne Standorte oder langfristige Vermietung; die lokale, flexible Freigabe einzelner Stellplätze ist fragmentiert.</w:t>
      </w:r>
    </w:p>
    <w:p>
      <w:pPr>
        <w:pStyle w:val="ListBullet"/>
        <w:spacing w:after="40"/>
      </w:pPr>
      <w:r>
        <w:t>Eigentümer und Verwalter verfügen oft nicht über eine einfache digitale Lösung für temporäre Freigaben, Zutritt, Abrechnung und Nachweise.</w:t>
      </w:r>
    </w:p>
    <w:p>
      <w:pPr>
        <w:pStyle w:val="ListBullet"/>
        <w:spacing w:after="40"/>
      </w:pPr>
      <w:r>
        <w:t>Informelle Koordination über Messenger verursacht Datenschutz-, Haftungs- und Zuverlässigkeitsprobleme.</w:t>
      </w:r>
    </w:p>
    <w:p>
      <w:pPr>
        <w:pStyle w:val="Heading2"/>
      </w:pPr>
      <w:r>
        <w:t>2.2 Marktbegründung</w:t>
      </w:r>
    </w:p>
    <w:p>
      <w:r>
        <w:t>Deutschland verfügte zum 1. Januar 2026 über rund 49,49 Millionen zugelassene Personenkraftwagen. Das allein beweist noch keinen adressierbaren Markt, zeigt aber die große Grundgesamtheit potenzieller Fahrer. Der Bund benennt fehlende Information über Parkplatzverfügbarkeit als Ursache von Parksuchverkehr. Für den Businessplan wird deshalb bewusst keine ungesicherte Top-down-Milliardenmarktzahl verwendet; die Planung basiert auf buchbaren Stellplätzen, Buchungsfrequenz und durchschnittlichem Buchungswert.</w:t>
      </w:r>
    </w:p>
    <w:p>
      <w:pPr>
        <w:spacing w:before="20" w:after="100"/>
      </w:pPr>
      <w:r>
        <w:rPr>
          <w:rFonts w:ascii="Aptos" w:hAnsi="Aptos"/>
          <w:i/>
          <w:color w:val="6B7280"/>
          <w:sz w:val="16"/>
        </w:rPr>
        <w:t>Quellen: Kraftfahrt-Bundesamt, Fahrzeugbestand 1. Januar 2026; BMDV, Perspektiven für den Stadtverkehr der Zukunft.</w:t>
      </w:r>
    </w:p>
    <w:p>
      <w:pPr>
        <w:pStyle w:val="Heading1"/>
      </w:pPr>
      <w:r>
        <w:t>3. Produkt und Nutzererlebnis</w:t>
      </w:r>
    </w:p>
    <w:p>
      <w:pPr>
        <w:pStyle w:val="Heading2"/>
      </w:pPr>
      <w:r>
        <w:t>3.1 Produktversprechen</w:t>
      </w:r>
    </w:p>
    <w:p>
      <w:r>
        <w:t>„Finde einen verlässlich verfügbaren privaten oder gewerblichen Stellplatz nahe deinem Ziel, buche ihn in wenigen Sekunden und erhalte erst nach Bestätigung die genaue Zufahrt und die erforderlichen Zugangsdaten.“</w:t>
      </w:r>
    </w:p>
    <w:p>
      <w:pPr>
        <w:pStyle w:val="Heading2"/>
      </w:pPr>
      <w:r>
        <w:t>3.2 Angebotsarten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701"/>
            <w:shd w:fill="17365D"/>
            <w:vAlign w:val="center"/>
            <w:tcMar>
              <w:top w:w="80" w:type="dxa"/>
              <w:start w:w="100" w:type="dxa"/>
              <w:bottom w:w="80" w:type="dxa"/>
              <w:end w:w="100" w:type="dxa"/>
            </w:tcMar>
          </w:tcPr>
          <w:p>
            <w:pPr>
              <w:jc w:val="left"/>
            </w:pPr>
            <w:r>
              <w:rPr>
                <w:rFonts w:ascii="Aptos" w:hAnsi="Aptos"/>
                <w:b/>
                <w:color w:val="FFFFFF"/>
                <w:sz w:val="16"/>
              </w:rPr>
              <w:t>Angebotsart</w:t>
            </w:r>
          </w:p>
        </w:tc>
        <w:tc>
          <w:tcPr>
            <w:tcW w:type="dxa" w:w="5443"/>
            <w:shd w:fill="17365D"/>
            <w:vAlign w:val="center"/>
            <w:tcMar>
              <w:top w:w="80" w:type="dxa"/>
              <w:start w:w="100" w:type="dxa"/>
              <w:bottom w:w="80" w:type="dxa"/>
              <w:end w:w="100" w:type="dxa"/>
            </w:tcMar>
          </w:tcPr>
          <w:p>
            <w:pPr>
              <w:jc w:val="left"/>
            </w:pPr>
            <w:r>
              <w:rPr>
                <w:rFonts w:ascii="Aptos" w:hAnsi="Aptos"/>
                <w:b/>
                <w:color w:val="FFFFFF"/>
                <w:sz w:val="16"/>
              </w:rPr>
              <w:t>Beschreibung</w:t>
            </w:r>
          </w:p>
        </w:tc>
        <w:tc>
          <w:tcPr>
            <w:tcW w:type="dxa" w:w="2268"/>
            <w:shd w:fill="17365D"/>
            <w:vAlign w:val="center"/>
            <w:tcMar>
              <w:top w:w="80" w:type="dxa"/>
              <w:start w:w="100" w:type="dxa"/>
              <w:bottom w:w="80" w:type="dxa"/>
              <w:end w:w="100" w:type="dxa"/>
            </w:tcMar>
          </w:tcPr>
          <w:p>
            <w:pPr>
              <w:jc w:val="left"/>
            </w:pPr>
            <w:r>
              <w:rPr>
                <w:rFonts w:ascii="Aptos" w:hAnsi="Aptos"/>
                <w:b/>
                <w:color w:val="FFFFFF"/>
                <w:sz w:val="16"/>
              </w:rPr>
              <w:t>MVP-Status</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Sofortbuchung</w:t>
            </w:r>
          </w:p>
        </w:tc>
        <w:tc>
          <w:tcPr>
            <w:tcW w:type="dxa" w:w="5443"/>
            <w:vAlign w:val="top"/>
            <w:tcMar>
              <w:top w:w="80" w:type="dxa"/>
              <w:start w:w="100" w:type="dxa"/>
              <w:bottom w:w="80" w:type="dxa"/>
              <w:end w:w="100" w:type="dxa"/>
            </w:tcMar>
          </w:tcPr>
          <w:p>
            <w:pPr>
              <w:spacing w:after="0"/>
            </w:pPr>
            <w:r>
              <w:rPr>
                <w:rFonts w:ascii="Aptos" w:hAnsi="Aptos"/>
                <w:color w:val="1F2937"/>
                <w:sz w:val="16"/>
              </w:rPr>
              <w:t>Anbieter definiert feste Verfügbarkeit und Regeln; Buchung wird automatisch bestätigt.</w:t>
            </w:r>
          </w:p>
        </w:tc>
        <w:tc>
          <w:tcPr>
            <w:tcW w:type="dxa" w:w="2268"/>
            <w:vAlign w:val="top"/>
            <w:tcMar>
              <w:top w:w="80" w:type="dxa"/>
              <w:start w:w="100" w:type="dxa"/>
              <w:bottom w:w="80" w:type="dxa"/>
              <w:end w:w="100" w:type="dxa"/>
            </w:tcMar>
          </w:tcPr>
          <w:p>
            <w:pPr>
              <w:spacing w:after="0"/>
            </w:pPr>
            <w:r>
              <w:rPr>
                <w:rFonts w:ascii="Aptos" w:hAnsi="Aptos"/>
                <w:color w:val="1F2937"/>
                <w:sz w:val="16"/>
              </w:rPr>
              <w:t>Ja</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Buchungsanfrage</w:t>
            </w:r>
          </w:p>
        </w:tc>
        <w:tc>
          <w:tcPr>
            <w:tcW w:type="dxa" w:w="5443"/>
            <w:vAlign w:val="top"/>
            <w:tcMar>
              <w:top w:w="80" w:type="dxa"/>
              <w:start w:w="100" w:type="dxa"/>
              <w:bottom w:w="80" w:type="dxa"/>
              <w:end w:w="100" w:type="dxa"/>
            </w:tcMar>
            <w:shd w:fill="F3F5F7"/>
          </w:tcPr>
          <w:p>
            <w:pPr>
              <w:spacing w:after="0"/>
            </w:pPr>
            <w:r>
              <w:rPr>
                <w:rFonts w:ascii="Aptos" w:hAnsi="Aptos"/>
                <w:color w:val="1F2937"/>
                <w:sz w:val="16"/>
              </w:rPr>
              <w:t>Anbieter bestätigt innerhalb eines festgelegten Zeitfensters.</w:t>
            </w:r>
          </w:p>
        </w:tc>
        <w:tc>
          <w:tcPr>
            <w:tcW w:type="dxa" w:w="2268"/>
            <w:vAlign w:val="top"/>
            <w:tcMar>
              <w:top w:w="80" w:type="dxa"/>
              <w:start w:w="100" w:type="dxa"/>
              <w:bottom w:w="80" w:type="dxa"/>
              <w:end w:w="100" w:type="dxa"/>
            </w:tcMar>
            <w:shd w:fill="F3F5F7"/>
          </w:tcPr>
          <w:p>
            <w:pPr>
              <w:spacing w:after="0"/>
            </w:pPr>
            <w:r>
              <w:rPr>
                <w:rFonts w:ascii="Aptos" w:hAnsi="Aptos"/>
                <w:color w:val="1F2937"/>
                <w:sz w:val="16"/>
              </w:rPr>
              <w:t>Ja, nur für Sonderfälle</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Wiederkehrende Buchung</w:t>
            </w:r>
          </w:p>
        </w:tc>
        <w:tc>
          <w:tcPr>
            <w:tcW w:type="dxa" w:w="5443"/>
            <w:vAlign w:val="top"/>
            <w:tcMar>
              <w:top w:w="80" w:type="dxa"/>
              <w:start w:w="100" w:type="dxa"/>
              <w:bottom w:w="80" w:type="dxa"/>
              <w:end w:w="100" w:type="dxa"/>
            </w:tcMar>
          </w:tcPr>
          <w:p>
            <w:pPr>
              <w:spacing w:after="0"/>
            </w:pPr>
            <w:r>
              <w:rPr>
                <w:rFonts w:ascii="Aptos" w:hAnsi="Aptos"/>
                <w:color w:val="1F2937"/>
                <w:sz w:val="16"/>
              </w:rPr>
              <w:t>Zum Beispiel werktags 8–18 Uhr oder jeden Heimspieltag.</w:t>
            </w:r>
          </w:p>
        </w:tc>
        <w:tc>
          <w:tcPr>
            <w:tcW w:type="dxa" w:w="2268"/>
            <w:vAlign w:val="top"/>
            <w:tcMar>
              <w:top w:w="80" w:type="dxa"/>
              <w:start w:w="100" w:type="dxa"/>
              <w:bottom w:w="80" w:type="dxa"/>
              <w:end w:w="100" w:type="dxa"/>
            </w:tcMar>
          </w:tcPr>
          <w:p>
            <w:pPr>
              <w:spacing w:after="0"/>
            </w:pPr>
            <w:r>
              <w:rPr>
                <w:rFonts w:ascii="Aptos" w:hAnsi="Aptos"/>
                <w:color w:val="1F2937"/>
                <w:sz w:val="16"/>
              </w:rPr>
              <w:t>Ja, nach Stabilisierung der Einmalbuchung</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Monatsstellplatz</w:t>
            </w:r>
          </w:p>
        </w:tc>
        <w:tc>
          <w:tcPr>
            <w:tcW w:type="dxa" w:w="5443"/>
            <w:vAlign w:val="top"/>
            <w:tcMar>
              <w:top w:w="80" w:type="dxa"/>
              <w:start w:w="100" w:type="dxa"/>
              <w:bottom w:w="80" w:type="dxa"/>
              <w:end w:w="100" w:type="dxa"/>
            </w:tcMar>
            <w:shd w:fill="F3F5F7"/>
          </w:tcPr>
          <w:p>
            <w:pPr>
              <w:spacing w:after="0"/>
            </w:pPr>
            <w:r>
              <w:rPr>
                <w:rFonts w:ascii="Aptos" w:hAnsi="Aptos"/>
                <w:color w:val="1F2937"/>
                <w:sz w:val="16"/>
              </w:rPr>
              <w:t>Laufende Nutzung mit Kündigungsfunktion und klarer Mindestlaufzeit.</w:t>
            </w:r>
          </w:p>
        </w:tc>
        <w:tc>
          <w:tcPr>
            <w:tcW w:type="dxa" w:w="2268"/>
            <w:vAlign w:val="top"/>
            <w:tcMar>
              <w:top w:w="80" w:type="dxa"/>
              <w:start w:w="100" w:type="dxa"/>
              <w:bottom w:w="80" w:type="dxa"/>
              <w:end w:w="100" w:type="dxa"/>
            </w:tcMar>
            <w:shd w:fill="F3F5F7"/>
          </w:tcPr>
          <w:p>
            <w:pPr>
              <w:spacing w:after="0"/>
            </w:pPr>
            <w:r>
              <w:rPr>
                <w:rFonts w:ascii="Aptos" w:hAnsi="Aptos"/>
                <w:color w:val="1F2937"/>
                <w:sz w:val="16"/>
              </w:rPr>
              <w:t>Phase 2</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Kostenlose Freigabe</w:t>
            </w:r>
          </w:p>
        </w:tc>
        <w:tc>
          <w:tcPr>
            <w:tcW w:type="dxa" w:w="5443"/>
            <w:vAlign w:val="top"/>
            <w:tcMar>
              <w:top w:w="80" w:type="dxa"/>
              <w:start w:w="100" w:type="dxa"/>
              <w:bottom w:w="80" w:type="dxa"/>
              <w:end w:w="100" w:type="dxa"/>
            </w:tcMar>
          </w:tcPr>
          <w:p>
            <w:pPr>
              <w:spacing w:after="0"/>
            </w:pPr>
            <w:r>
              <w:rPr>
                <w:rFonts w:ascii="Aptos" w:hAnsi="Aptos"/>
                <w:color w:val="1F2937"/>
                <w:sz w:val="16"/>
              </w:rPr>
              <w:t>Kein Parkplatzpreis; Berechtigung, Haftung und Datenschutz gelten trotzdem.</w:t>
            </w:r>
          </w:p>
        </w:tc>
        <w:tc>
          <w:tcPr>
            <w:tcW w:type="dxa" w:w="2268"/>
            <w:vAlign w:val="top"/>
            <w:tcMar>
              <w:top w:w="80" w:type="dxa"/>
              <w:start w:w="100" w:type="dxa"/>
              <w:bottom w:w="80" w:type="dxa"/>
              <w:end w:w="100" w:type="dxa"/>
            </w:tcMar>
          </w:tcPr>
          <w:p>
            <w:pPr>
              <w:spacing w:after="0"/>
            </w:pPr>
            <w:r>
              <w:rPr>
                <w:rFonts w:ascii="Aptos" w:hAnsi="Aptos"/>
                <w:color w:val="1F2937"/>
                <w:sz w:val="16"/>
              </w:rPr>
              <w:t>Ja, als Wachstums- und Community-Funktion</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Gebäude-Pool</w:t>
            </w:r>
          </w:p>
        </w:tc>
        <w:tc>
          <w:tcPr>
            <w:tcW w:type="dxa" w:w="5443"/>
            <w:vAlign w:val="top"/>
            <w:tcMar>
              <w:top w:w="80" w:type="dxa"/>
              <w:start w:w="100" w:type="dxa"/>
              <w:bottom w:w="80" w:type="dxa"/>
              <w:end w:w="100" w:type="dxa"/>
            </w:tcMar>
            <w:shd w:fill="F3F5F7"/>
          </w:tcPr>
          <w:p>
            <w:pPr>
              <w:spacing w:after="0"/>
            </w:pPr>
            <w:r>
              <w:rPr>
                <w:rFonts w:ascii="Aptos" w:hAnsi="Aptos"/>
                <w:color w:val="1F2937"/>
                <w:sz w:val="16"/>
              </w:rPr>
              <w:t>Vermieter/Verwalter schaltet Stellplätze oder Bewohnerfreigaben für ein Gebäude frei.</w:t>
            </w:r>
          </w:p>
        </w:tc>
        <w:tc>
          <w:tcPr>
            <w:tcW w:type="dxa" w:w="2268"/>
            <w:vAlign w:val="top"/>
            <w:tcMar>
              <w:top w:w="80" w:type="dxa"/>
              <w:start w:w="100" w:type="dxa"/>
              <w:bottom w:w="80" w:type="dxa"/>
              <w:end w:w="100" w:type="dxa"/>
            </w:tcMar>
            <w:shd w:fill="F3F5F7"/>
          </w:tcPr>
          <w:p>
            <w:pPr>
              <w:spacing w:after="0"/>
            </w:pPr>
            <w:r>
              <w:rPr>
                <w:rFonts w:ascii="Aptos" w:hAnsi="Aptos"/>
                <w:color w:val="1F2937"/>
                <w:sz w:val="16"/>
              </w:rPr>
              <w:t>Pilot mit B2B-Partnern</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Wallbox</w:t>
            </w:r>
          </w:p>
        </w:tc>
        <w:tc>
          <w:tcPr>
            <w:tcW w:type="dxa" w:w="5443"/>
            <w:vAlign w:val="top"/>
            <w:tcMar>
              <w:top w:w="80" w:type="dxa"/>
              <w:start w:w="100" w:type="dxa"/>
              <w:bottom w:w="80" w:type="dxa"/>
              <w:end w:w="100" w:type="dxa"/>
            </w:tcMar>
          </w:tcPr>
          <w:p>
            <w:pPr>
              <w:spacing w:after="0"/>
            </w:pPr>
            <w:r>
              <w:rPr>
                <w:rFonts w:ascii="Aptos" w:hAnsi="Aptos"/>
                <w:color w:val="1F2937"/>
                <w:sz w:val="16"/>
              </w:rPr>
              <w:t>Parken mit optionaler Ladeinformation; Stromabrechnung zunächst über spezialisierten Partner.</w:t>
            </w:r>
          </w:p>
        </w:tc>
        <w:tc>
          <w:tcPr>
            <w:tcW w:type="dxa" w:w="2268"/>
            <w:vAlign w:val="top"/>
            <w:tcMar>
              <w:top w:w="80" w:type="dxa"/>
              <w:start w:w="100" w:type="dxa"/>
              <w:bottom w:w="80" w:type="dxa"/>
              <w:end w:w="100" w:type="dxa"/>
            </w:tcMar>
          </w:tcPr>
          <w:p>
            <w:pPr>
              <w:spacing w:after="0"/>
            </w:pPr>
            <w:r>
              <w:rPr>
                <w:rFonts w:ascii="Aptos" w:hAnsi="Aptos"/>
                <w:color w:val="1F2937"/>
                <w:sz w:val="16"/>
              </w:rPr>
              <w:t>Nur Anzeige im MVP</w:t>
            </w:r>
          </w:p>
        </w:tc>
      </w:tr>
    </w:tbl>
    <w:p>
      <w:pPr>
        <w:spacing w:after="20"/>
      </w:pPr>
    </w:p>
    <w:p>
      <w:pPr>
        <w:pStyle w:val="Heading2"/>
      </w:pPr>
      <w:r>
        <w:t>3.3 Nicht verhandelbare Produktprinzipien</w:t>
      </w:r>
    </w:p>
    <w:p>
      <w:pPr>
        <w:spacing w:after="40"/>
        <w:ind w:left="312" w:hanging="255"/>
      </w:pPr>
      <w:r>
        <w:rPr>
          <w:rFonts w:ascii="Aptos" w:hAnsi="Aptos"/>
          <w:b/>
          <w:color w:val="17365D"/>
          <w:sz w:val="19"/>
        </w:rPr>
        <w:t xml:space="preserve">1. </w:t>
      </w:r>
      <w:r>
        <w:rPr>
          <w:rFonts w:ascii="Aptos" w:hAnsi="Aptos"/>
          <w:color w:val="1F2937"/>
          <w:sz w:val="19"/>
        </w:rPr>
        <w:t>Die genaue private Adresse und Zugangsdaten werden erst nach bestätigter Buchung angezeigt.</w:t>
      </w:r>
    </w:p>
    <w:p>
      <w:pPr>
        <w:spacing w:after="40"/>
        <w:ind w:left="312" w:hanging="255"/>
      </w:pPr>
      <w:r>
        <w:rPr>
          <w:rFonts w:ascii="Aptos" w:hAnsi="Aptos"/>
          <w:b/>
          <w:color w:val="17365D"/>
          <w:sz w:val="19"/>
        </w:rPr>
        <w:t xml:space="preserve">2. </w:t>
      </w:r>
      <w:r>
        <w:rPr>
          <w:rFonts w:ascii="Aptos" w:hAnsi="Aptos"/>
          <w:color w:val="1F2937"/>
          <w:sz w:val="19"/>
        </w:rPr>
        <w:t>Jedes Angebot enthält Fahrzeughöhen-, Breiten- und Längenbeschränkungen sowie Fotos der Zufahrt.</w:t>
      </w:r>
    </w:p>
    <w:p>
      <w:pPr>
        <w:spacing w:after="40"/>
        <w:ind w:left="312" w:hanging="255"/>
      </w:pPr>
      <w:r>
        <w:rPr>
          <w:rFonts w:ascii="Aptos" w:hAnsi="Aptos"/>
          <w:b/>
          <w:color w:val="17365D"/>
          <w:sz w:val="19"/>
        </w:rPr>
        <w:t xml:space="preserve">3. </w:t>
      </w:r>
      <w:r>
        <w:rPr>
          <w:rFonts w:ascii="Aptos" w:hAnsi="Aptos"/>
          <w:color w:val="1F2937"/>
          <w:sz w:val="19"/>
        </w:rPr>
        <w:t>Die Plattform zeigt vor Zahlung einen vollständigen Gesamtpreis und die Stornobedingungen.</w:t>
      </w:r>
    </w:p>
    <w:p>
      <w:pPr>
        <w:spacing w:after="40"/>
        <w:ind w:left="312" w:hanging="255"/>
      </w:pPr>
      <w:r>
        <w:rPr>
          <w:rFonts w:ascii="Aptos" w:hAnsi="Aptos"/>
          <w:b/>
          <w:color w:val="17365D"/>
          <w:sz w:val="19"/>
        </w:rPr>
        <w:t xml:space="preserve">4. </w:t>
      </w:r>
      <w:r>
        <w:rPr>
          <w:rFonts w:ascii="Aptos" w:hAnsi="Aptos"/>
          <w:color w:val="1F2937"/>
          <w:sz w:val="19"/>
        </w:rPr>
        <w:t>Zahlungen werden ausschließlich über einen regulierten Marktplatz-Zahlungsdienstleister verarbeitet.</w:t>
      </w:r>
    </w:p>
    <w:p>
      <w:pPr>
        <w:spacing w:after="40"/>
        <w:ind w:left="312" w:hanging="255"/>
      </w:pPr>
      <w:r>
        <w:rPr>
          <w:rFonts w:ascii="Aptos" w:hAnsi="Aptos"/>
          <w:b/>
          <w:color w:val="17365D"/>
          <w:sz w:val="19"/>
        </w:rPr>
        <w:t xml:space="preserve">5. </w:t>
      </w:r>
      <w:r>
        <w:rPr>
          <w:rFonts w:ascii="Aptos" w:hAnsi="Aptos"/>
          <w:color w:val="1F2937"/>
          <w:sz w:val="19"/>
        </w:rPr>
        <w:t>Bewertungen sind nur nach tatsächlich beendeter Buchung möglich.</w:t>
      </w:r>
    </w:p>
    <w:p>
      <w:pPr>
        <w:spacing w:after="40"/>
        <w:ind w:left="312" w:hanging="255"/>
      </w:pPr>
      <w:r>
        <w:rPr>
          <w:rFonts w:ascii="Aptos" w:hAnsi="Aptos"/>
          <w:b/>
          <w:color w:val="17365D"/>
          <w:sz w:val="19"/>
        </w:rPr>
        <w:t xml:space="preserve">6. </w:t>
      </w:r>
      <w:r>
        <w:rPr>
          <w:rFonts w:ascii="Aptos" w:hAnsi="Aptos"/>
          <w:color w:val="1F2937"/>
          <w:sz w:val="19"/>
        </w:rPr>
        <w:t>Standortzugriff erfolgt nur funktionsbezogen und standardmäßig nicht im Hintergrund.</w:t>
      </w:r>
    </w:p>
    <w:p>
      <w:pPr>
        <w:spacing w:after="40"/>
        <w:ind w:left="312" w:hanging="255"/>
      </w:pPr>
      <w:r>
        <w:rPr>
          <w:rFonts w:ascii="Aptos" w:hAnsi="Aptos"/>
          <w:b/>
          <w:color w:val="17365D"/>
          <w:sz w:val="19"/>
        </w:rPr>
        <w:t xml:space="preserve">7. </w:t>
      </w:r>
      <w:r>
        <w:rPr>
          <w:rFonts w:ascii="Aptos" w:hAnsi="Aptos"/>
          <w:color w:val="1F2937"/>
          <w:sz w:val="19"/>
        </w:rPr>
        <w:t>Jede Sperrung, Rückerstattung und Moderationsentscheidung wird im Backoffice dokumentiert.</w:t>
      </w:r>
    </w:p>
    <w:p>
      <w:pPr>
        <w:spacing w:after="40"/>
        <w:ind w:left="312" w:hanging="255"/>
      </w:pPr>
      <w:r>
        <w:rPr>
          <w:rFonts w:ascii="Aptos" w:hAnsi="Aptos"/>
          <w:b/>
          <w:color w:val="17365D"/>
          <w:sz w:val="19"/>
        </w:rPr>
        <w:t xml:space="preserve">8. </w:t>
      </w:r>
      <w:r>
        <w:rPr>
          <w:rFonts w:ascii="Aptos" w:hAnsi="Aptos"/>
          <w:color w:val="1F2937"/>
          <w:sz w:val="19"/>
        </w:rPr>
        <w:t>Das System wird landweise freigeschaltet; „international“ ist eine Architekturentscheidung, kein unkontrollierter globaler Launch.</w:t>
      </w:r>
    </w:p>
    <w:p>
      <w:pPr>
        <w:pStyle w:val="Heading1"/>
      </w:pPr>
      <w:r>
        <w:t>4. Rechtliche Lösungsmatrix</w:t>
      </w:r>
    </w:p>
    <w:tbl>
      <w:tblPr>
        <w:tblW w:type="auto" w:w="0"/>
        <w:jc w:val="center"/>
        <w:tblLook w:firstColumn="1" w:firstRow="1" w:lastColumn="0" w:lastRow="0" w:noHBand="0" w:noVBand="1" w:val="04A0"/>
      </w:tblPr>
      <w:tblGrid>
        <w:gridCol w:w="9922"/>
      </w:tblGrid>
      <w:tr>
        <w:trPr>
          <w:cantSplit/>
        </w:trPr>
        <w:tc>
          <w:tcPr>
            <w:tcW w:type="dxa" w:w="9922"/>
            <w:shd w:fill="FBE7E7"/>
            <w:tcMar>
              <w:top w:w="110" w:type="dxa"/>
              <w:start w:w="140" w:type="dxa"/>
              <w:bottom w:w="110" w:type="dxa"/>
              <w:end w:w="140" w:type="dxa"/>
            </w:tcMar>
          </w:tcPr>
          <w:p>
            <w:r>
              <w:rPr>
                <w:rFonts w:ascii="Aptos" w:hAnsi="Aptos"/>
                <w:b/>
                <w:color w:val="A61B1B"/>
                <w:sz w:val="19"/>
              </w:rPr>
              <w:t>Antwort auf die zentrale Vermieterfrage</w:t>
            </w:r>
          </w:p>
          <w:p>
            <w:pPr>
              <w:spacing w:after="0"/>
            </w:pPr>
            <w:r>
              <w:t>Nein: Ein gemieteter Stellplatz darf nicht allein deshalb ohne Zustimmung des Vermieters an Fremde überlassen werden, weil die Nutzung kostenlos ist. § 540 BGB spricht allgemein von der Überlassung des Gebrauchs an Dritte und nicht nur von Untervermietung gegen Entgelt. Eine gelegentliche Nutzung durch persönliche Besucher kann je nach Vertrag und Hausordnung noch zum normalen Gebrauch gehören; ein öffentliches, systematisches Angebot an wechselnde App-Nutzer ist deutlich riskanter und sollte nicht ohne Erlaubnis zugelassen werden.</w:t>
            </w:r>
          </w:p>
        </w:tc>
      </w:tr>
    </w:tbl>
    <w:p>
      <w:pPr>
        <w:pStyle w:val="Heading2"/>
      </w:pPr>
      <w:r>
        <w:t>4.1 Rechtssichere Lösung für Mieterstellplätze</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814"/>
            <w:shd w:fill="17365D"/>
            <w:vAlign w:val="center"/>
            <w:tcMar>
              <w:top w:w="80" w:type="dxa"/>
              <w:start w:w="100" w:type="dxa"/>
              <w:bottom w:w="80" w:type="dxa"/>
              <w:end w:w="100" w:type="dxa"/>
            </w:tcMar>
          </w:tcPr>
          <w:p>
            <w:pPr>
              <w:jc w:val="left"/>
            </w:pPr>
            <w:r>
              <w:rPr>
                <w:rFonts w:ascii="Aptos" w:hAnsi="Aptos"/>
                <w:b/>
                <w:color w:val="FFFFFF"/>
                <w:sz w:val="16"/>
              </w:rPr>
              <w:t>Modell</w:t>
            </w:r>
          </w:p>
        </w:tc>
        <w:tc>
          <w:tcPr>
            <w:tcW w:type="dxa" w:w="4989"/>
            <w:shd w:fill="17365D"/>
            <w:vAlign w:val="center"/>
            <w:tcMar>
              <w:top w:w="80" w:type="dxa"/>
              <w:start w:w="100" w:type="dxa"/>
              <w:bottom w:w="80" w:type="dxa"/>
              <w:end w:w="100" w:type="dxa"/>
            </w:tcMar>
          </w:tcPr>
          <w:p>
            <w:pPr>
              <w:jc w:val="left"/>
            </w:pPr>
            <w:r>
              <w:rPr>
                <w:rFonts w:ascii="Aptos" w:hAnsi="Aptos"/>
                <w:b/>
                <w:color w:val="FFFFFF"/>
                <w:sz w:val="16"/>
              </w:rPr>
              <w:t>Zulässige Umsetzung</w:t>
            </w:r>
          </w:p>
        </w:tc>
        <w:tc>
          <w:tcPr>
            <w:tcW w:type="dxa" w:w="2608"/>
            <w:shd w:fill="17365D"/>
            <w:vAlign w:val="center"/>
            <w:tcMar>
              <w:top w:w="80" w:type="dxa"/>
              <w:start w:w="100" w:type="dxa"/>
              <w:bottom w:w="80" w:type="dxa"/>
              <w:end w:w="100" w:type="dxa"/>
            </w:tcMar>
          </w:tcPr>
          <w:p>
            <w:pPr>
              <w:jc w:val="left"/>
            </w:pPr>
            <w:r>
              <w:rPr>
                <w:rFonts w:ascii="Aptos" w:hAnsi="Aptos"/>
                <w:b/>
                <w:color w:val="FFFFFF"/>
                <w:sz w:val="16"/>
              </w:rPr>
              <w:t>Nicht zulässige Abkürzung</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6"/>
              </w:rPr>
              <w:t>Berechtigter Mieter</w:t>
            </w:r>
          </w:p>
        </w:tc>
        <w:tc>
          <w:tcPr>
            <w:tcW w:type="dxa" w:w="4989"/>
            <w:vAlign w:val="top"/>
            <w:tcMar>
              <w:top w:w="80" w:type="dxa"/>
              <w:start w:w="100" w:type="dxa"/>
              <w:bottom w:w="80" w:type="dxa"/>
              <w:end w:w="100" w:type="dxa"/>
            </w:tcMar>
          </w:tcPr>
          <w:p>
            <w:pPr>
              <w:spacing w:after="0"/>
            </w:pPr>
            <w:r>
              <w:rPr>
                <w:rFonts w:ascii="Aptos" w:hAnsi="Aptos"/>
                <w:color w:val="1F2937"/>
                <w:sz w:val="16"/>
              </w:rPr>
              <w:t>Upload einer schriftlichen Erlaubnis oder digitaler Abgleich mit einem vom Vermieter freigegebenen Gebäude.</w:t>
            </w:r>
          </w:p>
        </w:tc>
        <w:tc>
          <w:tcPr>
            <w:tcW w:type="dxa" w:w="2608"/>
            <w:vAlign w:val="top"/>
            <w:tcMar>
              <w:top w:w="80" w:type="dxa"/>
              <w:start w:w="100" w:type="dxa"/>
              <w:bottom w:w="80" w:type="dxa"/>
              <w:end w:w="100" w:type="dxa"/>
            </w:tcMar>
          </w:tcPr>
          <w:p>
            <w:pPr>
              <w:spacing w:after="0"/>
            </w:pPr>
            <w:r>
              <w:rPr>
                <w:rFonts w:ascii="Aptos" w:hAnsi="Aptos"/>
                <w:color w:val="1F2937"/>
                <w:sz w:val="16"/>
              </w:rPr>
              <w:t>Checkbox „gratis, daher erlaubt“.</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6"/>
              </w:rPr>
              <w:t>Landlord Enablement</w:t>
            </w:r>
          </w:p>
        </w:tc>
        <w:tc>
          <w:tcPr>
            <w:tcW w:type="dxa" w:w="4989"/>
            <w:vAlign w:val="top"/>
            <w:tcMar>
              <w:top w:w="80" w:type="dxa"/>
              <w:start w:w="100" w:type="dxa"/>
              <w:bottom w:w="80" w:type="dxa"/>
              <w:end w:w="100" w:type="dxa"/>
            </w:tcMar>
            <w:shd w:fill="F3F5F7"/>
          </w:tcPr>
          <w:p>
            <w:pPr>
              <w:spacing w:after="0"/>
            </w:pPr>
            <w:r>
              <w:rPr>
                <w:rFonts w:ascii="Aptos" w:hAnsi="Aptos"/>
                <w:color w:val="1F2937"/>
                <w:sz w:val="16"/>
              </w:rPr>
              <w:t>Vermieter/Verwalter erteilt eine blanketartige Zusatzvereinbarung für definierte Zeiten, Nutzergruppen und Regeln; optional Umsatzbeteiligung.</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Vermieter nicht informieren und das Angebot als „Besuch“ bezeichnen.</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6"/>
              </w:rPr>
              <w:t>Gebäude-Community</w:t>
            </w:r>
          </w:p>
        </w:tc>
        <w:tc>
          <w:tcPr>
            <w:tcW w:type="dxa" w:w="4989"/>
            <w:vAlign w:val="top"/>
            <w:tcMar>
              <w:top w:w="80" w:type="dxa"/>
              <w:start w:w="100" w:type="dxa"/>
              <w:bottom w:w="80" w:type="dxa"/>
              <w:end w:w="100" w:type="dxa"/>
            </w:tcMar>
          </w:tcPr>
          <w:p>
            <w:pPr>
              <w:spacing w:after="0"/>
            </w:pPr>
            <w:r>
              <w:rPr>
                <w:rFonts w:ascii="Aptos" w:hAnsi="Aptos"/>
                <w:color w:val="1F2937"/>
                <w:sz w:val="16"/>
              </w:rPr>
              <w:t>Nur innerhalb einer vom Eigentümer freigeschalteten Anlage; Bewohner geben zugewiesene Plätze zeitweise frei.</w:t>
            </w:r>
          </w:p>
        </w:tc>
        <w:tc>
          <w:tcPr>
            <w:tcW w:type="dxa" w:w="2608"/>
            <w:vAlign w:val="top"/>
            <w:tcMar>
              <w:top w:w="80" w:type="dxa"/>
              <w:start w:w="100" w:type="dxa"/>
              <w:bottom w:w="80" w:type="dxa"/>
              <w:end w:w="100" w:type="dxa"/>
            </w:tcMar>
          </w:tcPr>
          <w:p>
            <w:pPr>
              <w:spacing w:after="0"/>
            </w:pPr>
            <w:r>
              <w:rPr>
                <w:rFonts w:ascii="Aptos" w:hAnsi="Aptos"/>
                <w:color w:val="1F2937"/>
                <w:sz w:val="16"/>
              </w:rPr>
              <w:t>Öffentliche Vermarktung durch Bewohner ohne Gebäudefreigabe.</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6"/>
              </w:rPr>
              <w:t>Persönlicher Gast</w:t>
            </w:r>
          </w:p>
        </w:tc>
        <w:tc>
          <w:tcPr>
            <w:tcW w:type="dxa" w:w="4989"/>
            <w:vAlign w:val="top"/>
            <w:tcMar>
              <w:top w:w="80" w:type="dxa"/>
              <w:start w:w="100" w:type="dxa"/>
              <w:bottom w:w="80" w:type="dxa"/>
              <w:end w:w="100" w:type="dxa"/>
            </w:tcMar>
            <w:shd w:fill="F3F5F7"/>
          </w:tcPr>
          <w:p>
            <w:pPr>
              <w:spacing w:after="0"/>
            </w:pPr>
            <w:r>
              <w:rPr>
                <w:rFonts w:ascii="Aptos" w:hAnsi="Aptos"/>
                <w:color w:val="1F2937"/>
                <w:sz w:val="16"/>
              </w:rPr>
              <w:t>Separates, nicht öffentliches Einladungsfeature für namentlich eingeladene Besucher, soweit Mietvertrag und Hausordnung dies erlauben.</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Automatisches Matching mit beliebigen Fremden als angeblicher „Gast“.</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6"/>
              </w:rPr>
              <w:t>Kostenlose Freigabe</w:t>
            </w:r>
          </w:p>
        </w:tc>
        <w:tc>
          <w:tcPr>
            <w:tcW w:type="dxa" w:w="4989"/>
            <w:vAlign w:val="top"/>
            <w:tcMar>
              <w:top w:w="80" w:type="dxa"/>
              <w:start w:w="100" w:type="dxa"/>
              <w:bottom w:w="80" w:type="dxa"/>
              <w:end w:w="100" w:type="dxa"/>
            </w:tcMar>
          </w:tcPr>
          <w:p>
            <w:pPr>
              <w:spacing w:after="0"/>
            </w:pPr>
            <w:r>
              <w:rPr>
                <w:rFonts w:ascii="Aptos" w:hAnsi="Aptos"/>
                <w:color w:val="1F2937"/>
                <w:sz w:val="16"/>
              </w:rPr>
              <w:t>Nur durch Eigentümer oder nachweislich berechtigte Anbieter; keine Zahlung, aber identische Berechtigungsprüfung.</w:t>
            </w:r>
          </w:p>
        </w:tc>
        <w:tc>
          <w:tcPr>
            <w:tcW w:type="dxa" w:w="2608"/>
            <w:vAlign w:val="top"/>
            <w:tcMar>
              <w:top w:w="80" w:type="dxa"/>
              <w:start w:w="100" w:type="dxa"/>
              <w:bottom w:w="80" w:type="dxa"/>
              <w:end w:w="100" w:type="dxa"/>
            </w:tcMar>
          </w:tcPr>
          <w:p>
            <w:pPr>
              <w:spacing w:after="0"/>
            </w:pPr>
            <w:r>
              <w:rPr>
                <w:rFonts w:ascii="Aptos" w:hAnsi="Aptos"/>
                <w:color w:val="1F2937"/>
                <w:sz w:val="16"/>
              </w:rPr>
              <w:t>Annahme, Unentgeltlichkeit beseitige § 540 BGB.</w:t>
            </w:r>
          </w:p>
        </w:tc>
      </w:tr>
    </w:tbl>
    <w:p>
      <w:pPr>
        <w:spacing w:after="20"/>
      </w:pPr>
    </w:p>
    <w:p>
      <w:r>
        <w:t>Strategisch ist die Vermieterzustimmung kein Hindernis, sondern ein B2B-Produkt: Die Plattform bietet Hausverwaltungen eine digitale Stellplatzordnung, Besucherfreigaben, Bewohner-Pools, Erlösbeteiligung, Nachweise und Zutrittssteuerung. Damit wird ein rechtliches Problem zu einem Vertriebskanal und zu einem schwer kopierbaren Angebotsvorteil.</w:t>
      </w:r>
    </w:p>
    <w:p>
      <w:pPr>
        <w:pStyle w:val="Heading2"/>
      </w:pPr>
      <w:r>
        <w:t>4.2 Lösungsmatrix für alle wesentlichen Risiken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984"/>
            <w:shd w:fill="17365D"/>
            <w:vAlign w:val="center"/>
            <w:tcMar>
              <w:top w:w="80" w:type="dxa"/>
              <w:start w:w="100" w:type="dxa"/>
              <w:bottom w:w="80" w:type="dxa"/>
              <w:end w:w="100" w:type="dxa"/>
            </w:tcMar>
          </w:tcPr>
          <w:p>
            <w:pPr>
              <w:jc w:val="left"/>
            </w:pPr>
            <w:r>
              <w:rPr>
                <w:rFonts w:ascii="Aptos" w:hAnsi="Aptos"/>
                <w:b/>
                <w:color w:val="FFFFFF"/>
                <w:sz w:val="15"/>
              </w:rPr>
              <w:t>Risiko</w:t>
            </w:r>
          </w:p>
        </w:tc>
        <w:tc>
          <w:tcPr>
            <w:tcW w:type="dxa" w:w="5386"/>
            <w:shd w:fill="17365D"/>
            <w:vAlign w:val="center"/>
            <w:tcMar>
              <w:top w:w="80" w:type="dxa"/>
              <w:start w:w="100" w:type="dxa"/>
              <w:bottom w:w="80" w:type="dxa"/>
              <w:end w:w="100" w:type="dxa"/>
            </w:tcMar>
          </w:tcPr>
          <w:p>
            <w:pPr>
              <w:jc w:val="left"/>
            </w:pPr>
            <w:r>
              <w:rPr>
                <w:rFonts w:ascii="Aptos" w:hAnsi="Aptos"/>
                <w:b/>
                <w:color w:val="FFFFFF"/>
                <w:sz w:val="15"/>
              </w:rPr>
              <w:t>Konkrete Lösung</w:t>
            </w:r>
          </w:p>
        </w:tc>
        <w:tc>
          <w:tcPr>
            <w:tcW w:type="dxa" w:w="2041"/>
            <w:shd w:fill="17365D"/>
            <w:vAlign w:val="center"/>
            <w:tcMar>
              <w:top w:w="80" w:type="dxa"/>
              <w:start w:w="100" w:type="dxa"/>
              <w:bottom w:w="80" w:type="dxa"/>
              <w:end w:w="100" w:type="dxa"/>
            </w:tcMar>
          </w:tcPr>
          <w:p>
            <w:pPr>
              <w:jc w:val="left"/>
            </w:pPr>
            <w:r>
              <w:rPr>
                <w:rFonts w:ascii="Aptos" w:hAnsi="Aptos"/>
                <w:b/>
                <w:color w:val="FFFFFF"/>
                <w:sz w:val="15"/>
              </w:rPr>
              <w:t>Produkt-/Betriebsmodul</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Unklare Vertragsrolle</w:t>
            </w:r>
          </w:p>
        </w:tc>
        <w:tc>
          <w:tcPr>
            <w:tcW w:type="dxa" w:w="5386"/>
            <w:vAlign w:val="top"/>
            <w:tcMar>
              <w:top w:w="80" w:type="dxa"/>
              <w:start w:w="100" w:type="dxa"/>
              <w:bottom w:w="80" w:type="dxa"/>
              <w:end w:w="100" w:type="dxa"/>
            </w:tcMar>
          </w:tcPr>
          <w:p>
            <w:pPr>
              <w:spacing w:after="0"/>
            </w:pPr>
            <w:r>
              <w:rPr>
                <w:rFonts w:ascii="Aptos" w:hAnsi="Aptos"/>
                <w:color w:val="1F2937"/>
                <w:sz w:val="15"/>
              </w:rPr>
              <w:t>Plattform ist Vermittlerin und technische Dienstleisterin. Parkplatznutzungsvertrag zwischen Anbieter und Fahrer; Rollen im Checkout ausdrücklich anzeigen.</w:t>
            </w:r>
          </w:p>
        </w:tc>
        <w:tc>
          <w:tcPr>
            <w:tcW w:type="dxa" w:w="2041"/>
            <w:vAlign w:val="top"/>
            <w:tcMar>
              <w:top w:w="80" w:type="dxa"/>
              <w:start w:w="100" w:type="dxa"/>
              <w:bottom w:w="80" w:type="dxa"/>
              <w:end w:w="100" w:type="dxa"/>
            </w:tcMar>
          </w:tcPr>
          <w:p>
            <w:pPr>
              <w:spacing w:after="0"/>
            </w:pPr>
            <w:r>
              <w:rPr>
                <w:rFonts w:ascii="Aptos" w:hAnsi="Aptos"/>
                <w:color w:val="1F2937"/>
                <w:sz w:val="15"/>
              </w:rPr>
              <w:t>Vertragswerk + UI</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Unberechtigtes Angebot</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Anbieterklassifizierung, Berechtigungsgrund, Eigenerklärung, risikobasierter Nachweis, Sperr- und Meldemechanismus.</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Onboarding + Backoffice</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Mieter ohne Erlaubnis</w:t>
            </w:r>
          </w:p>
        </w:tc>
        <w:tc>
          <w:tcPr>
            <w:tcW w:type="dxa" w:w="5386"/>
            <w:vAlign w:val="top"/>
            <w:tcMar>
              <w:top w:w="80" w:type="dxa"/>
              <w:start w:w="100" w:type="dxa"/>
              <w:bottom w:w="80" w:type="dxa"/>
              <w:end w:w="100" w:type="dxa"/>
            </w:tcMar>
          </w:tcPr>
          <w:p>
            <w:pPr>
              <w:spacing w:after="0"/>
            </w:pPr>
            <w:r>
              <w:rPr>
                <w:rFonts w:ascii="Aptos" w:hAnsi="Aptos"/>
                <w:color w:val="1F2937"/>
                <w:sz w:val="15"/>
              </w:rPr>
              <w:t>Keine öffentliche Aktivierung ohne Erlaubnis/Whitelist. Landlord-Partnerprogramm und digitales Zusatzblatt.</w:t>
            </w:r>
          </w:p>
        </w:tc>
        <w:tc>
          <w:tcPr>
            <w:tcW w:type="dxa" w:w="2041"/>
            <w:vAlign w:val="top"/>
            <w:tcMar>
              <w:top w:w="80" w:type="dxa"/>
              <w:start w:w="100" w:type="dxa"/>
              <w:bottom w:w="80" w:type="dxa"/>
              <w:end w:w="100" w:type="dxa"/>
            </w:tcMar>
          </w:tcPr>
          <w:p>
            <w:pPr>
              <w:spacing w:after="0"/>
            </w:pPr>
            <w:r>
              <w:rPr>
                <w:rFonts w:ascii="Aptos" w:hAnsi="Aptos"/>
                <w:color w:val="1F2937"/>
                <w:sz w:val="15"/>
              </w:rPr>
              <w:t>Supply-Policy</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WEG-/Hausordnungsverbote</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Anbieter muss Teilungserklärung/Hausordnung prüfen; bei Beschwerden Nachweis anfordern und sofort pausieren.</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Compliance-Workflow</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Öffentliche/fremde Flächen</w:t>
            </w:r>
          </w:p>
        </w:tc>
        <w:tc>
          <w:tcPr>
            <w:tcW w:type="dxa" w:w="5386"/>
            <w:vAlign w:val="top"/>
            <w:tcMar>
              <w:top w:w="80" w:type="dxa"/>
              <w:start w:w="100" w:type="dxa"/>
              <w:bottom w:w="80" w:type="dxa"/>
              <w:end w:w="100" w:type="dxa"/>
            </w:tcMar>
          </w:tcPr>
          <w:p>
            <w:pPr>
              <w:spacing w:after="0"/>
            </w:pPr>
            <w:r>
              <w:rPr>
                <w:rFonts w:ascii="Aptos" w:hAnsi="Aptos"/>
                <w:color w:val="1F2937"/>
                <w:sz w:val="15"/>
              </w:rPr>
              <w:t>Verbotene Kategorien, Geodaten-Plausibilisierung, Nutzerreporting, Wiederholungssperre.</w:t>
            </w:r>
          </w:p>
        </w:tc>
        <w:tc>
          <w:tcPr>
            <w:tcW w:type="dxa" w:w="2041"/>
            <w:vAlign w:val="top"/>
            <w:tcMar>
              <w:top w:w="80" w:type="dxa"/>
              <w:start w:w="100" w:type="dxa"/>
              <w:bottom w:w="80" w:type="dxa"/>
              <w:end w:w="100" w:type="dxa"/>
            </w:tcMar>
          </w:tcPr>
          <w:p>
            <w:pPr>
              <w:spacing w:after="0"/>
            </w:pPr>
            <w:r>
              <w:rPr>
                <w:rFonts w:ascii="Aptos" w:hAnsi="Aptos"/>
                <w:color w:val="1F2937"/>
                <w:sz w:val="15"/>
              </w:rPr>
              <w:t>Moderation</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Zahlungsdiensteaufsicht</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Regulierter Marktplatz-PSP mit Connected Accounts, KYC und Split-Payment; keine Kundengelder auf Firmenkonto oder internes Wallet.</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PSP-Integration</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Privat oder gewerblich</w:t>
            </w:r>
          </w:p>
        </w:tc>
        <w:tc>
          <w:tcPr>
            <w:tcW w:type="dxa" w:w="5386"/>
            <w:vAlign w:val="top"/>
            <w:tcMar>
              <w:top w:w="80" w:type="dxa"/>
              <w:start w:w="100" w:type="dxa"/>
              <w:bottom w:w="80" w:type="dxa"/>
              <w:end w:w="100" w:type="dxa"/>
            </w:tcMar>
          </w:tcPr>
          <w:p>
            <w:pPr>
              <w:spacing w:after="0"/>
            </w:pPr>
            <w:r>
              <w:rPr>
                <w:rFonts w:ascii="Aptos" w:hAnsi="Aptos"/>
                <w:color w:val="1F2937"/>
                <w:sz w:val="15"/>
              </w:rPr>
              <w:t>Selbstauskunft plus Schwellen-/Verhaltensprüfung; bei vielen Flächen oder professioneller Tätigkeit Re-Klassifizierung.</w:t>
            </w:r>
          </w:p>
        </w:tc>
        <w:tc>
          <w:tcPr>
            <w:tcW w:type="dxa" w:w="2041"/>
            <w:vAlign w:val="top"/>
            <w:tcMar>
              <w:top w:w="80" w:type="dxa"/>
              <w:start w:w="100" w:type="dxa"/>
              <w:bottom w:w="80" w:type="dxa"/>
              <w:end w:w="100" w:type="dxa"/>
            </w:tcMar>
          </w:tcPr>
          <w:p>
            <w:pPr>
              <w:spacing w:after="0"/>
            </w:pPr>
            <w:r>
              <w:rPr>
                <w:rFonts w:ascii="Aptos" w:hAnsi="Aptos"/>
                <w:color w:val="1F2937"/>
                <w:sz w:val="15"/>
              </w:rPr>
              <w:t>Risk Engine</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Preis- und Verbraucherinformation</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All-in-Preis, Anbieterstatus, Rankinggrundsätze, Storno, Laufzeit und Button „zahlungspflichtig buchen“.</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Checkout</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Widerruf/Leistungsbeginn</w:t>
            </w:r>
          </w:p>
        </w:tc>
        <w:tc>
          <w:tcPr>
            <w:tcW w:type="dxa" w:w="5386"/>
            <w:vAlign w:val="top"/>
            <w:tcMar>
              <w:top w:w="80" w:type="dxa"/>
              <w:start w:w="100" w:type="dxa"/>
              <w:bottom w:w="80" w:type="dxa"/>
              <w:end w:w="100" w:type="dxa"/>
            </w:tcMar>
          </w:tcPr>
          <w:p>
            <w:pPr>
              <w:spacing w:after="0"/>
            </w:pPr>
            <w:r>
              <w:rPr>
                <w:rFonts w:ascii="Aptos" w:hAnsi="Aptos"/>
                <w:color w:val="1F2937"/>
                <w:sz w:val="15"/>
              </w:rPr>
              <w:t>Juristisch geprüfter Flow für gewerbliche Anbieter; ausdrückliches Verlangen des vorzeitigen Leistungsbeginns, soweit erforderlich.</w:t>
            </w:r>
          </w:p>
        </w:tc>
        <w:tc>
          <w:tcPr>
            <w:tcW w:type="dxa" w:w="2041"/>
            <w:vAlign w:val="top"/>
            <w:tcMar>
              <w:top w:w="80" w:type="dxa"/>
              <w:start w:w="100" w:type="dxa"/>
              <w:bottom w:w="80" w:type="dxa"/>
              <w:end w:w="100" w:type="dxa"/>
            </w:tcMar>
          </w:tcPr>
          <w:p>
            <w:pPr>
              <w:spacing w:after="0"/>
            </w:pPr>
            <w:r>
              <w:rPr>
                <w:rFonts w:ascii="Aptos" w:hAnsi="Aptos"/>
                <w:color w:val="1F2937"/>
                <w:sz w:val="15"/>
              </w:rPr>
              <w:t>Checkout + AGB</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Automatische Verlängerung</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Klare Laufzeit, Vorabinformation, digitale Kündigung und Erinnerungen.</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Subscription Engine</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Nicht verfügbarer Platz</w:t>
            </w:r>
          </w:p>
        </w:tc>
        <w:tc>
          <w:tcPr>
            <w:tcW w:type="dxa" w:w="5386"/>
            <w:vAlign w:val="top"/>
            <w:tcMar>
              <w:top w:w="80" w:type="dxa"/>
              <w:start w:w="100" w:type="dxa"/>
              <w:bottom w:w="80" w:type="dxa"/>
              <w:end w:w="100" w:type="dxa"/>
            </w:tcMar>
          </w:tcPr>
          <w:p>
            <w:pPr>
              <w:spacing w:after="0"/>
            </w:pPr>
            <w:r>
              <w:rPr>
                <w:rFonts w:ascii="Aptos" w:hAnsi="Aptos"/>
                <w:color w:val="1F2937"/>
                <w:sz w:val="15"/>
              </w:rPr>
              <w:t>Sofortige Rückerstattung, Ersatzsuche, Beweisupload, Host-Sanktion, Auszahlungssperre beim PSP.</w:t>
            </w:r>
          </w:p>
        </w:tc>
        <w:tc>
          <w:tcPr>
            <w:tcW w:type="dxa" w:w="2041"/>
            <w:vAlign w:val="top"/>
            <w:tcMar>
              <w:top w:w="80" w:type="dxa"/>
              <w:start w:w="100" w:type="dxa"/>
              <w:bottom w:w="80" w:type="dxa"/>
              <w:end w:w="100" w:type="dxa"/>
            </w:tcMar>
          </w:tcPr>
          <w:p>
            <w:pPr>
              <w:spacing w:after="0"/>
            </w:pPr>
            <w:r>
              <w:rPr>
                <w:rFonts w:ascii="Aptos" w:hAnsi="Aptos"/>
                <w:color w:val="1F2937"/>
                <w:sz w:val="15"/>
              </w:rPr>
              <w:t>Dispute Flow</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Überziehung</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Verlängerungsfunktion, transparentes Überziehungsentgelt, Warnungen und Support; keine pauschal überhöhte Vertragsstrafe.</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Booking Engine</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Schäden/Diebstahl</w:t>
            </w:r>
          </w:p>
        </w:tc>
        <w:tc>
          <w:tcPr>
            <w:tcW w:type="dxa" w:w="5386"/>
            <w:vAlign w:val="top"/>
            <w:tcMar>
              <w:top w:w="80" w:type="dxa"/>
              <w:start w:w="100" w:type="dxa"/>
              <w:bottom w:w="80" w:type="dxa"/>
              <w:end w:w="100" w:type="dxa"/>
            </w:tcMar>
          </w:tcPr>
          <w:p>
            <w:pPr>
              <w:spacing w:after="0"/>
            </w:pPr>
            <w:r>
              <w:rPr>
                <w:rFonts w:ascii="Aptos" w:hAnsi="Aptos"/>
                <w:color w:val="1F2937"/>
                <w:sz w:val="15"/>
              </w:rPr>
              <w:t>Nur Flächenüberlassung, kein Verwahrversprechen; Schadensmeldung, Dokumentation, Versicherungskonzept und Haftungsregeln.</w:t>
            </w:r>
          </w:p>
        </w:tc>
        <w:tc>
          <w:tcPr>
            <w:tcW w:type="dxa" w:w="2041"/>
            <w:vAlign w:val="top"/>
            <w:tcMar>
              <w:top w:w="80" w:type="dxa"/>
              <w:start w:w="100" w:type="dxa"/>
              <w:bottom w:w="80" w:type="dxa"/>
              <w:end w:w="100" w:type="dxa"/>
            </w:tcMar>
          </w:tcPr>
          <w:p>
            <w:pPr>
              <w:spacing w:after="0"/>
            </w:pPr>
            <w:r>
              <w:rPr>
                <w:rFonts w:ascii="Aptos" w:hAnsi="Aptos"/>
                <w:color w:val="1F2937"/>
                <w:sz w:val="15"/>
              </w:rPr>
              <w:t>AGB + Claims</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DSA/illegale Inhalte</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Notice-and-action, Begründung von Sperren, Beschwerdeweg, Moderationsakte, Kontaktstelle.</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Trust &amp; Safety</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Fake-Bewertungen</w:t>
            </w:r>
          </w:p>
        </w:tc>
        <w:tc>
          <w:tcPr>
            <w:tcW w:type="dxa" w:w="5386"/>
            <w:vAlign w:val="top"/>
            <w:tcMar>
              <w:top w:w="80" w:type="dxa"/>
              <w:start w:w="100" w:type="dxa"/>
              <w:bottom w:w="80" w:type="dxa"/>
              <w:end w:w="100" w:type="dxa"/>
            </w:tcMar>
          </w:tcPr>
          <w:p>
            <w:pPr>
              <w:spacing w:after="0"/>
            </w:pPr>
            <w:r>
              <w:rPr>
                <w:rFonts w:ascii="Aptos" w:hAnsi="Aptos"/>
                <w:color w:val="1F2937"/>
                <w:sz w:val="15"/>
              </w:rPr>
              <w:t>Bewertung nur mit booking_id nach Check-out; Missbrauchsprüfung und Einspruchsverfahren.</w:t>
            </w:r>
          </w:p>
        </w:tc>
        <w:tc>
          <w:tcPr>
            <w:tcW w:type="dxa" w:w="2041"/>
            <w:vAlign w:val="top"/>
            <w:tcMar>
              <w:top w:w="80" w:type="dxa"/>
              <w:start w:w="100" w:type="dxa"/>
              <w:bottom w:w="80" w:type="dxa"/>
              <w:end w:w="100" w:type="dxa"/>
            </w:tcMar>
          </w:tcPr>
          <w:p>
            <w:pPr>
              <w:spacing w:after="0"/>
            </w:pPr>
            <w:r>
              <w:rPr>
                <w:rFonts w:ascii="Aptos" w:hAnsi="Aptos"/>
                <w:color w:val="1F2937"/>
                <w:sz w:val="15"/>
              </w:rPr>
              <w:t>Review Service</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Adresse/Einbruchrisiko</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Vor Buchung nur ungefähre Kartenposition; genaue Adresse und Zutritt zeitlich begrenzt freigeben.</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Privacy by Design</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Standorttracking</w:t>
            </w:r>
          </w:p>
        </w:tc>
        <w:tc>
          <w:tcPr>
            <w:tcW w:type="dxa" w:w="5386"/>
            <w:vAlign w:val="top"/>
            <w:tcMar>
              <w:top w:w="80" w:type="dxa"/>
              <w:start w:w="100" w:type="dxa"/>
              <w:bottom w:w="80" w:type="dxa"/>
              <w:end w:w="100" w:type="dxa"/>
            </w:tcMar>
          </w:tcPr>
          <w:p>
            <w:pPr>
              <w:spacing w:after="0"/>
            </w:pPr>
            <w:r>
              <w:rPr>
                <w:rFonts w:ascii="Aptos" w:hAnsi="Aptos"/>
                <w:color w:val="1F2937"/>
                <w:sz w:val="15"/>
              </w:rPr>
              <w:t>Nur foreground und anlassbezogen; manuelle Suche als Alternative; keine Werbeprofile ohne Einwilligung.</w:t>
            </w:r>
          </w:p>
        </w:tc>
        <w:tc>
          <w:tcPr>
            <w:tcW w:type="dxa" w:w="2041"/>
            <w:vAlign w:val="top"/>
            <w:tcMar>
              <w:top w:w="80" w:type="dxa"/>
              <w:start w:w="100" w:type="dxa"/>
              <w:bottom w:w="80" w:type="dxa"/>
              <w:end w:w="100" w:type="dxa"/>
            </w:tcMar>
          </w:tcPr>
          <w:p>
            <w:pPr>
              <w:spacing w:after="0"/>
            </w:pPr>
            <w:r>
              <w:rPr>
                <w:rFonts w:ascii="Aptos" w:hAnsi="Aptos"/>
                <w:color w:val="1F2937"/>
                <w:sz w:val="15"/>
              </w:rPr>
              <w:t>Mobile Permissions</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Kennzeichen</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Nur bei Zugangskontrolle/Identifikation; verschlüsselt, nicht öffentlich, definierte Löschfrist.</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Data Model</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Ausweisdaten</w:t>
            </w:r>
          </w:p>
        </w:tc>
        <w:tc>
          <w:tcPr>
            <w:tcW w:type="dxa" w:w="5386"/>
            <w:vAlign w:val="top"/>
            <w:tcMar>
              <w:top w:w="80" w:type="dxa"/>
              <w:start w:w="100" w:type="dxa"/>
              <w:bottom w:w="80" w:type="dxa"/>
              <w:end w:w="100" w:type="dxa"/>
            </w:tcMar>
          </w:tcPr>
          <w:p>
            <w:pPr>
              <w:spacing w:after="0"/>
            </w:pPr>
            <w:r>
              <w:rPr>
                <w:rFonts w:ascii="Aptos" w:hAnsi="Aptos"/>
                <w:color w:val="1F2937"/>
                <w:sz w:val="15"/>
              </w:rPr>
              <w:t>Prüfung durch PSP/Ident-Anbieter; Plattform speichert möglichst nur Status und Referenz.</w:t>
            </w:r>
          </w:p>
        </w:tc>
        <w:tc>
          <w:tcPr>
            <w:tcW w:type="dxa" w:w="2041"/>
            <w:vAlign w:val="top"/>
            <w:tcMar>
              <w:top w:w="80" w:type="dxa"/>
              <w:start w:w="100" w:type="dxa"/>
              <w:bottom w:w="80" w:type="dxa"/>
              <w:end w:w="100" w:type="dxa"/>
            </w:tcMar>
          </w:tcPr>
          <w:p>
            <w:pPr>
              <w:spacing w:after="0"/>
            </w:pPr>
            <w:r>
              <w:rPr>
                <w:rFonts w:ascii="Aptos" w:hAnsi="Aptos"/>
                <w:color w:val="1F2937"/>
                <w:sz w:val="15"/>
              </w:rPr>
              <w:t>KYC</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Cookies/SDKs</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Notwendige Technologien getrennt; Analytics/Marketing erst nach wirksamer Einwilligung; Consent-Protokoll.</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Consent Management</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DAC7/PStTG</w:t>
            </w:r>
          </w:p>
        </w:tc>
        <w:tc>
          <w:tcPr>
            <w:tcW w:type="dxa" w:w="5386"/>
            <w:vAlign w:val="top"/>
            <w:tcMar>
              <w:top w:w="80" w:type="dxa"/>
              <w:start w:w="100" w:type="dxa"/>
              <w:bottom w:w="80" w:type="dxa"/>
              <w:end w:w="100" w:type="dxa"/>
            </w:tcMar>
          </w:tcPr>
          <w:p>
            <w:pPr>
              <w:spacing w:after="0"/>
            </w:pPr>
            <w:r>
              <w:rPr>
                <w:rFonts w:ascii="Aptos" w:hAnsi="Aptos"/>
                <w:color w:val="1F2937"/>
                <w:sz w:val="15"/>
              </w:rPr>
              <w:t>Steuerdaten strukturiert beim Onboarding erheben, quartalsweise aggregieren, jährliche Meldedatei und Anbieterinformation.</w:t>
            </w:r>
          </w:p>
        </w:tc>
        <w:tc>
          <w:tcPr>
            <w:tcW w:type="dxa" w:w="2041"/>
            <w:vAlign w:val="top"/>
            <w:tcMar>
              <w:top w:w="80" w:type="dxa"/>
              <w:start w:w="100" w:type="dxa"/>
              <w:bottom w:w="80" w:type="dxa"/>
              <w:end w:w="100" w:type="dxa"/>
            </w:tcMar>
          </w:tcPr>
          <w:p>
            <w:pPr>
              <w:spacing w:after="0"/>
            </w:pPr>
            <w:r>
              <w:rPr>
                <w:rFonts w:ascii="Aptos" w:hAnsi="Aptos"/>
                <w:color w:val="1F2937"/>
                <w:sz w:val="15"/>
              </w:rPr>
              <w:t>Tax Module</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Umsatzsteuer/Rechnung</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Steuerstatus pro Anbieter, getrennte Rechnungslogik, keine pauschale Annahme; Steuerberater-Sign-off.</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Billing</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Cyberangriff</w:t>
            </w:r>
          </w:p>
        </w:tc>
        <w:tc>
          <w:tcPr>
            <w:tcW w:type="dxa" w:w="5386"/>
            <w:vAlign w:val="top"/>
            <w:tcMar>
              <w:top w:w="80" w:type="dxa"/>
              <w:start w:w="100" w:type="dxa"/>
              <w:bottom w:w="80" w:type="dxa"/>
              <w:end w:w="100" w:type="dxa"/>
            </w:tcMar>
          </w:tcPr>
          <w:p>
            <w:pPr>
              <w:spacing w:after="0"/>
            </w:pPr>
            <w:r>
              <w:rPr>
                <w:rFonts w:ascii="Aptos" w:hAnsi="Aptos"/>
                <w:color w:val="1F2937"/>
                <w:sz w:val="15"/>
              </w:rPr>
              <w:t>MFA, RBAC, Verschlüsselung, Secrets-Management, Pen-Test, Backups, Incident-Response.</w:t>
            </w:r>
          </w:p>
        </w:tc>
        <w:tc>
          <w:tcPr>
            <w:tcW w:type="dxa" w:w="2041"/>
            <w:vAlign w:val="top"/>
            <w:tcMar>
              <w:top w:w="80" w:type="dxa"/>
              <w:start w:w="100" w:type="dxa"/>
              <w:bottom w:w="80" w:type="dxa"/>
              <w:end w:w="100" w:type="dxa"/>
            </w:tcMar>
          </w:tcPr>
          <w:p>
            <w:pPr>
              <w:spacing w:after="0"/>
            </w:pPr>
            <w:r>
              <w:rPr>
                <w:rFonts w:ascii="Aptos" w:hAnsi="Aptos"/>
                <w:color w:val="1F2937"/>
                <w:sz w:val="15"/>
              </w:rPr>
              <w:t>Security</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Barrierefreiheit</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WCAG-orientiertes Design, Screenreader, Fokus, Kontrast und verständliche Fehlermeldungen ab Sprint 1.</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Design System</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5"/>
              </w:rPr>
              <w:t>Wallbox/Strom</w:t>
            </w:r>
          </w:p>
        </w:tc>
        <w:tc>
          <w:tcPr>
            <w:tcW w:type="dxa" w:w="5386"/>
            <w:vAlign w:val="top"/>
            <w:tcMar>
              <w:top w:w="80" w:type="dxa"/>
              <w:start w:w="100" w:type="dxa"/>
              <w:bottom w:w="80" w:type="dxa"/>
              <w:end w:w="100" w:type="dxa"/>
            </w:tcMar>
          </w:tcPr>
          <w:p>
            <w:pPr>
              <w:spacing w:after="0"/>
            </w:pPr>
            <w:r>
              <w:rPr>
                <w:rFonts w:ascii="Aptos" w:hAnsi="Aptos"/>
                <w:color w:val="1F2937"/>
                <w:sz w:val="15"/>
              </w:rPr>
              <w:t>Im MVP nur Ausstattung; verbrauchsabhängige Abrechnung ausschließlich über spezialisierten Ladepartner.</w:t>
            </w:r>
          </w:p>
        </w:tc>
        <w:tc>
          <w:tcPr>
            <w:tcW w:type="dxa" w:w="2041"/>
            <w:vAlign w:val="top"/>
            <w:tcMar>
              <w:top w:w="80" w:type="dxa"/>
              <w:start w:w="100" w:type="dxa"/>
              <w:bottom w:w="80" w:type="dxa"/>
              <w:end w:w="100" w:type="dxa"/>
            </w:tcMar>
          </w:tcPr>
          <w:p>
            <w:pPr>
              <w:spacing w:after="0"/>
            </w:pPr>
            <w:r>
              <w:rPr>
                <w:rFonts w:ascii="Aptos" w:hAnsi="Aptos"/>
                <w:color w:val="1F2937"/>
                <w:sz w:val="15"/>
              </w:rPr>
              <w:t>Scope Control</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5"/>
              </w:rPr>
              <w:t>Internationalisierung</w:t>
            </w:r>
          </w:p>
        </w:tc>
        <w:tc>
          <w:tcPr>
            <w:tcW w:type="dxa" w:w="5386"/>
            <w:vAlign w:val="top"/>
            <w:tcMar>
              <w:top w:w="80" w:type="dxa"/>
              <w:start w:w="100" w:type="dxa"/>
              <w:bottom w:w="80" w:type="dxa"/>
              <w:end w:w="100" w:type="dxa"/>
            </w:tcMar>
            <w:shd w:fill="F3F5F7"/>
          </w:tcPr>
          <w:p>
            <w:pPr>
              <w:spacing w:after="0"/>
            </w:pPr>
            <w:r>
              <w:rPr>
                <w:rFonts w:ascii="Aptos" w:hAnsi="Aptos"/>
                <w:color w:val="1F2937"/>
                <w:sz w:val="15"/>
              </w:rPr>
              <w:t>Länder-Feature-Flags, lokale Vertrags-/Steuer-/Zahlungsprüfung vor Freischaltung.</w:t>
            </w:r>
          </w:p>
        </w:tc>
        <w:tc>
          <w:tcPr>
            <w:tcW w:type="dxa" w:w="2041"/>
            <w:vAlign w:val="top"/>
            <w:tcMar>
              <w:top w:w="80" w:type="dxa"/>
              <w:start w:w="100" w:type="dxa"/>
              <w:bottom w:w="80" w:type="dxa"/>
              <w:end w:w="100" w:type="dxa"/>
            </w:tcMar>
            <w:shd w:fill="F3F5F7"/>
          </w:tcPr>
          <w:p>
            <w:pPr>
              <w:spacing w:after="0"/>
            </w:pPr>
            <w:r>
              <w:rPr>
                <w:rFonts w:ascii="Aptos" w:hAnsi="Aptos"/>
                <w:color w:val="1F2937"/>
                <w:sz w:val="15"/>
              </w:rPr>
              <w:t>Country Launch Gate</w:t>
            </w:r>
          </w:p>
        </w:tc>
      </w:tr>
    </w:tbl>
    <w:p>
      <w:pPr>
        <w:spacing w:after="20"/>
      </w:pPr>
    </w:p>
    <w:p>
      <w:pPr>
        <w:pStyle w:val="Heading2"/>
      </w:pPr>
      <w:r>
        <w:t>4.3 Freigabe-Gates vor öffentlichem Start</w:t>
      </w:r>
    </w:p>
    <w:p>
      <w:pPr>
        <w:spacing w:after="40"/>
        <w:ind w:left="312" w:hanging="255"/>
      </w:pPr>
      <w:r>
        <w:rPr>
          <w:rFonts w:ascii="Aptos" w:hAnsi="Aptos"/>
          <w:b/>
          <w:color w:val="17365D"/>
          <w:sz w:val="19"/>
        </w:rPr>
        <w:t xml:space="preserve">1. </w:t>
      </w:r>
      <w:r>
        <w:rPr>
          <w:rFonts w:ascii="Aptos" w:hAnsi="Aptos"/>
          <w:color w:val="1F2937"/>
          <w:sz w:val="19"/>
        </w:rPr>
        <w:t>Fachanwalt bestätigt Vertragsrollen, Anbieterbedingungen, Verbraucherflow, Storno, Haftung und DSA-Prozess.</w:t>
      </w:r>
    </w:p>
    <w:p>
      <w:pPr>
        <w:spacing w:after="40"/>
        <w:ind w:left="312" w:hanging="255"/>
      </w:pPr>
      <w:r>
        <w:rPr>
          <w:rFonts w:ascii="Aptos" w:hAnsi="Aptos"/>
          <w:b/>
          <w:color w:val="17365D"/>
          <w:sz w:val="19"/>
        </w:rPr>
        <w:t xml:space="preserve">2. </w:t>
      </w:r>
      <w:r>
        <w:rPr>
          <w:rFonts w:ascii="Aptos" w:hAnsi="Aptos"/>
          <w:color w:val="1F2937"/>
          <w:sz w:val="19"/>
        </w:rPr>
        <w:t>Steuerberater bestätigt PStTG/DAC7-Datensatz, Rechnungslogik und Umsatzsteuerbehandlung.</w:t>
      </w:r>
    </w:p>
    <w:p>
      <w:pPr>
        <w:spacing w:after="40"/>
        <w:ind w:left="312" w:hanging="255"/>
      </w:pPr>
      <w:r>
        <w:rPr>
          <w:rFonts w:ascii="Aptos" w:hAnsi="Aptos"/>
          <w:b/>
          <w:color w:val="17365D"/>
          <w:sz w:val="19"/>
        </w:rPr>
        <w:t xml:space="preserve">3. </w:t>
      </w:r>
      <w:r>
        <w:rPr>
          <w:rFonts w:ascii="Aptos" w:hAnsi="Aptos"/>
          <w:color w:val="1F2937"/>
          <w:sz w:val="19"/>
        </w:rPr>
        <w:t>Zahlungsdienstleister bestätigt den konkreten Marktplatzfluss und die Verantwortlichkeit für KYC, Payouts, Refunds und Chargebacks.</w:t>
      </w:r>
    </w:p>
    <w:p>
      <w:pPr>
        <w:spacing w:after="40"/>
        <w:ind w:left="312" w:hanging="255"/>
      </w:pPr>
      <w:r>
        <w:rPr>
          <w:rFonts w:ascii="Aptos" w:hAnsi="Aptos"/>
          <w:b/>
          <w:color w:val="17365D"/>
          <w:sz w:val="19"/>
        </w:rPr>
        <w:t xml:space="preserve">4. </w:t>
      </w:r>
      <w:r>
        <w:rPr>
          <w:rFonts w:ascii="Aptos" w:hAnsi="Aptos"/>
          <w:color w:val="1F2937"/>
          <w:sz w:val="19"/>
        </w:rPr>
        <w:t>Datenschutzberater prüft Verzeichnis, Auftragsverarbeiter, Löschkonzept, Einwilligungen und Erforderlichkeit einer DSFA.</w:t>
      </w:r>
    </w:p>
    <w:p>
      <w:pPr>
        <w:spacing w:after="40"/>
        <w:ind w:left="312" w:hanging="255"/>
      </w:pPr>
      <w:r>
        <w:rPr>
          <w:rFonts w:ascii="Aptos" w:hAnsi="Aptos"/>
          <w:b/>
          <w:color w:val="17365D"/>
          <w:sz w:val="19"/>
        </w:rPr>
        <w:t xml:space="preserve">5. </w:t>
      </w:r>
      <w:r>
        <w:rPr>
          <w:rFonts w:ascii="Aptos" w:hAnsi="Aptos"/>
          <w:color w:val="1F2937"/>
          <w:sz w:val="19"/>
        </w:rPr>
        <w:t>Versicherungsmakler bestätigt Betriebshaftpflicht, Tech-E&amp;O, Cyberdeckung und optionalen Buchungsschutz.</w:t>
      </w:r>
    </w:p>
    <w:p>
      <w:pPr>
        <w:spacing w:after="40"/>
        <w:ind w:left="312" w:hanging="255"/>
      </w:pPr>
      <w:r>
        <w:rPr>
          <w:rFonts w:ascii="Aptos" w:hAnsi="Aptos"/>
          <w:b/>
          <w:color w:val="17365D"/>
          <w:sz w:val="19"/>
        </w:rPr>
        <w:t xml:space="preserve">6. </w:t>
      </w:r>
      <w:r>
        <w:rPr>
          <w:rFonts w:ascii="Aptos" w:hAnsi="Aptos"/>
          <w:color w:val="1F2937"/>
          <w:sz w:val="19"/>
        </w:rPr>
        <w:t>Penetrationstest und Wiederherstellungstest sind bestanden.</w:t>
      </w:r>
    </w:p>
    <w:p>
      <w:pPr>
        <w:spacing w:after="40"/>
        <w:ind w:left="312" w:hanging="255"/>
      </w:pPr>
      <w:r>
        <w:rPr>
          <w:rFonts w:ascii="Aptos" w:hAnsi="Aptos"/>
          <w:b/>
          <w:color w:val="17365D"/>
          <w:sz w:val="19"/>
        </w:rPr>
        <w:t xml:space="preserve">7. </w:t>
      </w:r>
      <w:r>
        <w:rPr>
          <w:rFonts w:ascii="Aptos" w:hAnsi="Aptos"/>
          <w:color w:val="1F2937"/>
          <w:sz w:val="19"/>
        </w:rPr>
        <w:t>App-Store-Datenschutzerklärungen stimmen mit dem tatsächlichen SDK- und Dateninventar überein.</w:t>
      </w:r>
    </w:p>
    <w:p>
      <w:pPr>
        <w:pStyle w:val="Heading1"/>
      </w:pPr>
      <w:r>
        <w:t>5. Geschäftsmodell</w:t>
      </w:r>
    </w:p>
    <w:p>
      <w:pPr>
        <w:pStyle w:val="Heading2"/>
      </w:pPr>
      <w:r>
        <w:t>5.1 Erlösquellen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6"/>
              </w:rPr>
              <w:t>Erlösquelle</w:t>
            </w:r>
          </w:p>
        </w:tc>
        <w:tc>
          <w:tcPr>
            <w:tcW w:type="dxa" w:w="4535"/>
            <w:shd w:fill="17365D"/>
            <w:vAlign w:val="center"/>
            <w:tcMar>
              <w:top w:w="80" w:type="dxa"/>
              <w:start w:w="100" w:type="dxa"/>
              <w:bottom w:w="80" w:type="dxa"/>
              <w:end w:w="100" w:type="dxa"/>
            </w:tcMar>
          </w:tcPr>
          <w:p>
            <w:pPr>
              <w:jc w:val="left"/>
            </w:pPr>
            <w:r>
              <w:rPr>
                <w:rFonts w:ascii="Aptos" w:hAnsi="Aptos"/>
                <w:b/>
                <w:color w:val="FFFFFF"/>
                <w:sz w:val="16"/>
              </w:rPr>
              <w:t>Empfohlenes Modell</w:t>
            </w:r>
          </w:p>
        </w:tc>
        <w:tc>
          <w:tcPr>
            <w:tcW w:type="dxa" w:w="2608"/>
            <w:shd w:fill="17365D"/>
            <w:vAlign w:val="center"/>
            <w:tcMar>
              <w:top w:w="80" w:type="dxa"/>
              <w:start w:w="100" w:type="dxa"/>
              <w:bottom w:w="80" w:type="dxa"/>
              <w:end w:w="100" w:type="dxa"/>
            </w:tcMar>
          </w:tcPr>
          <w:p>
            <w:pPr>
              <w:jc w:val="left"/>
            </w:pPr>
            <w:r>
              <w:rPr>
                <w:rFonts w:ascii="Aptos" w:hAnsi="Aptos"/>
                <w:b/>
                <w:color w:val="FFFFFF"/>
                <w:sz w:val="16"/>
              </w:rPr>
              <w:t>Strategischer Zweck</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Transaktionsgebühr</w:t>
            </w:r>
          </w:p>
        </w:tc>
        <w:tc>
          <w:tcPr>
            <w:tcW w:type="dxa" w:w="4535"/>
            <w:vAlign w:val="top"/>
            <w:tcMar>
              <w:top w:w="80" w:type="dxa"/>
              <w:start w:w="100" w:type="dxa"/>
              <w:bottom w:w="80" w:type="dxa"/>
              <w:end w:w="100" w:type="dxa"/>
            </w:tcMar>
          </w:tcPr>
          <w:p>
            <w:pPr>
              <w:spacing w:after="0"/>
            </w:pPr>
            <w:r>
              <w:rPr>
                <w:rFonts w:ascii="Aptos" w:hAnsi="Aptos"/>
                <w:color w:val="1F2937"/>
                <w:sz w:val="16"/>
              </w:rPr>
              <w:t>Blended Take Rate von etwa 16–20 % des Buchungswerts; genaue Aufteilung zwischen Fahrer und Anbieter in Preisexperimenten testen.</w:t>
            </w:r>
          </w:p>
        </w:tc>
        <w:tc>
          <w:tcPr>
            <w:tcW w:type="dxa" w:w="2608"/>
            <w:vAlign w:val="top"/>
            <w:tcMar>
              <w:top w:w="80" w:type="dxa"/>
              <w:start w:w="100" w:type="dxa"/>
              <w:bottom w:w="80" w:type="dxa"/>
              <w:end w:w="100" w:type="dxa"/>
            </w:tcMar>
          </w:tcPr>
          <w:p>
            <w:pPr>
              <w:spacing w:after="0"/>
            </w:pPr>
            <w:r>
              <w:rPr>
                <w:rFonts w:ascii="Aptos" w:hAnsi="Aptos"/>
                <w:color w:val="1F2937"/>
                <w:sz w:val="16"/>
              </w:rPr>
              <w:t>Kernumsatz</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B2B-SaaS</w:t>
            </w:r>
          </w:p>
        </w:tc>
        <w:tc>
          <w:tcPr>
            <w:tcW w:type="dxa" w:w="4535"/>
            <w:vAlign w:val="top"/>
            <w:tcMar>
              <w:top w:w="80" w:type="dxa"/>
              <w:start w:w="100" w:type="dxa"/>
              <w:bottom w:w="80" w:type="dxa"/>
              <w:end w:w="100" w:type="dxa"/>
            </w:tcMar>
            <w:shd w:fill="F3F5F7"/>
          </w:tcPr>
          <w:p>
            <w:pPr>
              <w:spacing w:after="0"/>
            </w:pPr>
            <w:r>
              <w:rPr>
                <w:rFonts w:ascii="Aptos" w:hAnsi="Aptos"/>
                <w:color w:val="1F2937"/>
                <w:sz w:val="16"/>
              </w:rPr>
              <w:t>Monatliche Gebühr je verwaltetem Stellplatz oder Gebäude plus reduzierte Transaktionsgebühr.</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Planbarer Umsatz und institutionelles Angebot</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Frequent-Parker-Mitgliedschaft</w:t>
            </w:r>
          </w:p>
        </w:tc>
        <w:tc>
          <w:tcPr>
            <w:tcW w:type="dxa" w:w="4535"/>
            <w:vAlign w:val="top"/>
            <w:tcMar>
              <w:top w:w="80" w:type="dxa"/>
              <w:start w:w="100" w:type="dxa"/>
              <w:bottom w:w="80" w:type="dxa"/>
              <w:end w:w="100" w:type="dxa"/>
            </w:tcMar>
          </w:tcPr>
          <w:p>
            <w:pPr>
              <w:spacing w:after="0"/>
            </w:pPr>
            <w:r>
              <w:rPr>
                <w:rFonts w:ascii="Aptos" w:hAnsi="Aptos"/>
                <w:color w:val="1F2937"/>
                <w:sz w:val="16"/>
              </w:rPr>
              <w:t>Monatsabo mit reduzierter Servicegebühr, Reservierungsvorteilen oder Supportpriorität.</w:t>
            </w:r>
          </w:p>
        </w:tc>
        <w:tc>
          <w:tcPr>
            <w:tcW w:type="dxa" w:w="2608"/>
            <w:vAlign w:val="top"/>
            <w:tcMar>
              <w:top w:w="80" w:type="dxa"/>
              <w:start w:w="100" w:type="dxa"/>
              <w:bottom w:w="80" w:type="dxa"/>
              <w:end w:w="100" w:type="dxa"/>
            </w:tcMar>
          </w:tcPr>
          <w:p>
            <w:pPr>
              <w:spacing w:after="0"/>
            </w:pPr>
            <w:r>
              <w:rPr>
                <w:rFonts w:ascii="Aptos" w:hAnsi="Aptos"/>
                <w:color w:val="1F2937"/>
                <w:sz w:val="16"/>
              </w:rPr>
              <w:t>Bindung und Wiederbuchung</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Premium für Anbieter</w:t>
            </w:r>
          </w:p>
        </w:tc>
        <w:tc>
          <w:tcPr>
            <w:tcW w:type="dxa" w:w="4535"/>
            <w:vAlign w:val="top"/>
            <w:tcMar>
              <w:top w:w="80" w:type="dxa"/>
              <w:start w:w="100" w:type="dxa"/>
              <w:bottom w:w="80" w:type="dxa"/>
              <w:end w:w="100" w:type="dxa"/>
            </w:tcMar>
            <w:shd w:fill="F3F5F7"/>
          </w:tcPr>
          <w:p>
            <w:pPr>
              <w:spacing w:after="0"/>
            </w:pPr>
            <w:r>
              <w:rPr>
                <w:rFonts w:ascii="Aptos" w:hAnsi="Aptos"/>
                <w:color w:val="1F2937"/>
                <w:sz w:val="16"/>
              </w:rPr>
              <w:t>Preisoptimierung, Kalenderintegration, Statistiken, schnellere Auszahlung soweit PSP-seitig zulässig.</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ARPU-Steigerung</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API/Distribution</w:t>
            </w:r>
          </w:p>
        </w:tc>
        <w:tc>
          <w:tcPr>
            <w:tcW w:type="dxa" w:w="4535"/>
            <w:vAlign w:val="top"/>
            <w:tcMar>
              <w:top w:w="80" w:type="dxa"/>
              <w:start w:w="100" w:type="dxa"/>
              <w:bottom w:w="80" w:type="dxa"/>
              <w:end w:w="100" w:type="dxa"/>
            </w:tcMar>
          </w:tcPr>
          <w:p>
            <w:pPr>
              <w:spacing w:after="0"/>
            </w:pPr>
            <w:r>
              <w:rPr>
                <w:rFonts w:ascii="Aptos" w:hAnsi="Aptos"/>
                <w:color w:val="1F2937"/>
                <w:sz w:val="16"/>
              </w:rPr>
              <w:t>Provisionen aus Integrationen in Navigation, Events, Hotels, Arbeitgeber- und Reiseplattformen.</w:t>
            </w:r>
          </w:p>
        </w:tc>
        <w:tc>
          <w:tcPr>
            <w:tcW w:type="dxa" w:w="2608"/>
            <w:vAlign w:val="top"/>
            <w:tcMar>
              <w:top w:w="80" w:type="dxa"/>
              <w:start w:w="100" w:type="dxa"/>
              <w:bottom w:w="80" w:type="dxa"/>
              <w:end w:w="100" w:type="dxa"/>
            </w:tcMar>
          </w:tcPr>
          <w:p>
            <w:pPr>
              <w:spacing w:after="0"/>
            </w:pPr>
            <w:r>
              <w:rPr>
                <w:rFonts w:ascii="Aptos" w:hAnsi="Aptos"/>
                <w:color w:val="1F2937"/>
                <w:sz w:val="16"/>
              </w:rPr>
              <w:t>Skalierbare Nachfrage</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Versicherungs-/Ladepartner</w:t>
            </w:r>
          </w:p>
        </w:tc>
        <w:tc>
          <w:tcPr>
            <w:tcW w:type="dxa" w:w="4535"/>
            <w:vAlign w:val="top"/>
            <w:tcMar>
              <w:top w:w="80" w:type="dxa"/>
              <w:start w:w="100" w:type="dxa"/>
              <w:bottom w:w="80" w:type="dxa"/>
              <w:end w:w="100" w:type="dxa"/>
            </w:tcMar>
            <w:shd w:fill="F3F5F7"/>
          </w:tcPr>
          <w:p>
            <w:pPr>
              <w:spacing w:after="0"/>
            </w:pPr>
            <w:r>
              <w:rPr>
                <w:rFonts w:ascii="Aptos" w:hAnsi="Aptos"/>
                <w:color w:val="1F2937"/>
                <w:sz w:val="16"/>
              </w:rPr>
              <w:t>Vermittlungs- oder Revenue-Share-Modell, erst nach regulatorischer und vertraglicher Prüfung.</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Zusatzumsatz</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Kostenlose Buchungen</w:t>
            </w:r>
          </w:p>
        </w:tc>
        <w:tc>
          <w:tcPr>
            <w:tcW w:type="dxa" w:w="4535"/>
            <w:vAlign w:val="top"/>
            <w:tcMar>
              <w:top w:w="80" w:type="dxa"/>
              <w:start w:w="100" w:type="dxa"/>
              <w:bottom w:w="80" w:type="dxa"/>
              <w:end w:w="100" w:type="dxa"/>
            </w:tcMar>
          </w:tcPr>
          <w:p>
            <w:pPr>
              <w:spacing w:after="0"/>
            </w:pPr>
            <w:r>
              <w:rPr>
                <w:rFonts w:ascii="Aptos" w:hAnsi="Aptos"/>
                <w:color w:val="1F2937"/>
                <w:sz w:val="16"/>
              </w:rPr>
              <w:t>Keine Transaktionsgebühr; dienen Supply-Aufbau, Community und späterer Konversion.</w:t>
            </w:r>
          </w:p>
        </w:tc>
        <w:tc>
          <w:tcPr>
            <w:tcW w:type="dxa" w:w="2608"/>
            <w:vAlign w:val="top"/>
            <w:tcMar>
              <w:top w:w="80" w:type="dxa"/>
              <w:start w:w="100" w:type="dxa"/>
              <w:bottom w:w="80" w:type="dxa"/>
              <w:end w:w="100" w:type="dxa"/>
            </w:tcMar>
          </w:tcPr>
          <w:p>
            <w:pPr>
              <w:spacing w:after="0"/>
            </w:pPr>
            <w:r>
              <w:rPr>
                <w:rFonts w:ascii="Aptos" w:hAnsi="Aptos"/>
                <w:color w:val="1F2937"/>
                <w:sz w:val="16"/>
              </w:rPr>
              <w:t>Netzwerkeffekt</w:t>
            </w:r>
          </w:p>
        </w:tc>
      </w:tr>
    </w:tbl>
    <w:p>
      <w:pPr>
        <w:spacing w:after="20"/>
      </w:pPr>
    </w:p>
    <w:p>
      <w:pPr>
        <w:pStyle w:val="Heading2"/>
      </w:pPr>
      <w:r>
        <w:t>5.2 Preisempfehlung zum Start</w:t>
      </w:r>
    </w:p>
    <w:p>
      <w:r>
        <w:t>Für den Pilot sollte die Plattform den Gesamtpreis nicht durch zu viele Gebühren unverständlich machen. Empfohlen ist ein klarer All-in-Preis. Intern kann die Marge auf Anbieter- und Fahrerseite verteilt werden. Ein Starttest könnte mit 10 % Anbieterprovision und 8 % Fahrer-Servicegebühr erfolgen; die endgültige Struktur ist durch A/B-Tests, PSP-Kosten und Verbraucherrecht zu validieren. Kostenlose Angebote bleiben tatsächlich kostenlos.</w:t>
      </w:r>
    </w:p>
    <w:p>
      <w:pPr>
        <w:pStyle w:val="Heading1"/>
      </w:pPr>
      <w:r>
        <w:t>6. Zielgruppen und Anwendungsfälle</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2041"/>
            <w:shd w:fill="17365D"/>
            <w:vAlign w:val="center"/>
            <w:tcMar>
              <w:top w:w="80" w:type="dxa"/>
              <w:start w:w="100" w:type="dxa"/>
              <w:bottom w:w="80" w:type="dxa"/>
              <w:end w:w="100" w:type="dxa"/>
            </w:tcMar>
          </w:tcPr>
          <w:p>
            <w:pPr>
              <w:jc w:val="left"/>
            </w:pPr>
            <w:r>
              <w:rPr>
                <w:rFonts w:ascii="Aptos" w:hAnsi="Aptos"/>
                <w:b/>
                <w:color w:val="FFFFFF"/>
                <w:sz w:val="16"/>
              </w:rPr>
              <w:t>Segment</w:t>
            </w:r>
          </w:p>
        </w:tc>
        <w:tc>
          <w:tcPr>
            <w:tcW w:type="dxa" w:w="3572"/>
            <w:shd w:fill="17365D"/>
            <w:vAlign w:val="center"/>
            <w:tcMar>
              <w:top w:w="80" w:type="dxa"/>
              <w:start w:w="100" w:type="dxa"/>
              <w:bottom w:w="80" w:type="dxa"/>
              <w:end w:w="100" w:type="dxa"/>
            </w:tcMar>
          </w:tcPr>
          <w:p>
            <w:pPr>
              <w:jc w:val="left"/>
            </w:pPr>
            <w:r>
              <w:rPr>
                <w:rFonts w:ascii="Aptos" w:hAnsi="Aptos"/>
                <w:b/>
                <w:color w:val="FFFFFF"/>
                <w:sz w:val="16"/>
              </w:rPr>
              <w:t>Bedarf</w:t>
            </w:r>
          </w:p>
        </w:tc>
        <w:tc>
          <w:tcPr>
            <w:tcW w:type="dxa" w:w="3798"/>
            <w:shd w:fill="17365D"/>
            <w:vAlign w:val="center"/>
            <w:tcMar>
              <w:top w:w="80" w:type="dxa"/>
              <w:start w:w="100" w:type="dxa"/>
              <w:bottom w:w="80" w:type="dxa"/>
              <w:end w:w="100" w:type="dxa"/>
            </w:tcMar>
          </w:tcPr>
          <w:p>
            <w:pPr>
              <w:jc w:val="left"/>
            </w:pPr>
            <w:r>
              <w:rPr>
                <w:rFonts w:ascii="Aptos" w:hAnsi="Aptos"/>
                <w:b/>
                <w:color w:val="FFFFFF"/>
                <w:sz w:val="16"/>
              </w:rPr>
              <w:t>Angebot/Message</w:t>
            </w:r>
          </w:p>
        </w:tc>
      </w:tr>
      <w:tr>
        <w:trPr>
          <w:cantSplit/>
        </w:trPr>
        <w:tc>
          <w:tcPr>
            <w:tcW w:type="dxa" w:w="2041"/>
            <w:vAlign w:val="top"/>
            <w:tcMar>
              <w:top w:w="80" w:type="dxa"/>
              <w:start w:w="100" w:type="dxa"/>
              <w:bottom w:w="80" w:type="dxa"/>
              <w:end w:w="100" w:type="dxa"/>
            </w:tcMar>
          </w:tcPr>
          <w:p>
            <w:pPr>
              <w:spacing w:after="0"/>
            </w:pPr>
            <w:r>
              <w:rPr>
                <w:rFonts w:ascii="Aptos" w:hAnsi="Aptos"/>
                <w:color w:val="1F2937"/>
                <w:sz w:val="16"/>
              </w:rPr>
              <w:t>Wohnungseigentümer</w:t>
            </w:r>
          </w:p>
        </w:tc>
        <w:tc>
          <w:tcPr>
            <w:tcW w:type="dxa" w:w="3572"/>
            <w:vAlign w:val="top"/>
            <w:tcMar>
              <w:top w:w="80" w:type="dxa"/>
              <w:start w:w="100" w:type="dxa"/>
              <w:bottom w:w="80" w:type="dxa"/>
              <w:end w:w="100" w:type="dxa"/>
            </w:tcMar>
          </w:tcPr>
          <w:p>
            <w:pPr>
              <w:spacing w:after="0"/>
            </w:pPr>
            <w:r>
              <w:rPr>
                <w:rFonts w:ascii="Aptos" w:hAnsi="Aptos"/>
                <w:color w:val="1F2937"/>
                <w:sz w:val="16"/>
              </w:rPr>
              <w:t>Einnahmen aus ungenutztem Stellplatz.</w:t>
            </w:r>
          </w:p>
        </w:tc>
        <w:tc>
          <w:tcPr>
            <w:tcW w:type="dxa" w:w="3798"/>
            <w:vAlign w:val="top"/>
            <w:tcMar>
              <w:top w:w="80" w:type="dxa"/>
              <w:start w:w="100" w:type="dxa"/>
              <w:bottom w:w="80" w:type="dxa"/>
              <w:end w:w="100" w:type="dxa"/>
            </w:tcMar>
          </w:tcPr>
          <w:p>
            <w:pPr>
              <w:spacing w:after="0"/>
            </w:pPr>
            <w:r>
              <w:rPr>
                <w:rFonts w:ascii="Aptos" w:hAnsi="Aptos"/>
                <w:color w:val="1F2937"/>
                <w:sz w:val="16"/>
              </w:rPr>
              <w:t>Preis und Zeiten selbst bestimmen; exakte Adresse bleibt geschützt.</w:t>
            </w:r>
          </w:p>
        </w:tc>
      </w:tr>
      <w:tr>
        <w:trPr>
          <w:cantSplit/>
        </w:trPr>
        <w:tc>
          <w:tcPr>
            <w:tcW w:type="dxa" w:w="2041"/>
            <w:vAlign w:val="top"/>
            <w:tcMar>
              <w:top w:w="80" w:type="dxa"/>
              <w:start w:w="100" w:type="dxa"/>
              <w:bottom w:w="80" w:type="dxa"/>
              <w:end w:w="100" w:type="dxa"/>
            </w:tcMar>
            <w:shd w:fill="F3F5F7"/>
          </w:tcPr>
          <w:p>
            <w:pPr>
              <w:spacing w:after="0"/>
            </w:pPr>
            <w:r>
              <w:rPr>
                <w:rFonts w:ascii="Aptos" w:hAnsi="Aptos"/>
                <w:color w:val="1F2937"/>
                <w:sz w:val="16"/>
              </w:rPr>
              <w:t>Berechtigte Mieter</w:t>
            </w:r>
          </w:p>
        </w:tc>
        <w:tc>
          <w:tcPr>
            <w:tcW w:type="dxa" w:w="3572"/>
            <w:vAlign w:val="top"/>
            <w:tcMar>
              <w:top w:w="80" w:type="dxa"/>
              <w:start w:w="100" w:type="dxa"/>
              <w:bottom w:w="80" w:type="dxa"/>
              <w:end w:w="100" w:type="dxa"/>
            </w:tcMar>
            <w:shd w:fill="F3F5F7"/>
          </w:tcPr>
          <w:p>
            <w:pPr>
              <w:spacing w:after="0"/>
            </w:pPr>
            <w:r>
              <w:rPr>
                <w:rFonts w:ascii="Aptos" w:hAnsi="Aptos"/>
                <w:color w:val="1F2937"/>
                <w:sz w:val="16"/>
              </w:rPr>
              <w:t>Freigabe während Arbeit, Urlaub oder Wochenenden.</w:t>
            </w:r>
          </w:p>
        </w:tc>
        <w:tc>
          <w:tcPr>
            <w:tcW w:type="dxa" w:w="3798"/>
            <w:vAlign w:val="top"/>
            <w:tcMar>
              <w:top w:w="80" w:type="dxa"/>
              <w:start w:w="100" w:type="dxa"/>
              <w:bottom w:w="80" w:type="dxa"/>
              <w:end w:w="100" w:type="dxa"/>
            </w:tcMar>
            <w:shd w:fill="F3F5F7"/>
          </w:tcPr>
          <w:p>
            <w:pPr>
              <w:spacing w:after="0"/>
            </w:pPr>
            <w:r>
              <w:rPr>
                <w:rFonts w:ascii="Aptos" w:hAnsi="Aptos"/>
                <w:color w:val="1F2937"/>
                <w:sz w:val="16"/>
              </w:rPr>
              <w:t>Digitale Vermieterfreigabe oder Teilnahme an freigeschaltetem Gebäude.</w:t>
            </w:r>
          </w:p>
        </w:tc>
      </w:tr>
      <w:tr>
        <w:trPr>
          <w:cantSplit/>
        </w:trPr>
        <w:tc>
          <w:tcPr>
            <w:tcW w:type="dxa" w:w="2041"/>
            <w:vAlign w:val="top"/>
            <w:tcMar>
              <w:top w:w="80" w:type="dxa"/>
              <w:start w:w="100" w:type="dxa"/>
              <w:bottom w:w="80" w:type="dxa"/>
              <w:end w:w="100" w:type="dxa"/>
            </w:tcMar>
          </w:tcPr>
          <w:p>
            <w:pPr>
              <w:spacing w:after="0"/>
            </w:pPr>
            <w:r>
              <w:rPr>
                <w:rFonts w:ascii="Aptos" w:hAnsi="Aptos"/>
                <w:color w:val="1F2937"/>
                <w:sz w:val="16"/>
              </w:rPr>
              <w:t>Hausverwaltungen/Vermieter</w:t>
            </w:r>
          </w:p>
        </w:tc>
        <w:tc>
          <w:tcPr>
            <w:tcW w:type="dxa" w:w="3572"/>
            <w:vAlign w:val="top"/>
            <w:tcMar>
              <w:top w:w="80" w:type="dxa"/>
              <w:start w:w="100" w:type="dxa"/>
              <w:bottom w:w="80" w:type="dxa"/>
              <w:end w:w="100" w:type="dxa"/>
            </w:tcMar>
          </w:tcPr>
          <w:p>
            <w:pPr>
              <w:spacing w:after="0"/>
            </w:pPr>
            <w:r>
              <w:rPr>
                <w:rFonts w:ascii="Aptos" w:hAnsi="Aptos"/>
                <w:color w:val="1F2937"/>
                <w:sz w:val="16"/>
              </w:rPr>
              <w:t>Besucherparken, Leerstandsmonetarisierung, weniger Chaos.</w:t>
            </w:r>
          </w:p>
        </w:tc>
        <w:tc>
          <w:tcPr>
            <w:tcW w:type="dxa" w:w="3798"/>
            <w:vAlign w:val="top"/>
            <w:tcMar>
              <w:top w:w="80" w:type="dxa"/>
              <w:start w:w="100" w:type="dxa"/>
              <w:bottom w:w="80" w:type="dxa"/>
              <w:end w:w="100" w:type="dxa"/>
            </w:tcMar>
          </w:tcPr>
          <w:p>
            <w:pPr>
              <w:spacing w:after="0"/>
            </w:pPr>
            <w:r>
              <w:rPr>
                <w:rFonts w:ascii="Aptos" w:hAnsi="Aptos"/>
                <w:color w:val="1F2937"/>
                <w:sz w:val="16"/>
              </w:rPr>
              <w:t>Gebäude-Dashboard, Regeln, Erlösbeteiligung, Nachweise.</w:t>
            </w:r>
          </w:p>
        </w:tc>
      </w:tr>
      <w:tr>
        <w:trPr>
          <w:cantSplit/>
        </w:trPr>
        <w:tc>
          <w:tcPr>
            <w:tcW w:type="dxa" w:w="2041"/>
            <w:vAlign w:val="top"/>
            <w:tcMar>
              <w:top w:w="80" w:type="dxa"/>
              <w:start w:w="100" w:type="dxa"/>
              <w:bottom w:w="80" w:type="dxa"/>
              <w:end w:w="100" w:type="dxa"/>
            </w:tcMar>
            <w:shd w:fill="F3F5F7"/>
          </w:tcPr>
          <w:p>
            <w:pPr>
              <w:spacing w:after="0"/>
            </w:pPr>
            <w:r>
              <w:rPr>
                <w:rFonts w:ascii="Aptos" w:hAnsi="Aptos"/>
                <w:color w:val="1F2937"/>
                <w:sz w:val="16"/>
              </w:rPr>
              <w:t>Büros/Hotels/Praxen</w:t>
            </w:r>
          </w:p>
        </w:tc>
        <w:tc>
          <w:tcPr>
            <w:tcW w:type="dxa" w:w="3572"/>
            <w:vAlign w:val="top"/>
            <w:tcMar>
              <w:top w:w="80" w:type="dxa"/>
              <w:start w:w="100" w:type="dxa"/>
              <w:bottom w:w="80" w:type="dxa"/>
              <w:end w:w="100" w:type="dxa"/>
            </w:tcMar>
            <w:shd w:fill="F3F5F7"/>
          </w:tcPr>
          <w:p>
            <w:pPr>
              <w:spacing w:after="0"/>
            </w:pPr>
            <w:r>
              <w:rPr>
                <w:rFonts w:ascii="Aptos" w:hAnsi="Aptos"/>
                <w:color w:val="1F2937"/>
                <w:sz w:val="16"/>
              </w:rPr>
              <w:t>Auslastung außerhalb eigener Kernzeiten.</w:t>
            </w:r>
          </w:p>
        </w:tc>
        <w:tc>
          <w:tcPr>
            <w:tcW w:type="dxa" w:w="3798"/>
            <w:vAlign w:val="top"/>
            <w:tcMar>
              <w:top w:w="80" w:type="dxa"/>
              <w:start w:w="100" w:type="dxa"/>
              <w:bottom w:w="80" w:type="dxa"/>
              <w:end w:w="100" w:type="dxa"/>
            </w:tcMar>
            <w:shd w:fill="F3F5F7"/>
          </w:tcPr>
          <w:p>
            <w:pPr>
              <w:spacing w:after="0"/>
            </w:pPr>
            <w:r>
              <w:rPr>
                <w:rFonts w:ascii="Aptos" w:hAnsi="Aptos"/>
                <w:color w:val="1F2937"/>
                <w:sz w:val="16"/>
              </w:rPr>
              <w:t>Kalender, Kontingente, Rechnung, Zutritt, B2B-Support.</w:t>
            </w:r>
          </w:p>
        </w:tc>
      </w:tr>
      <w:tr>
        <w:trPr>
          <w:cantSplit/>
        </w:trPr>
        <w:tc>
          <w:tcPr>
            <w:tcW w:type="dxa" w:w="2041"/>
            <w:vAlign w:val="top"/>
            <w:tcMar>
              <w:top w:w="80" w:type="dxa"/>
              <w:start w:w="100" w:type="dxa"/>
              <w:bottom w:w="80" w:type="dxa"/>
              <w:end w:w="100" w:type="dxa"/>
            </w:tcMar>
          </w:tcPr>
          <w:p>
            <w:pPr>
              <w:spacing w:after="0"/>
            </w:pPr>
            <w:r>
              <w:rPr>
                <w:rFonts w:ascii="Aptos" w:hAnsi="Aptos"/>
                <w:color w:val="1F2937"/>
                <w:sz w:val="16"/>
              </w:rPr>
              <w:t>Pendler</w:t>
            </w:r>
          </w:p>
        </w:tc>
        <w:tc>
          <w:tcPr>
            <w:tcW w:type="dxa" w:w="3572"/>
            <w:vAlign w:val="top"/>
            <w:tcMar>
              <w:top w:w="80" w:type="dxa"/>
              <w:start w:w="100" w:type="dxa"/>
              <w:bottom w:w="80" w:type="dxa"/>
              <w:end w:w="100" w:type="dxa"/>
            </w:tcMar>
          </w:tcPr>
          <w:p>
            <w:pPr>
              <w:spacing w:after="0"/>
            </w:pPr>
            <w:r>
              <w:rPr>
                <w:rFonts w:ascii="Aptos" w:hAnsi="Aptos"/>
                <w:color w:val="1F2937"/>
                <w:sz w:val="16"/>
              </w:rPr>
              <w:t>Verlässlicher Platz nahe Bahnhof oder Arbeitsplatz.</w:t>
            </w:r>
          </w:p>
        </w:tc>
        <w:tc>
          <w:tcPr>
            <w:tcW w:type="dxa" w:w="3798"/>
            <w:vAlign w:val="top"/>
            <w:tcMar>
              <w:top w:w="80" w:type="dxa"/>
              <w:start w:w="100" w:type="dxa"/>
              <w:bottom w:w="80" w:type="dxa"/>
              <w:end w:w="100" w:type="dxa"/>
            </w:tcMar>
          </w:tcPr>
          <w:p>
            <w:pPr>
              <w:spacing w:after="0"/>
            </w:pPr>
            <w:r>
              <w:rPr>
                <w:rFonts w:ascii="Aptos" w:hAnsi="Aptos"/>
                <w:color w:val="1F2937"/>
                <w:sz w:val="16"/>
              </w:rPr>
              <w:t>Wiederkehrende Buchung und Monatsoption.</w:t>
            </w:r>
          </w:p>
        </w:tc>
      </w:tr>
      <w:tr>
        <w:trPr>
          <w:cantSplit/>
        </w:trPr>
        <w:tc>
          <w:tcPr>
            <w:tcW w:type="dxa" w:w="2041"/>
            <w:vAlign w:val="top"/>
            <w:tcMar>
              <w:top w:w="80" w:type="dxa"/>
              <w:start w:w="100" w:type="dxa"/>
              <w:bottom w:w="80" w:type="dxa"/>
              <w:end w:w="100" w:type="dxa"/>
            </w:tcMar>
            <w:shd w:fill="F3F5F7"/>
          </w:tcPr>
          <w:p>
            <w:pPr>
              <w:spacing w:after="0"/>
            </w:pPr>
            <w:r>
              <w:rPr>
                <w:rFonts w:ascii="Aptos" w:hAnsi="Aptos"/>
                <w:color w:val="1F2937"/>
                <w:sz w:val="16"/>
              </w:rPr>
              <w:t>Eventbesucher</w:t>
            </w:r>
          </w:p>
        </w:tc>
        <w:tc>
          <w:tcPr>
            <w:tcW w:type="dxa" w:w="3572"/>
            <w:vAlign w:val="top"/>
            <w:tcMar>
              <w:top w:w="80" w:type="dxa"/>
              <w:start w:w="100" w:type="dxa"/>
              <w:bottom w:w="80" w:type="dxa"/>
              <w:end w:w="100" w:type="dxa"/>
            </w:tcMar>
            <w:shd w:fill="F3F5F7"/>
          </w:tcPr>
          <w:p>
            <w:pPr>
              <w:spacing w:after="0"/>
            </w:pPr>
            <w:r>
              <w:rPr>
                <w:rFonts w:ascii="Aptos" w:hAnsi="Aptos"/>
                <w:color w:val="1F2937"/>
                <w:sz w:val="16"/>
              </w:rPr>
              <w:t>Planbarkeit vor Messe, Stadion oder Konzert.</w:t>
            </w:r>
          </w:p>
        </w:tc>
        <w:tc>
          <w:tcPr>
            <w:tcW w:type="dxa" w:w="3798"/>
            <w:vAlign w:val="top"/>
            <w:tcMar>
              <w:top w:w="80" w:type="dxa"/>
              <w:start w:w="100" w:type="dxa"/>
              <w:bottom w:w="80" w:type="dxa"/>
              <w:end w:w="100" w:type="dxa"/>
            </w:tcMar>
            <w:shd w:fill="F3F5F7"/>
          </w:tcPr>
          <w:p>
            <w:pPr>
              <w:spacing w:after="0"/>
            </w:pPr>
            <w:r>
              <w:rPr>
                <w:rFonts w:ascii="Aptos" w:hAnsi="Aptos"/>
                <w:color w:val="1F2937"/>
                <w:sz w:val="16"/>
              </w:rPr>
              <w:t>Vorabreservierung, Fußweg, klare Zufahrt.</w:t>
            </w:r>
          </w:p>
        </w:tc>
      </w:tr>
      <w:tr>
        <w:trPr>
          <w:cantSplit/>
        </w:trPr>
        <w:tc>
          <w:tcPr>
            <w:tcW w:type="dxa" w:w="2041"/>
            <w:vAlign w:val="top"/>
            <w:tcMar>
              <w:top w:w="80" w:type="dxa"/>
              <w:start w:w="100" w:type="dxa"/>
              <w:bottom w:w="80" w:type="dxa"/>
              <w:end w:w="100" w:type="dxa"/>
            </w:tcMar>
          </w:tcPr>
          <w:p>
            <w:pPr>
              <w:spacing w:after="0"/>
            </w:pPr>
            <w:r>
              <w:rPr>
                <w:rFonts w:ascii="Aptos" w:hAnsi="Aptos"/>
                <w:color w:val="1F2937"/>
                <w:sz w:val="16"/>
              </w:rPr>
              <w:t>Klinikbesucher/Patienten</w:t>
            </w:r>
          </w:p>
        </w:tc>
        <w:tc>
          <w:tcPr>
            <w:tcW w:type="dxa" w:w="3572"/>
            <w:vAlign w:val="top"/>
            <w:tcMar>
              <w:top w:w="80" w:type="dxa"/>
              <w:start w:w="100" w:type="dxa"/>
              <w:bottom w:w="80" w:type="dxa"/>
              <w:end w:w="100" w:type="dxa"/>
            </w:tcMar>
          </w:tcPr>
          <w:p>
            <w:pPr>
              <w:spacing w:after="0"/>
            </w:pPr>
            <w:r>
              <w:rPr>
                <w:rFonts w:ascii="Aptos" w:hAnsi="Aptos"/>
                <w:color w:val="1F2937"/>
                <w:sz w:val="16"/>
              </w:rPr>
              <w:t>Zeitkritische, stressarme Ankunft.</w:t>
            </w:r>
          </w:p>
        </w:tc>
        <w:tc>
          <w:tcPr>
            <w:tcW w:type="dxa" w:w="3798"/>
            <w:vAlign w:val="top"/>
            <w:tcMar>
              <w:top w:w="80" w:type="dxa"/>
              <w:start w:w="100" w:type="dxa"/>
              <w:bottom w:w="80" w:type="dxa"/>
              <w:end w:w="100" w:type="dxa"/>
            </w:tcMar>
          </w:tcPr>
          <w:p>
            <w:pPr>
              <w:spacing w:after="0"/>
            </w:pPr>
            <w:r>
              <w:rPr>
                <w:rFonts w:ascii="Aptos" w:hAnsi="Aptos"/>
                <w:color w:val="1F2937"/>
                <w:sz w:val="16"/>
              </w:rPr>
              <w:t>Nähe, barrierearme Filter und Verlängerung.</w:t>
            </w:r>
          </w:p>
        </w:tc>
      </w:tr>
      <w:tr>
        <w:trPr>
          <w:cantSplit/>
        </w:trPr>
        <w:tc>
          <w:tcPr>
            <w:tcW w:type="dxa" w:w="2041"/>
            <w:vAlign w:val="top"/>
            <w:tcMar>
              <w:top w:w="80" w:type="dxa"/>
              <w:start w:w="100" w:type="dxa"/>
              <w:bottom w:w="80" w:type="dxa"/>
              <w:end w:w="100" w:type="dxa"/>
            </w:tcMar>
            <w:shd w:fill="F3F5F7"/>
          </w:tcPr>
          <w:p>
            <w:pPr>
              <w:spacing w:after="0"/>
            </w:pPr>
            <w:r>
              <w:rPr>
                <w:rFonts w:ascii="Aptos" w:hAnsi="Aptos"/>
                <w:color w:val="1F2937"/>
                <w:sz w:val="16"/>
              </w:rPr>
              <w:t>Reisende</w:t>
            </w:r>
          </w:p>
        </w:tc>
        <w:tc>
          <w:tcPr>
            <w:tcW w:type="dxa" w:w="3572"/>
            <w:vAlign w:val="top"/>
            <w:tcMar>
              <w:top w:w="80" w:type="dxa"/>
              <w:start w:w="100" w:type="dxa"/>
              <w:bottom w:w="80" w:type="dxa"/>
              <w:end w:w="100" w:type="dxa"/>
            </w:tcMar>
            <w:shd w:fill="F3F5F7"/>
          </w:tcPr>
          <w:p>
            <w:pPr>
              <w:spacing w:after="0"/>
            </w:pPr>
            <w:r>
              <w:rPr>
                <w:rFonts w:ascii="Aptos" w:hAnsi="Aptos"/>
                <w:color w:val="1F2937"/>
                <w:sz w:val="16"/>
              </w:rPr>
              <w:t>Mehrtagiges Parken nahe Flughafen/Bahnhof.</w:t>
            </w:r>
          </w:p>
        </w:tc>
        <w:tc>
          <w:tcPr>
            <w:tcW w:type="dxa" w:w="3798"/>
            <w:vAlign w:val="top"/>
            <w:tcMar>
              <w:top w:w="80" w:type="dxa"/>
              <w:start w:w="100" w:type="dxa"/>
              <w:bottom w:w="80" w:type="dxa"/>
              <w:end w:w="100" w:type="dxa"/>
            </w:tcMar>
            <w:shd w:fill="F3F5F7"/>
          </w:tcPr>
          <w:p>
            <w:pPr>
              <w:spacing w:after="0"/>
            </w:pPr>
            <w:r>
              <w:rPr>
                <w:rFonts w:ascii="Aptos" w:hAnsi="Aptos"/>
                <w:color w:val="1F2937"/>
                <w:sz w:val="16"/>
              </w:rPr>
              <w:t>Langzeitpreis, Sicherheits- und Zugangsdetails.</w:t>
            </w:r>
          </w:p>
        </w:tc>
      </w:tr>
    </w:tbl>
    <w:p>
      <w:pPr>
        <w:spacing w:after="20"/>
      </w:pPr>
    </w:p>
    <w:p>
      <w:pPr>
        <w:pStyle w:val="Heading1"/>
      </w:pPr>
      <w:r>
        <w:t>7. Markt und Wettbewerb</w:t>
      </w:r>
    </w:p>
    <w:p>
      <w:r>
        <w:t>Es existieren bereits relevante Anbieter. ParkBee erschließt digital zugängliche Parkflächen von Gebäuden und Unternehmen; Mobypark vermittelt vorab buchbare Stellplätze; JustPark bietet private und gewerbliche Stellplätze sowie stunden- und monatsweise Buchungen an. Die Idee ist daher nicht „noch nie dagewesen“. Erfolg erfordert eine fokussierte Differenzierung, bessere lokale Angebotsdichte und ein B2B2C-Modell für Wohnanlagen.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6"/>
              </w:rPr>
              <w:t>Wettbewerbsgruppe</w:t>
            </w:r>
          </w:p>
        </w:tc>
        <w:tc>
          <w:tcPr>
            <w:tcW w:type="dxa" w:w="3458"/>
            <w:shd w:fill="17365D"/>
            <w:vAlign w:val="center"/>
            <w:tcMar>
              <w:top w:w="80" w:type="dxa"/>
              <w:start w:w="100" w:type="dxa"/>
              <w:bottom w:w="80" w:type="dxa"/>
              <w:end w:w="100" w:type="dxa"/>
            </w:tcMar>
          </w:tcPr>
          <w:p>
            <w:pPr>
              <w:jc w:val="left"/>
            </w:pPr>
            <w:r>
              <w:rPr>
                <w:rFonts w:ascii="Aptos" w:hAnsi="Aptos"/>
                <w:b/>
                <w:color w:val="FFFFFF"/>
                <w:sz w:val="16"/>
              </w:rPr>
              <w:t>Stärke</w:t>
            </w:r>
          </w:p>
        </w:tc>
        <w:tc>
          <w:tcPr>
            <w:tcW w:type="dxa" w:w="3685"/>
            <w:shd w:fill="17365D"/>
            <w:vAlign w:val="center"/>
            <w:tcMar>
              <w:top w:w="80" w:type="dxa"/>
              <w:start w:w="100" w:type="dxa"/>
              <w:bottom w:w="80" w:type="dxa"/>
              <w:end w:w="100" w:type="dxa"/>
            </w:tcMar>
          </w:tcPr>
          <w:p>
            <w:pPr>
              <w:jc w:val="left"/>
            </w:pPr>
            <w:r>
              <w:rPr>
                <w:rFonts w:ascii="Aptos" w:hAnsi="Aptos"/>
                <w:b/>
                <w:color w:val="FFFFFF"/>
                <w:sz w:val="16"/>
              </w:rPr>
              <w:t>Angriffspunkt der neuen Plattform</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Parkhaus-/Operator-Netzwerke</w:t>
            </w:r>
          </w:p>
        </w:tc>
        <w:tc>
          <w:tcPr>
            <w:tcW w:type="dxa" w:w="3458"/>
            <w:vAlign w:val="top"/>
            <w:tcMar>
              <w:top w:w="80" w:type="dxa"/>
              <w:start w:w="100" w:type="dxa"/>
              <w:bottom w:w="80" w:type="dxa"/>
              <w:end w:w="100" w:type="dxa"/>
            </w:tcMar>
          </w:tcPr>
          <w:p>
            <w:pPr>
              <w:spacing w:after="0"/>
            </w:pPr>
            <w:r>
              <w:rPr>
                <w:rFonts w:ascii="Aptos" w:hAnsi="Aptos"/>
                <w:color w:val="1F2937"/>
                <w:sz w:val="16"/>
              </w:rPr>
              <w:t>Professioneller Zutritt, große Kontingente.</w:t>
            </w:r>
          </w:p>
        </w:tc>
        <w:tc>
          <w:tcPr>
            <w:tcW w:type="dxa" w:w="3685"/>
            <w:vAlign w:val="top"/>
            <w:tcMar>
              <w:top w:w="80" w:type="dxa"/>
              <w:start w:w="100" w:type="dxa"/>
              <w:bottom w:w="80" w:type="dxa"/>
              <w:end w:w="100" w:type="dxa"/>
            </w:tcMar>
          </w:tcPr>
          <w:p>
            <w:pPr>
              <w:spacing w:after="0"/>
            </w:pPr>
            <w:r>
              <w:rPr>
                <w:rFonts w:ascii="Aptos" w:hAnsi="Aptos"/>
                <w:color w:val="1F2937"/>
                <w:sz w:val="16"/>
              </w:rPr>
              <w:t>Einzelstellplätze, Wohnanlagen und Community-Pools flexibler erschließen.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Peer-to-Peer-Marktplätze</w:t>
            </w:r>
          </w:p>
        </w:tc>
        <w:tc>
          <w:tcPr>
            <w:tcW w:type="dxa" w:w="3458"/>
            <w:vAlign w:val="top"/>
            <w:tcMar>
              <w:top w:w="80" w:type="dxa"/>
              <w:start w:w="100" w:type="dxa"/>
              <w:bottom w:w="80" w:type="dxa"/>
              <w:end w:w="100" w:type="dxa"/>
            </w:tcMar>
            <w:shd w:fill="F3F5F7"/>
          </w:tcPr>
          <w:p>
            <w:pPr>
              <w:spacing w:after="0"/>
            </w:pPr>
            <w:r>
              <w:rPr>
                <w:rFonts w:ascii="Aptos" w:hAnsi="Aptos"/>
                <w:color w:val="1F2937"/>
                <w:sz w:val="16"/>
              </w:rPr>
              <w:t>Bekanntes Vermietungsmodell und bestehende Nachfrage.</w:t>
            </w:r>
          </w:p>
        </w:tc>
        <w:tc>
          <w:tcPr>
            <w:tcW w:type="dxa" w:w="3685"/>
            <w:vAlign w:val="top"/>
            <w:tcMar>
              <w:top w:w="80" w:type="dxa"/>
              <w:start w:w="100" w:type="dxa"/>
              <w:bottom w:w="80" w:type="dxa"/>
              <w:end w:w="100" w:type="dxa"/>
            </w:tcMar>
            <w:shd w:fill="F3F5F7"/>
          </w:tcPr>
          <w:p>
            <w:pPr>
              <w:spacing w:after="0"/>
            </w:pPr>
            <w:r>
              <w:rPr>
                <w:rFonts w:ascii="Aptos" w:hAnsi="Aptos"/>
                <w:color w:val="1F2937"/>
                <w:sz w:val="16"/>
              </w:rPr>
              <w:t>Rechtliche Berechtigungsprüfung, exakte Verfügbarkeit, Vermieterintegration und lokaler Launch.</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6"/>
              </w:rPr>
              <w:t>Kommunale Park-Apps</w:t>
            </w:r>
          </w:p>
        </w:tc>
        <w:tc>
          <w:tcPr>
            <w:tcW w:type="dxa" w:w="3458"/>
            <w:vAlign w:val="top"/>
            <w:tcMar>
              <w:top w:w="80" w:type="dxa"/>
              <w:start w:w="100" w:type="dxa"/>
              <w:bottom w:w="80" w:type="dxa"/>
              <w:end w:w="100" w:type="dxa"/>
            </w:tcMar>
          </w:tcPr>
          <w:p>
            <w:pPr>
              <w:spacing w:after="0"/>
            </w:pPr>
            <w:r>
              <w:rPr>
                <w:rFonts w:ascii="Aptos" w:hAnsi="Aptos"/>
                <w:color w:val="1F2937"/>
                <w:sz w:val="16"/>
              </w:rPr>
              <w:t>Hohe Reichweite und Straßenparkdaten.</w:t>
            </w:r>
          </w:p>
        </w:tc>
        <w:tc>
          <w:tcPr>
            <w:tcW w:type="dxa" w:w="3685"/>
            <w:vAlign w:val="top"/>
            <w:tcMar>
              <w:top w:w="80" w:type="dxa"/>
              <w:start w:w="100" w:type="dxa"/>
              <w:bottom w:w="80" w:type="dxa"/>
              <w:end w:w="100" w:type="dxa"/>
            </w:tcMar>
          </w:tcPr>
          <w:p>
            <w:pPr>
              <w:spacing w:after="0"/>
            </w:pPr>
            <w:r>
              <w:rPr>
                <w:rFonts w:ascii="Aptos" w:hAnsi="Aptos"/>
                <w:color w:val="1F2937"/>
                <w:sz w:val="16"/>
              </w:rPr>
              <w:t>Reservierbare private Flächen statt nur Bezahlung öffentlicher Parkzonen.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6"/>
              </w:rPr>
              <w:t>Kleinanzeigen/WhatsApp</w:t>
            </w:r>
          </w:p>
        </w:tc>
        <w:tc>
          <w:tcPr>
            <w:tcW w:type="dxa" w:w="3458"/>
            <w:vAlign w:val="top"/>
            <w:tcMar>
              <w:top w:w="80" w:type="dxa"/>
              <w:start w:w="100" w:type="dxa"/>
              <w:bottom w:w="80" w:type="dxa"/>
              <w:end w:w="100" w:type="dxa"/>
            </w:tcMar>
            <w:shd w:fill="F3F5F7"/>
          </w:tcPr>
          <w:p>
            <w:pPr>
              <w:spacing w:after="0"/>
            </w:pPr>
            <w:r>
              <w:rPr>
                <w:rFonts w:ascii="Aptos" w:hAnsi="Aptos"/>
                <w:color w:val="1F2937"/>
                <w:sz w:val="16"/>
              </w:rPr>
              <w:t>Einfach und günstig.</w:t>
            </w:r>
          </w:p>
        </w:tc>
        <w:tc>
          <w:tcPr>
            <w:tcW w:type="dxa" w:w="3685"/>
            <w:vAlign w:val="top"/>
            <w:tcMar>
              <w:top w:w="80" w:type="dxa"/>
              <w:start w:w="100" w:type="dxa"/>
              <w:bottom w:w="80" w:type="dxa"/>
              <w:end w:w="100" w:type="dxa"/>
            </w:tcMar>
            <w:shd w:fill="F3F5F7"/>
          </w:tcPr>
          <w:p>
            <w:pPr>
              <w:spacing w:after="0"/>
            </w:pPr>
            <w:r>
              <w:rPr>
                <w:rFonts w:ascii="Aptos" w:hAnsi="Aptos"/>
                <w:color w:val="1F2937"/>
                <w:sz w:val="16"/>
              </w:rPr>
              <w:t>Sofortbuchung, Zahlung, Datenschutz, Zutritt, Storno, Support und verifizierte Interaktion.</w:t>
            </w:r>
          </w:p>
        </w:tc>
      </w:tr>
    </w:tbl>
    <w:p>
      <w:pPr>
        <w:spacing w:after="20"/>
      </w:pPr>
    </w:p>
    <w:p>
      <w:pPr>
        <w:pStyle w:val="Heading1"/>
      </w:pPr>
      <w:r>
        <w:t>8. Positionierung und Wettbewerbsvorteile</w:t>
      </w:r>
    </w:p>
    <w:p>
      <w:pPr>
        <w:pStyle w:val="ListBullet"/>
        <w:spacing w:after="40"/>
      </w:pPr>
      <w:r>
        <w:t>„Legally enabled residential parking“: standardisierte Vermieter-/Verwalterfreigaben statt riskanter Schattenvermietung.</w:t>
      </w:r>
    </w:p>
    <w:p>
      <w:pPr>
        <w:pStyle w:val="ListBullet"/>
        <w:spacing w:after="40"/>
      </w:pPr>
      <w:r>
        <w:t>Dichte Mikrogebiete: Nutzer sehen nicht viele tote Pins, sondern eine verlässlich buchbare Auswahl nahe konkreter Ziele.</w:t>
      </w:r>
    </w:p>
    <w:p>
      <w:pPr>
        <w:pStyle w:val="ListBullet"/>
        <w:spacing w:after="40"/>
      </w:pPr>
      <w:r>
        <w:t>Trust Layer: verifizierte Berechtigung, echte Buchungsbewertungen, Zufahrtsqualität und schnelle Konfliktlösung.</w:t>
      </w:r>
    </w:p>
    <w:p>
      <w:pPr>
        <w:pStyle w:val="ListBullet"/>
        <w:spacing w:after="40"/>
      </w:pPr>
      <w:r>
        <w:t>Privacy Layer: genaue Privatadresse erst nach Buchung; zeitlich begrenzte Zugangsdaten; kein unnötiges Bewegungsprofil.</w:t>
      </w:r>
    </w:p>
    <w:p>
      <w:pPr>
        <w:pStyle w:val="ListBullet"/>
        <w:spacing w:after="40"/>
      </w:pPr>
      <w:r>
        <w:t>Flexible Nutzung: stundenweise, wiederkehrend, monatlich, bezahlt oder kostenlos – mit einer gemeinsamen Verfügbarkeitslogik.</w:t>
      </w:r>
    </w:p>
    <w:p>
      <w:pPr>
        <w:pStyle w:val="ListBullet"/>
        <w:spacing w:after="40"/>
      </w:pPr>
      <w:r>
        <w:t>B2B2C-Angebot: Hausverwaltung, Arbeitgeber, Hotel oder Klinik können Angebot beschaffen und gleichzeitig Nutzer akquirieren.</w:t>
      </w:r>
    </w:p>
    <w:p>
      <w:pPr>
        <w:pStyle w:val="ListBullet"/>
        <w:spacing w:after="40"/>
      </w:pPr>
      <w:r>
        <w:t>Datenvorteil: tatsächliche Suchnachfrage, Preiselastizität, No-show- und Verfügbarkeitsdaten verbessern Ranking und Angebotsakquise.</w:t>
      </w:r>
    </w:p>
    <w:p>
      <w:pPr>
        <w:pStyle w:val="Heading1"/>
      </w:pPr>
      <w:r>
        <w:t>9. Go-to-Market</w:t>
      </w:r>
    </w:p>
    <w:p>
      <w:pPr>
        <w:pStyle w:val="Heading2"/>
      </w:pPr>
      <w:r>
        <w:t>9.1 Launch-These</w:t>
      </w:r>
    </w:p>
    <w:p>
      <w:r>
        <w:t>Der Marktplatz darf nicht mit einer deutschlandweiten leeren Karte starten. Der Pilot beginnt in maximal drei Frankfurter Clustern. Das Team gewinnt zuerst Angebot, testet es operativ und öffnet danach gezielt Nachfrage.</w:t>
      </w:r>
    </w:p>
    <w:p>
      <w:pPr>
        <w:pStyle w:val="Heading2"/>
      </w:pPr>
      <w:r>
        <w:t>9.2 Angebotsaufbau vor Nachfragewerbung</w:t>
      </w:r>
    </w:p>
    <w:p>
      <w:pPr>
        <w:spacing w:after="40"/>
        <w:ind w:left="312" w:hanging="255"/>
      </w:pPr>
      <w:r>
        <w:rPr>
          <w:rFonts w:ascii="Aptos" w:hAnsi="Aptos"/>
          <w:b/>
          <w:color w:val="17365D"/>
          <w:sz w:val="19"/>
        </w:rPr>
        <w:t xml:space="preserve">1. </w:t>
      </w:r>
      <w:r>
        <w:rPr>
          <w:rFonts w:ascii="Aptos" w:hAnsi="Aptos"/>
          <w:color w:val="1F2937"/>
          <w:sz w:val="19"/>
        </w:rPr>
        <w:t>100 institutionelle Stellplätze über 5–10 Immobilien-, Hotel-, Praxis- oder Büropartner sichern.</w:t>
      </w:r>
    </w:p>
    <w:p>
      <w:pPr>
        <w:spacing w:after="40"/>
        <w:ind w:left="312" w:hanging="255"/>
      </w:pPr>
      <w:r>
        <w:rPr>
          <w:rFonts w:ascii="Aptos" w:hAnsi="Aptos"/>
          <w:b/>
          <w:color w:val="17365D"/>
          <w:sz w:val="19"/>
        </w:rPr>
        <w:t xml:space="preserve">2. </w:t>
      </w:r>
      <w:r>
        <w:rPr>
          <w:rFonts w:ascii="Aptos" w:hAnsi="Aptos"/>
          <w:color w:val="1F2937"/>
          <w:sz w:val="19"/>
        </w:rPr>
        <w:t>Mindestens 300 private/kleingewerbliche Angebote in den Pilotgebieten akquirieren und davon 150 aktiv buchbar machen.</w:t>
      </w:r>
    </w:p>
    <w:p>
      <w:pPr>
        <w:spacing w:after="40"/>
        <w:ind w:left="312" w:hanging="255"/>
      </w:pPr>
      <w:r>
        <w:rPr>
          <w:rFonts w:ascii="Aptos" w:hAnsi="Aptos"/>
          <w:b/>
          <w:color w:val="17365D"/>
          <w:sz w:val="19"/>
        </w:rPr>
        <w:t xml:space="preserve">3. </w:t>
      </w:r>
      <w:r>
        <w:rPr>
          <w:rFonts w:ascii="Aptos" w:hAnsi="Aptos"/>
          <w:color w:val="1F2937"/>
          <w:sz w:val="19"/>
        </w:rPr>
        <w:t>Jeden Standort durch Foto-, Maß- und Zufahrtsprüfung oder risikobasiertes Remote-Review qualifizieren.</w:t>
      </w:r>
    </w:p>
    <w:p>
      <w:pPr>
        <w:spacing w:after="40"/>
        <w:ind w:left="312" w:hanging="255"/>
      </w:pPr>
      <w:r>
        <w:rPr>
          <w:rFonts w:ascii="Aptos" w:hAnsi="Aptos"/>
          <w:b/>
          <w:color w:val="17365D"/>
          <w:sz w:val="19"/>
        </w:rPr>
        <w:t xml:space="preserve">4. </w:t>
      </w:r>
      <w:r>
        <w:rPr>
          <w:rFonts w:ascii="Aptos" w:hAnsi="Aptos"/>
          <w:color w:val="1F2937"/>
          <w:sz w:val="19"/>
        </w:rPr>
        <w:t>Erste Vermieter-Zusatzvereinbarung mit einer Hausverwaltung pilotieren.</w:t>
      </w:r>
    </w:p>
    <w:p>
      <w:pPr>
        <w:spacing w:after="40"/>
        <w:ind w:left="312" w:hanging="255"/>
      </w:pPr>
      <w:r>
        <w:rPr>
          <w:rFonts w:ascii="Aptos" w:hAnsi="Aptos"/>
          <w:b/>
          <w:color w:val="17365D"/>
          <w:sz w:val="19"/>
        </w:rPr>
        <w:t xml:space="preserve">5. </w:t>
      </w:r>
      <w:r>
        <w:rPr>
          <w:rFonts w:ascii="Aptos" w:hAnsi="Aptos"/>
          <w:color w:val="1F2937"/>
          <w:sz w:val="19"/>
        </w:rPr>
        <w:t>Erst danach Performance-Marketing und lokale Kooperationen hochfahren.</w:t>
      </w:r>
    </w:p>
    <w:p>
      <w:pPr>
        <w:pStyle w:val="Heading2"/>
      </w:pPr>
      <w:r>
        <w:t>9.3 Akquisekanäle</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701"/>
            <w:shd w:fill="17365D"/>
            <w:vAlign w:val="center"/>
            <w:tcMar>
              <w:top w:w="80" w:type="dxa"/>
              <w:start w:w="100" w:type="dxa"/>
              <w:bottom w:w="80" w:type="dxa"/>
              <w:end w:w="100" w:type="dxa"/>
            </w:tcMar>
          </w:tcPr>
          <w:p>
            <w:pPr>
              <w:jc w:val="left"/>
            </w:pPr>
            <w:r>
              <w:rPr>
                <w:rFonts w:ascii="Aptos" w:hAnsi="Aptos"/>
                <w:b/>
                <w:color w:val="FFFFFF"/>
                <w:sz w:val="16"/>
              </w:rPr>
              <w:t>Kanal</w:t>
            </w:r>
          </w:p>
        </w:tc>
        <w:tc>
          <w:tcPr>
            <w:tcW w:type="dxa" w:w="5102"/>
            <w:shd w:fill="17365D"/>
            <w:vAlign w:val="center"/>
            <w:tcMar>
              <w:top w:w="80" w:type="dxa"/>
              <w:start w:w="100" w:type="dxa"/>
              <w:bottom w:w="80" w:type="dxa"/>
              <w:end w:w="100" w:type="dxa"/>
            </w:tcMar>
          </w:tcPr>
          <w:p>
            <w:pPr>
              <w:jc w:val="left"/>
            </w:pPr>
            <w:r>
              <w:rPr>
                <w:rFonts w:ascii="Aptos" w:hAnsi="Aptos"/>
                <w:b/>
                <w:color w:val="FFFFFF"/>
                <w:sz w:val="16"/>
              </w:rPr>
              <w:t>Maßnahme</w:t>
            </w:r>
          </w:p>
        </w:tc>
        <w:tc>
          <w:tcPr>
            <w:tcW w:type="dxa" w:w="2608"/>
            <w:shd w:fill="17365D"/>
            <w:vAlign w:val="center"/>
            <w:tcMar>
              <w:top w:w="80" w:type="dxa"/>
              <w:start w:w="100" w:type="dxa"/>
              <w:bottom w:w="80" w:type="dxa"/>
              <w:end w:w="100" w:type="dxa"/>
            </w:tcMar>
          </w:tcPr>
          <w:p>
            <w:pPr>
              <w:jc w:val="left"/>
            </w:pPr>
            <w:r>
              <w:rPr>
                <w:rFonts w:ascii="Aptos" w:hAnsi="Aptos"/>
                <w:b/>
                <w:color w:val="FFFFFF"/>
                <w:sz w:val="16"/>
              </w:rPr>
              <w:t>Primäre Kennzahl</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Hausverwaltungen</w:t>
            </w:r>
          </w:p>
        </w:tc>
        <w:tc>
          <w:tcPr>
            <w:tcW w:type="dxa" w:w="5102"/>
            <w:vAlign w:val="top"/>
            <w:tcMar>
              <w:top w:w="80" w:type="dxa"/>
              <w:start w:w="100" w:type="dxa"/>
              <w:bottom w:w="80" w:type="dxa"/>
              <w:end w:w="100" w:type="dxa"/>
            </w:tcMar>
          </w:tcPr>
          <w:p>
            <w:pPr>
              <w:spacing w:after="0"/>
            </w:pPr>
            <w:r>
              <w:rPr>
                <w:rFonts w:ascii="Aptos" w:hAnsi="Aptos"/>
                <w:color w:val="1F2937"/>
                <w:sz w:val="16"/>
              </w:rPr>
              <w:t>Kostenloser Pilot für Besucher- und Bewohnerparken, Erlösbeteiligung, Dashboard.</w:t>
            </w:r>
          </w:p>
        </w:tc>
        <w:tc>
          <w:tcPr>
            <w:tcW w:type="dxa" w:w="2608"/>
            <w:vAlign w:val="top"/>
            <w:tcMar>
              <w:top w:w="80" w:type="dxa"/>
              <w:start w:w="100" w:type="dxa"/>
              <w:bottom w:w="80" w:type="dxa"/>
              <w:end w:w="100" w:type="dxa"/>
            </w:tcMar>
          </w:tcPr>
          <w:p>
            <w:pPr>
              <w:spacing w:after="0"/>
            </w:pPr>
            <w:r>
              <w:rPr>
                <w:rFonts w:ascii="Aptos" w:hAnsi="Aptos"/>
                <w:color w:val="1F2937"/>
                <w:sz w:val="16"/>
              </w:rPr>
              <w:t>Aktive Plätze je Vertrag</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Lokale Eigentümer</w:t>
            </w:r>
          </w:p>
        </w:tc>
        <w:tc>
          <w:tcPr>
            <w:tcW w:type="dxa" w:w="5102"/>
            <w:vAlign w:val="top"/>
            <w:tcMar>
              <w:top w:w="80" w:type="dxa"/>
              <w:start w:w="100" w:type="dxa"/>
              <w:bottom w:w="80" w:type="dxa"/>
              <w:end w:w="100" w:type="dxa"/>
            </w:tcMar>
            <w:shd w:fill="F3F5F7"/>
          </w:tcPr>
          <w:p>
            <w:pPr>
              <w:spacing w:after="0"/>
            </w:pPr>
            <w:r>
              <w:rPr>
                <w:rFonts w:ascii="Aptos" w:hAnsi="Aptos"/>
                <w:color w:val="1F2937"/>
                <w:sz w:val="16"/>
              </w:rPr>
              <w:t>Brief/Flyer mit QR-Code in definierten Häuserblöcken; Empfehlungsbonus erst nach erster Buchung.</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Kosten pro aktivem Platz</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Events/Messe</w:t>
            </w:r>
          </w:p>
        </w:tc>
        <w:tc>
          <w:tcPr>
            <w:tcW w:type="dxa" w:w="5102"/>
            <w:vAlign w:val="top"/>
            <w:tcMar>
              <w:top w:w="80" w:type="dxa"/>
              <w:start w:w="100" w:type="dxa"/>
              <w:bottom w:w="80" w:type="dxa"/>
              <w:end w:w="100" w:type="dxa"/>
            </w:tcMar>
          </w:tcPr>
          <w:p>
            <w:pPr>
              <w:spacing w:after="0"/>
            </w:pPr>
            <w:r>
              <w:rPr>
                <w:rFonts w:ascii="Aptos" w:hAnsi="Aptos"/>
                <w:color w:val="1F2937"/>
                <w:sz w:val="16"/>
              </w:rPr>
              <w:t>Landingpages je Veranstaltung und Kooperation mit Veranstaltern/Ausstellern.</w:t>
            </w:r>
          </w:p>
        </w:tc>
        <w:tc>
          <w:tcPr>
            <w:tcW w:type="dxa" w:w="2608"/>
            <w:vAlign w:val="top"/>
            <w:tcMar>
              <w:top w:w="80" w:type="dxa"/>
              <w:start w:w="100" w:type="dxa"/>
              <w:bottom w:w="80" w:type="dxa"/>
              <w:end w:w="100" w:type="dxa"/>
            </w:tcMar>
          </w:tcPr>
          <w:p>
            <w:pPr>
              <w:spacing w:after="0"/>
            </w:pPr>
            <w:r>
              <w:rPr>
                <w:rFonts w:ascii="Aptos" w:hAnsi="Aptos"/>
                <w:color w:val="1F2937"/>
                <w:sz w:val="16"/>
              </w:rPr>
              <w:t>Buchungen je Event</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Arbeitgeber/Kliniken</w:t>
            </w:r>
          </w:p>
        </w:tc>
        <w:tc>
          <w:tcPr>
            <w:tcW w:type="dxa" w:w="5102"/>
            <w:vAlign w:val="top"/>
            <w:tcMar>
              <w:top w:w="80" w:type="dxa"/>
              <w:start w:w="100" w:type="dxa"/>
              <w:bottom w:w="80" w:type="dxa"/>
              <w:end w:w="100" w:type="dxa"/>
            </w:tcMar>
            <w:shd w:fill="F3F5F7"/>
          </w:tcPr>
          <w:p>
            <w:pPr>
              <w:spacing w:after="0"/>
            </w:pPr>
            <w:r>
              <w:rPr>
                <w:rFonts w:ascii="Aptos" w:hAnsi="Aptos"/>
                <w:color w:val="1F2937"/>
                <w:sz w:val="16"/>
              </w:rPr>
              <w:t>Mitarbeiter- und Besucherkontingente; wiederkehrende Buchungen.</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Wiederbuchungsrate</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SEO/Maps</w:t>
            </w:r>
          </w:p>
        </w:tc>
        <w:tc>
          <w:tcPr>
            <w:tcW w:type="dxa" w:w="5102"/>
            <w:vAlign w:val="top"/>
            <w:tcMar>
              <w:top w:w="80" w:type="dxa"/>
              <w:start w:w="100" w:type="dxa"/>
              <w:bottom w:w="80" w:type="dxa"/>
              <w:end w:w="100" w:type="dxa"/>
            </w:tcMar>
          </w:tcPr>
          <w:p>
            <w:pPr>
              <w:spacing w:after="0"/>
            </w:pPr>
            <w:r>
              <w:rPr>
                <w:rFonts w:ascii="Aptos" w:hAnsi="Aptos"/>
                <w:color w:val="1F2937"/>
                <w:sz w:val="16"/>
              </w:rPr>
              <w:t>Zielseiten „Parkplatz nahe …“ nur bei realem Angebot und korrekten Verfügbarkeiten.</w:t>
            </w:r>
          </w:p>
        </w:tc>
        <w:tc>
          <w:tcPr>
            <w:tcW w:type="dxa" w:w="2608"/>
            <w:vAlign w:val="top"/>
            <w:tcMar>
              <w:top w:w="80" w:type="dxa"/>
              <w:start w:w="100" w:type="dxa"/>
              <w:bottom w:w="80" w:type="dxa"/>
              <w:end w:w="100" w:type="dxa"/>
            </w:tcMar>
          </w:tcPr>
          <w:p>
            <w:pPr>
              <w:spacing w:after="0"/>
            </w:pPr>
            <w:r>
              <w:rPr>
                <w:rFonts w:ascii="Aptos" w:hAnsi="Aptos"/>
                <w:color w:val="1F2937"/>
                <w:sz w:val="16"/>
              </w:rPr>
              <w:t>Organische Buchungen</w:t>
            </w:r>
          </w:p>
        </w:tc>
      </w:tr>
      <w:tr>
        <w:trPr>
          <w:cantSplit/>
        </w:trPr>
        <w:tc>
          <w:tcPr>
            <w:tcW w:type="dxa" w:w="1701"/>
            <w:vAlign w:val="top"/>
            <w:tcMar>
              <w:top w:w="80" w:type="dxa"/>
              <w:start w:w="100" w:type="dxa"/>
              <w:bottom w:w="80" w:type="dxa"/>
              <w:end w:w="100" w:type="dxa"/>
            </w:tcMar>
            <w:shd w:fill="F3F5F7"/>
          </w:tcPr>
          <w:p>
            <w:pPr>
              <w:spacing w:after="0"/>
            </w:pPr>
            <w:r>
              <w:rPr>
                <w:rFonts w:ascii="Aptos" w:hAnsi="Aptos"/>
                <w:color w:val="1F2937"/>
                <w:sz w:val="16"/>
              </w:rPr>
              <w:t>Referral</w:t>
            </w:r>
          </w:p>
        </w:tc>
        <w:tc>
          <w:tcPr>
            <w:tcW w:type="dxa" w:w="5102"/>
            <w:vAlign w:val="top"/>
            <w:tcMar>
              <w:top w:w="80" w:type="dxa"/>
              <w:start w:w="100" w:type="dxa"/>
              <w:bottom w:w="80" w:type="dxa"/>
              <w:end w:w="100" w:type="dxa"/>
            </w:tcMar>
            <w:shd w:fill="F3F5F7"/>
          </w:tcPr>
          <w:p>
            <w:pPr>
              <w:spacing w:after="0"/>
            </w:pPr>
            <w:r>
              <w:rPr>
                <w:rFonts w:ascii="Aptos" w:hAnsi="Aptos"/>
                <w:color w:val="1F2937"/>
                <w:sz w:val="16"/>
              </w:rPr>
              <w:t>Guthaben nach erfolgreicher erster bezahlter Buchung des Geworbenen.</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Viraler Koeffizient</w:t>
            </w:r>
          </w:p>
        </w:tc>
      </w:tr>
      <w:tr>
        <w:trPr>
          <w:cantSplit/>
        </w:trPr>
        <w:tc>
          <w:tcPr>
            <w:tcW w:type="dxa" w:w="1701"/>
            <w:vAlign w:val="top"/>
            <w:tcMar>
              <w:top w:w="80" w:type="dxa"/>
              <w:start w:w="100" w:type="dxa"/>
              <w:bottom w:w="80" w:type="dxa"/>
              <w:end w:w="100" w:type="dxa"/>
            </w:tcMar>
          </w:tcPr>
          <w:p>
            <w:pPr>
              <w:spacing w:after="0"/>
            </w:pPr>
            <w:r>
              <w:rPr>
                <w:rFonts w:ascii="Aptos" w:hAnsi="Aptos"/>
                <w:color w:val="1F2937"/>
                <w:sz w:val="16"/>
              </w:rPr>
              <w:t>Kostenloses Sharing</w:t>
            </w:r>
          </w:p>
        </w:tc>
        <w:tc>
          <w:tcPr>
            <w:tcW w:type="dxa" w:w="5102"/>
            <w:vAlign w:val="top"/>
            <w:tcMar>
              <w:top w:w="80" w:type="dxa"/>
              <w:start w:w="100" w:type="dxa"/>
              <w:bottom w:w="80" w:type="dxa"/>
              <w:end w:w="100" w:type="dxa"/>
            </w:tcMar>
          </w:tcPr>
          <w:p>
            <w:pPr>
              <w:spacing w:after="0"/>
            </w:pPr>
            <w:r>
              <w:rPr>
                <w:rFonts w:ascii="Aptos" w:hAnsi="Aptos"/>
                <w:color w:val="1F2937"/>
                <w:sz w:val="16"/>
              </w:rPr>
              <w:t>Community-Aktionen mit Eigentümern und freigeschalteten Gebäuden.</w:t>
            </w:r>
          </w:p>
        </w:tc>
        <w:tc>
          <w:tcPr>
            <w:tcW w:type="dxa" w:w="2608"/>
            <w:vAlign w:val="top"/>
            <w:tcMar>
              <w:top w:w="80" w:type="dxa"/>
              <w:start w:w="100" w:type="dxa"/>
              <w:bottom w:w="80" w:type="dxa"/>
              <w:end w:w="100" w:type="dxa"/>
            </w:tcMar>
          </w:tcPr>
          <w:p>
            <w:pPr>
              <w:spacing w:after="0"/>
            </w:pPr>
            <w:r>
              <w:rPr>
                <w:rFonts w:ascii="Aptos" w:hAnsi="Aptos"/>
                <w:color w:val="1F2937"/>
                <w:sz w:val="16"/>
              </w:rPr>
              <w:t>Free-to-paid-Konversion</w:t>
            </w:r>
          </w:p>
        </w:tc>
      </w:tr>
    </w:tbl>
    <w:p>
      <w:pPr>
        <w:spacing w:after="20"/>
      </w:pPr>
    </w:p>
    <w:p>
      <w:pPr>
        <w:pStyle w:val="Heading1"/>
      </w:pPr>
      <w:r>
        <w:t>10. Betrieb, Support und Qualität</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814"/>
            <w:shd w:fill="17365D"/>
            <w:vAlign w:val="center"/>
            <w:tcMar>
              <w:top w:w="80" w:type="dxa"/>
              <w:start w:w="100" w:type="dxa"/>
              <w:bottom w:w="80" w:type="dxa"/>
              <w:end w:w="100" w:type="dxa"/>
            </w:tcMar>
          </w:tcPr>
          <w:p>
            <w:pPr>
              <w:jc w:val="left"/>
            </w:pPr>
            <w:r>
              <w:rPr>
                <w:rFonts w:ascii="Aptos" w:hAnsi="Aptos"/>
                <w:b/>
                <w:color w:val="FFFFFF"/>
                <w:sz w:val="16"/>
              </w:rPr>
              <w:t>Prozess</w:t>
            </w:r>
          </w:p>
        </w:tc>
        <w:tc>
          <w:tcPr>
            <w:tcW w:type="dxa" w:w="4649"/>
            <w:shd w:fill="17365D"/>
            <w:vAlign w:val="center"/>
            <w:tcMar>
              <w:top w:w="80" w:type="dxa"/>
              <w:start w:w="100" w:type="dxa"/>
              <w:bottom w:w="80" w:type="dxa"/>
              <w:end w:w="100" w:type="dxa"/>
            </w:tcMar>
          </w:tcPr>
          <w:p>
            <w:pPr>
              <w:jc w:val="left"/>
            </w:pPr>
            <w:r>
              <w:rPr>
                <w:rFonts w:ascii="Aptos" w:hAnsi="Aptos"/>
                <w:b/>
                <w:color w:val="FFFFFF"/>
                <w:sz w:val="16"/>
              </w:rPr>
              <w:t>Service-Level im Pilot</w:t>
            </w:r>
          </w:p>
        </w:tc>
        <w:tc>
          <w:tcPr>
            <w:tcW w:type="dxa" w:w="2608"/>
            <w:shd w:fill="17365D"/>
            <w:vAlign w:val="center"/>
            <w:tcMar>
              <w:top w:w="80" w:type="dxa"/>
              <w:start w:w="100" w:type="dxa"/>
              <w:bottom w:w="80" w:type="dxa"/>
              <w:end w:w="100" w:type="dxa"/>
            </w:tcMar>
          </w:tcPr>
          <w:p>
            <w:pPr>
              <w:jc w:val="left"/>
            </w:pPr>
            <w:r>
              <w:rPr>
                <w:rFonts w:ascii="Aptos" w:hAnsi="Aptos"/>
                <w:b/>
                <w:color w:val="FFFFFF"/>
                <w:sz w:val="16"/>
              </w:rPr>
              <w:t>Systemunterstützung</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6"/>
              </w:rPr>
              <w:t>Nicht nutzbarer Platz</w:t>
            </w:r>
          </w:p>
        </w:tc>
        <w:tc>
          <w:tcPr>
            <w:tcW w:type="dxa" w:w="4649"/>
            <w:vAlign w:val="top"/>
            <w:tcMar>
              <w:top w:w="80" w:type="dxa"/>
              <w:start w:w="100" w:type="dxa"/>
              <w:bottom w:w="80" w:type="dxa"/>
              <w:end w:w="100" w:type="dxa"/>
            </w:tcMar>
          </w:tcPr>
          <w:p>
            <w:pPr>
              <w:spacing w:after="0"/>
            </w:pPr>
            <w:r>
              <w:rPr>
                <w:rFonts w:ascii="Aptos" w:hAnsi="Aptos"/>
                <w:color w:val="1F2937"/>
                <w:sz w:val="16"/>
              </w:rPr>
              <w:t>Antwort innerhalb 5 Minuten während Kernzeiten; automatische Rückerstattung nach klarer Evidenz.</w:t>
            </w:r>
          </w:p>
        </w:tc>
        <w:tc>
          <w:tcPr>
            <w:tcW w:type="dxa" w:w="2608"/>
            <w:vAlign w:val="top"/>
            <w:tcMar>
              <w:top w:w="80" w:type="dxa"/>
              <w:start w:w="100" w:type="dxa"/>
              <w:bottom w:w="80" w:type="dxa"/>
              <w:end w:w="100" w:type="dxa"/>
            </w:tcMar>
          </w:tcPr>
          <w:p>
            <w:pPr>
              <w:spacing w:after="0"/>
            </w:pPr>
            <w:r>
              <w:rPr>
                <w:rFonts w:ascii="Aptos" w:hAnsi="Aptos"/>
                <w:color w:val="1F2937"/>
                <w:sz w:val="16"/>
              </w:rPr>
              <w:t>In-App-Notfallbutton, Foto/Standort, Ersatzsuche.</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6"/>
              </w:rPr>
              <w:t>Zugang funktioniert nicht</w:t>
            </w:r>
          </w:p>
        </w:tc>
        <w:tc>
          <w:tcPr>
            <w:tcW w:type="dxa" w:w="4649"/>
            <w:vAlign w:val="top"/>
            <w:tcMar>
              <w:top w:w="80" w:type="dxa"/>
              <w:start w:w="100" w:type="dxa"/>
              <w:bottom w:w="80" w:type="dxa"/>
              <w:end w:w="100" w:type="dxa"/>
            </w:tcMar>
            <w:shd w:fill="F3F5F7"/>
          </w:tcPr>
          <w:p>
            <w:pPr>
              <w:spacing w:after="0"/>
            </w:pPr>
            <w:r>
              <w:rPr>
                <w:rFonts w:ascii="Aptos" w:hAnsi="Aptos"/>
                <w:color w:val="1F2937"/>
                <w:sz w:val="16"/>
              </w:rPr>
              <w:t>Direktkontakt über anonymisierten Chat/Call Relay; Support-Eskalation.</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Zutrittsanleitung, Code-Audit-Log.</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6"/>
              </w:rPr>
              <w:t>Schadensfall</w:t>
            </w:r>
          </w:p>
        </w:tc>
        <w:tc>
          <w:tcPr>
            <w:tcW w:type="dxa" w:w="4649"/>
            <w:vAlign w:val="top"/>
            <w:tcMar>
              <w:top w:w="80" w:type="dxa"/>
              <w:start w:w="100" w:type="dxa"/>
              <w:bottom w:w="80" w:type="dxa"/>
              <w:end w:w="100" w:type="dxa"/>
            </w:tcMar>
          </w:tcPr>
          <w:p>
            <w:pPr>
              <w:spacing w:after="0"/>
            </w:pPr>
            <w:r>
              <w:rPr>
                <w:rFonts w:ascii="Aptos" w:hAnsi="Aptos"/>
                <w:color w:val="1F2937"/>
                <w:sz w:val="16"/>
              </w:rPr>
              <w:t>Erste Bestätigung binnen 24 Stunden, strukturierte Beweissicherung.</w:t>
            </w:r>
          </w:p>
        </w:tc>
        <w:tc>
          <w:tcPr>
            <w:tcW w:type="dxa" w:w="2608"/>
            <w:vAlign w:val="top"/>
            <w:tcMar>
              <w:top w:w="80" w:type="dxa"/>
              <w:start w:w="100" w:type="dxa"/>
              <w:bottom w:w="80" w:type="dxa"/>
              <w:end w:w="100" w:type="dxa"/>
            </w:tcMar>
          </w:tcPr>
          <w:p>
            <w:pPr>
              <w:spacing w:after="0"/>
            </w:pPr>
            <w:r>
              <w:rPr>
                <w:rFonts w:ascii="Aptos" w:hAnsi="Aptos"/>
                <w:color w:val="1F2937"/>
                <w:sz w:val="16"/>
              </w:rPr>
              <w:t>Claims-Ticket, Fotos, Zeitstempel, Parteienstatus.</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6"/>
              </w:rPr>
              <w:t>Illegales Angebot</w:t>
            </w:r>
          </w:p>
        </w:tc>
        <w:tc>
          <w:tcPr>
            <w:tcW w:type="dxa" w:w="4649"/>
            <w:vAlign w:val="top"/>
            <w:tcMar>
              <w:top w:w="80" w:type="dxa"/>
              <w:start w:w="100" w:type="dxa"/>
              <w:bottom w:w="80" w:type="dxa"/>
              <w:end w:w="100" w:type="dxa"/>
            </w:tcMar>
            <w:shd w:fill="F3F5F7"/>
          </w:tcPr>
          <w:p>
            <w:pPr>
              <w:spacing w:after="0"/>
            </w:pPr>
            <w:r>
              <w:rPr>
                <w:rFonts w:ascii="Aptos" w:hAnsi="Aptos"/>
                <w:color w:val="1F2937"/>
                <w:sz w:val="16"/>
              </w:rPr>
              <w:t>Sofortige Pausierung bei plausibler Meldung; Prüfung und begründete Entscheidung.</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DSA-Moderationsakte.</w:t>
            </w:r>
          </w:p>
        </w:tc>
      </w:tr>
      <w:tr>
        <w:trPr>
          <w:cantSplit/>
        </w:trPr>
        <w:tc>
          <w:tcPr>
            <w:tcW w:type="dxa" w:w="1814"/>
            <w:vAlign w:val="top"/>
            <w:tcMar>
              <w:top w:w="80" w:type="dxa"/>
              <w:start w:w="100" w:type="dxa"/>
              <w:bottom w:w="80" w:type="dxa"/>
              <w:end w:w="100" w:type="dxa"/>
            </w:tcMar>
          </w:tcPr>
          <w:p>
            <w:pPr>
              <w:spacing w:after="0"/>
            </w:pPr>
            <w:r>
              <w:rPr>
                <w:rFonts w:ascii="Aptos" w:hAnsi="Aptos"/>
                <w:color w:val="1F2937"/>
                <w:sz w:val="16"/>
              </w:rPr>
              <w:t>Auszahlung</w:t>
            </w:r>
          </w:p>
        </w:tc>
        <w:tc>
          <w:tcPr>
            <w:tcW w:type="dxa" w:w="4649"/>
            <w:vAlign w:val="top"/>
            <w:tcMar>
              <w:top w:w="80" w:type="dxa"/>
              <w:start w:w="100" w:type="dxa"/>
              <w:bottom w:w="80" w:type="dxa"/>
              <w:end w:w="100" w:type="dxa"/>
            </w:tcMar>
          </w:tcPr>
          <w:p>
            <w:pPr>
              <w:spacing w:after="0"/>
            </w:pPr>
            <w:r>
              <w:rPr>
                <w:rFonts w:ascii="Aptos" w:hAnsi="Aptos"/>
                <w:color w:val="1F2937"/>
                <w:sz w:val="16"/>
              </w:rPr>
              <w:t>PSP-abhängiger Zeitplan; Risiko- und Streitfälle können PSP-seitig verzögert werden.</w:t>
            </w:r>
          </w:p>
        </w:tc>
        <w:tc>
          <w:tcPr>
            <w:tcW w:type="dxa" w:w="2608"/>
            <w:vAlign w:val="top"/>
            <w:tcMar>
              <w:top w:w="80" w:type="dxa"/>
              <w:start w:w="100" w:type="dxa"/>
              <w:bottom w:w="80" w:type="dxa"/>
              <w:end w:w="100" w:type="dxa"/>
            </w:tcMar>
          </w:tcPr>
          <w:p>
            <w:pPr>
              <w:spacing w:after="0"/>
            </w:pPr>
            <w:r>
              <w:rPr>
                <w:rFonts w:ascii="Aptos" w:hAnsi="Aptos"/>
                <w:color w:val="1F2937"/>
                <w:sz w:val="16"/>
              </w:rPr>
              <w:t>Payout Status, Reserve Rules.</w:t>
            </w:r>
          </w:p>
        </w:tc>
      </w:tr>
      <w:tr>
        <w:trPr>
          <w:cantSplit/>
        </w:trPr>
        <w:tc>
          <w:tcPr>
            <w:tcW w:type="dxa" w:w="1814"/>
            <w:vAlign w:val="top"/>
            <w:tcMar>
              <w:top w:w="80" w:type="dxa"/>
              <w:start w:w="100" w:type="dxa"/>
              <w:bottom w:w="80" w:type="dxa"/>
              <w:end w:w="100" w:type="dxa"/>
            </w:tcMar>
            <w:shd w:fill="F3F5F7"/>
          </w:tcPr>
          <w:p>
            <w:pPr>
              <w:spacing w:after="0"/>
            </w:pPr>
            <w:r>
              <w:rPr>
                <w:rFonts w:ascii="Aptos" w:hAnsi="Aptos"/>
                <w:color w:val="1F2937"/>
                <w:sz w:val="16"/>
              </w:rPr>
              <w:t>Datenanfrage</w:t>
            </w:r>
          </w:p>
        </w:tc>
        <w:tc>
          <w:tcPr>
            <w:tcW w:type="dxa" w:w="4649"/>
            <w:vAlign w:val="top"/>
            <w:tcMar>
              <w:top w:w="80" w:type="dxa"/>
              <w:start w:w="100" w:type="dxa"/>
              <w:bottom w:w="80" w:type="dxa"/>
              <w:end w:w="100" w:type="dxa"/>
            </w:tcMar>
            <w:shd w:fill="F3F5F7"/>
          </w:tcPr>
          <w:p>
            <w:pPr>
              <w:spacing w:after="0"/>
            </w:pPr>
            <w:r>
              <w:rPr>
                <w:rFonts w:ascii="Aptos" w:hAnsi="Aptos"/>
                <w:color w:val="1F2937"/>
                <w:sz w:val="16"/>
              </w:rPr>
              <w:t>Identitätsprüfung und fristgerechte Bearbeitung.</w:t>
            </w:r>
          </w:p>
        </w:tc>
        <w:tc>
          <w:tcPr>
            <w:tcW w:type="dxa" w:w="2608"/>
            <w:vAlign w:val="top"/>
            <w:tcMar>
              <w:top w:w="80" w:type="dxa"/>
              <w:start w:w="100" w:type="dxa"/>
              <w:bottom w:w="80" w:type="dxa"/>
              <w:end w:w="100" w:type="dxa"/>
            </w:tcMar>
            <w:shd w:fill="F3F5F7"/>
          </w:tcPr>
          <w:p>
            <w:pPr>
              <w:spacing w:after="0"/>
            </w:pPr>
            <w:r>
              <w:rPr>
                <w:rFonts w:ascii="Aptos" w:hAnsi="Aptos"/>
                <w:color w:val="1F2937"/>
                <w:sz w:val="16"/>
              </w:rPr>
              <w:t>DSAR-Workflow und Export.</w:t>
            </w:r>
          </w:p>
        </w:tc>
      </w:tr>
    </w:tbl>
    <w:p>
      <w:pPr>
        <w:spacing w:after="20"/>
      </w:pPr>
    </w:p>
    <w:p>
      <w:pPr>
        <w:pStyle w:val="Heading1"/>
      </w:pPr>
      <w:r>
        <w:t>11. Risiko- und Kontrollsystem</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5"/>
              </w:rPr>
              <w:t>Risiko</w:t>
            </w:r>
          </w:p>
        </w:tc>
        <w:tc>
          <w:tcPr>
            <w:tcW w:type="dxa" w:w="1701"/>
            <w:shd w:fill="17365D"/>
            <w:vAlign w:val="center"/>
            <w:tcMar>
              <w:top w:w="80" w:type="dxa"/>
              <w:start w:w="100" w:type="dxa"/>
              <w:bottom w:w="80" w:type="dxa"/>
              <w:end w:w="100" w:type="dxa"/>
            </w:tcMar>
          </w:tcPr>
          <w:p>
            <w:pPr>
              <w:jc w:val="left"/>
            </w:pPr>
            <w:r>
              <w:rPr>
                <w:rFonts w:ascii="Aptos" w:hAnsi="Aptos"/>
                <w:b/>
                <w:color w:val="FFFFFF"/>
                <w:sz w:val="15"/>
              </w:rPr>
              <w:t>Wahrscheinlichkeit</w:t>
            </w:r>
          </w:p>
        </w:tc>
        <w:tc>
          <w:tcPr>
            <w:tcW w:type="dxa" w:w="1701"/>
            <w:shd w:fill="17365D"/>
            <w:vAlign w:val="center"/>
            <w:tcMar>
              <w:top w:w="80" w:type="dxa"/>
              <w:start w:w="100" w:type="dxa"/>
              <w:bottom w:w="80" w:type="dxa"/>
              <w:end w:w="100" w:type="dxa"/>
            </w:tcMar>
          </w:tcPr>
          <w:p>
            <w:pPr>
              <w:jc w:val="left"/>
            </w:pPr>
            <w:r>
              <w:rPr>
                <w:rFonts w:ascii="Aptos" w:hAnsi="Aptos"/>
                <w:b/>
                <w:color w:val="FFFFFF"/>
                <w:sz w:val="15"/>
              </w:rPr>
              <w:t>Auswirkung</w:t>
            </w:r>
          </w:p>
        </w:tc>
        <w:tc>
          <w:tcPr>
            <w:tcW w:type="dxa" w:w="3402"/>
            <w:shd w:fill="17365D"/>
            <w:vAlign w:val="center"/>
            <w:tcMar>
              <w:top w:w="80" w:type="dxa"/>
              <w:start w:w="100" w:type="dxa"/>
              <w:bottom w:w="80" w:type="dxa"/>
              <w:end w:w="100" w:type="dxa"/>
            </w:tcMar>
          </w:tcPr>
          <w:p>
            <w:pPr>
              <w:jc w:val="left"/>
            </w:pPr>
            <w:r>
              <w:rPr>
                <w:rFonts w:ascii="Aptos" w:hAnsi="Aptos"/>
                <w:b/>
                <w:color w:val="FFFFFF"/>
                <w:sz w:val="15"/>
              </w:rPr>
              <w:t>Kontrolle</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Zu wenig lokale Angebotsdichte</w:t>
            </w:r>
          </w:p>
        </w:tc>
        <w:tc>
          <w:tcPr>
            <w:tcW w:type="dxa" w:w="1701"/>
            <w:vAlign w:val="top"/>
            <w:tcMar>
              <w:top w:w="80" w:type="dxa"/>
              <w:start w:w="100" w:type="dxa"/>
              <w:bottom w:w="80" w:type="dxa"/>
              <w:end w:w="100" w:type="dxa"/>
            </w:tcMar>
          </w:tcPr>
          <w:p>
            <w:pPr>
              <w:spacing w:after="0"/>
            </w:pPr>
            <w:r>
              <w:rPr>
                <w:rFonts w:ascii="Aptos" w:hAnsi="Aptos"/>
                <w:color w:val="1F2937"/>
                <w:sz w:val="15"/>
              </w:rPr>
              <w:t>Hoch</w:t>
            </w:r>
          </w:p>
        </w:tc>
        <w:tc>
          <w:tcPr>
            <w:tcW w:type="dxa" w:w="1701"/>
            <w:vAlign w:val="top"/>
            <w:tcMar>
              <w:top w:w="80" w:type="dxa"/>
              <w:start w:w="100" w:type="dxa"/>
              <w:bottom w:w="80" w:type="dxa"/>
              <w:end w:w="100" w:type="dxa"/>
            </w:tcMar>
          </w:tcPr>
          <w:p>
            <w:pPr>
              <w:spacing w:after="0"/>
            </w:pPr>
            <w:r>
              <w:rPr>
                <w:rFonts w:ascii="Aptos" w:hAnsi="Aptos"/>
                <w:color w:val="1F2937"/>
                <w:sz w:val="15"/>
              </w:rPr>
              <w:t>Sehr hoch</w:t>
            </w:r>
          </w:p>
        </w:tc>
        <w:tc>
          <w:tcPr>
            <w:tcW w:type="dxa" w:w="3402"/>
            <w:vAlign w:val="top"/>
            <w:tcMar>
              <w:top w:w="80" w:type="dxa"/>
              <w:start w:w="100" w:type="dxa"/>
              <w:bottom w:w="80" w:type="dxa"/>
              <w:end w:w="100" w:type="dxa"/>
            </w:tcMar>
          </w:tcPr>
          <w:p>
            <w:pPr>
              <w:spacing w:after="0"/>
            </w:pPr>
            <w:r>
              <w:rPr>
                <w:rFonts w:ascii="Aptos" w:hAnsi="Aptos"/>
                <w:color w:val="1F2937"/>
                <w:sz w:val="15"/>
              </w:rPr>
              <w:t>Supply-first-Launch, Cluster-Gates, B2B-Verträge.</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5"/>
              </w:rPr>
              <w:t>Anbieter darf Platz nicht überlassen</w:t>
            </w:r>
          </w:p>
        </w:tc>
        <w:tc>
          <w:tcPr>
            <w:tcW w:type="dxa" w:w="1701"/>
            <w:vAlign w:val="top"/>
            <w:tcMar>
              <w:top w:w="80" w:type="dxa"/>
              <w:start w:w="100" w:type="dxa"/>
              <w:bottom w:w="80" w:type="dxa"/>
              <w:end w:w="100" w:type="dxa"/>
            </w:tcMar>
            <w:shd w:fill="F3F5F7"/>
          </w:tcPr>
          <w:p>
            <w:pPr>
              <w:spacing w:after="0"/>
            </w:pPr>
            <w:r>
              <w:rPr>
                <w:rFonts w:ascii="Aptos" w:hAnsi="Aptos"/>
                <w:color w:val="1F2937"/>
                <w:sz w:val="15"/>
              </w:rPr>
              <w:t>Mittel</w:t>
            </w:r>
          </w:p>
        </w:tc>
        <w:tc>
          <w:tcPr>
            <w:tcW w:type="dxa" w:w="1701"/>
            <w:vAlign w:val="top"/>
            <w:tcMar>
              <w:top w:w="80" w:type="dxa"/>
              <w:start w:w="100" w:type="dxa"/>
              <w:bottom w:w="80" w:type="dxa"/>
              <w:end w:w="100" w:type="dxa"/>
            </w:tcMar>
            <w:shd w:fill="F3F5F7"/>
          </w:tcPr>
          <w:p>
            <w:pPr>
              <w:spacing w:after="0"/>
            </w:pPr>
            <w:r>
              <w:rPr>
                <w:rFonts w:ascii="Aptos" w:hAnsi="Aptos"/>
                <w:color w:val="1F2937"/>
                <w:sz w:val="15"/>
              </w:rPr>
              <w:t>Hoch</w:t>
            </w:r>
          </w:p>
        </w:tc>
        <w:tc>
          <w:tcPr>
            <w:tcW w:type="dxa" w:w="3402"/>
            <w:vAlign w:val="top"/>
            <w:tcMar>
              <w:top w:w="80" w:type="dxa"/>
              <w:start w:w="100" w:type="dxa"/>
              <w:bottom w:w="80" w:type="dxa"/>
              <w:end w:w="100" w:type="dxa"/>
            </w:tcMar>
            <w:shd w:fill="F3F5F7"/>
          </w:tcPr>
          <w:p>
            <w:pPr>
              <w:spacing w:after="0"/>
            </w:pPr>
            <w:r>
              <w:rPr>
                <w:rFonts w:ascii="Aptos" w:hAnsi="Aptos"/>
                <w:color w:val="1F2937"/>
                <w:sz w:val="15"/>
              </w:rPr>
              <w:t>Berechtigungsstatus, Nachweise, Gebäudewhitelist, Sperrprozess.</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Nicht nutzbare/überbuchte Plätze</w:t>
            </w:r>
          </w:p>
        </w:tc>
        <w:tc>
          <w:tcPr>
            <w:tcW w:type="dxa" w:w="1701"/>
            <w:vAlign w:val="top"/>
            <w:tcMar>
              <w:top w:w="80" w:type="dxa"/>
              <w:start w:w="100" w:type="dxa"/>
              <w:bottom w:w="80" w:type="dxa"/>
              <w:end w:w="100" w:type="dxa"/>
            </w:tcMar>
          </w:tcPr>
          <w:p>
            <w:pPr>
              <w:spacing w:after="0"/>
            </w:pPr>
            <w:r>
              <w:rPr>
                <w:rFonts w:ascii="Aptos" w:hAnsi="Aptos"/>
                <w:color w:val="1F2937"/>
                <w:sz w:val="15"/>
              </w:rPr>
              <w:t>Mittel</w:t>
            </w:r>
          </w:p>
        </w:tc>
        <w:tc>
          <w:tcPr>
            <w:tcW w:type="dxa" w:w="1701"/>
            <w:vAlign w:val="top"/>
            <w:tcMar>
              <w:top w:w="80" w:type="dxa"/>
              <w:start w:w="100" w:type="dxa"/>
              <w:bottom w:w="80" w:type="dxa"/>
              <w:end w:w="100" w:type="dxa"/>
            </w:tcMar>
          </w:tcPr>
          <w:p>
            <w:pPr>
              <w:spacing w:after="0"/>
            </w:pPr>
            <w:r>
              <w:rPr>
                <w:rFonts w:ascii="Aptos" w:hAnsi="Aptos"/>
                <w:color w:val="1F2937"/>
                <w:sz w:val="15"/>
              </w:rPr>
              <w:t>Hoch</w:t>
            </w:r>
          </w:p>
        </w:tc>
        <w:tc>
          <w:tcPr>
            <w:tcW w:type="dxa" w:w="3402"/>
            <w:vAlign w:val="top"/>
            <w:tcMar>
              <w:top w:w="80" w:type="dxa"/>
              <w:start w:w="100" w:type="dxa"/>
              <w:bottom w:w="80" w:type="dxa"/>
              <w:end w:w="100" w:type="dxa"/>
            </w:tcMar>
          </w:tcPr>
          <w:p>
            <w:pPr>
              <w:spacing w:after="0"/>
            </w:pPr>
            <w:r>
              <w:rPr>
                <w:rFonts w:ascii="Aptos" w:hAnsi="Aptos"/>
                <w:color w:val="1F2937"/>
                <w:sz w:val="15"/>
              </w:rPr>
              <w:t>Kalender-Locks, Pre-arrival-Check, Rückerstattung, Host-Score.</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5"/>
              </w:rPr>
              <w:t>Chargebacks/Betrug</w:t>
            </w:r>
          </w:p>
        </w:tc>
        <w:tc>
          <w:tcPr>
            <w:tcW w:type="dxa" w:w="1701"/>
            <w:vAlign w:val="top"/>
            <w:tcMar>
              <w:top w:w="80" w:type="dxa"/>
              <w:start w:w="100" w:type="dxa"/>
              <w:bottom w:w="80" w:type="dxa"/>
              <w:end w:w="100" w:type="dxa"/>
            </w:tcMar>
            <w:shd w:fill="F3F5F7"/>
          </w:tcPr>
          <w:p>
            <w:pPr>
              <w:spacing w:after="0"/>
            </w:pPr>
            <w:r>
              <w:rPr>
                <w:rFonts w:ascii="Aptos" w:hAnsi="Aptos"/>
                <w:color w:val="1F2937"/>
                <w:sz w:val="15"/>
              </w:rPr>
              <w:t>Mittel</w:t>
            </w:r>
          </w:p>
        </w:tc>
        <w:tc>
          <w:tcPr>
            <w:tcW w:type="dxa" w:w="1701"/>
            <w:vAlign w:val="top"/>
            <w:tcMar>
              <w:top w:w="80" w:type="dxa"/>
              <w:start w:w="100" w:type="dxa"/>
              <w:bottom w:w="80" w:type="dxa"/>
              <w:end w:w="100" w:type="dxa"/>
            </w:tcMar>
            <w:shd w:fill="F3F5F7"/>
          </w:tcPr>
          <w:p>
            <w:pPr>
              <w:spacing w:after="0"/>
            </w:pPr>
            <w:r>
              <w:rPr>
                <w:rFonts w:ascii="Aptos" w:hAnsi="Aptos"/>
                <w:color w:val="1F2937"/>
                <w:sz w:val="15"/>
              </w:rPr>
              <w:t>Hoch</w:t>
            </w:r>
          </w:p>
        </w:tc>
        <w:tc>
          <w:tcPr>
            <w:tcW w:type="dxa" w:w="3402"/>
            <w:vAlign w:val="top"/>
            <w:tcMar>
              <w:top w:w="80" w:type="dxa"/>
              <w:start w:w="100" w:type="dxa"/>
              <w:bottom w:w="80" w:type="dxa"/>
              <w:end w:w="100" w:type="dxa"/>
            </w:tcMar>
            <w:shd w:fill="F3F5F7"/>
          </w:tcPr>
          <w:p>
            <w:pPr>
              <w:spacing w:after="0"/>
            </w:pPr>
            <w:r>
              <w:rPr>
                <w:rFonts w:ascii="Aptos" w:hAnsi="Aptos"/>
                <w:color w:val="1F2937"/>
                <w:sz w:val="15"/>
              </w:rPr>
              <w:t>PSP-Risk, 3DS, Geräte-/Verhaltenssignale, Auszahlungspolitik.</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Datenschutzverletzung</w:t>
            </w:r>
          </w:p>
        </w:tc>
        <w:tc>
          <w:tcPr>
            <w:tcW w:type="dxa" w:w="1701"/>
            <w:vAlign w:val="top"/>
            <w:tcMar>
              <w:top w:w="80" w:type="dxa"/>
              <w:start w:w="100" w:type="dxa"/>
              <w:bottom w:w="80" w:type="dxa"/>
              <w:end w:w="100" w:type="dxa"/>
            </w:tcMar>
          </w:tcPr>
          <w:p>
            <w:pPr>
              <w:spacing w:after="0"/>
            </w:pPr>
            <w:r>
              <w:rPr>
                <w:rFonts w:ascii="Aptos" w:hAnsi="Aptos"/>
                <w:color w:val="1F2937"/>
                <w:sz w:val="15"/>
              </w:rPr>
              <w:t>Niedrig–mittel</w:t>
            </w:r>
          </w:p>
        </w:tc>
        <w:tc>
          <w:tcPr>
            <w:tcW w:type="dxa" w:w="1701"/>
            <w:vAlign w:val="top"/>
            <w:tcMar>
              <w:top w:w="80" w:type="dxa"/>
              <w:start w:w="100" w:type="dxa"/>
              <w:bottom w:w="80" w:type="dxa"/>
              <w:end w:w="100" w:type="dxa"/>
            </w:tcMar>
          </w:tcPr>
          <w:p>
            <w:pPr>
              <w:spacing w:after="0"/>
            </w:pPr>
            <w:r>
              <w:rPr>
                <w:rFonts w:ascii="Aptos" w:hAnsi="Aptos"/>
                <w:color w:val="1F2937"/>
                <w:sz w:val="15"/>
              </w:rPr>
              <w:t>Sehr hoch</w:t>
            </w:r>
          </w:p>
        </w:tc>
        <w:tc>
          <w:tcPr>
            <w:tcW w:type="dxa" w:w="3402"/>
            <w:vAlign w:val="top"/>
            <w:tcMar>
              <w:top w:w="80" w:type="dxa"/>
              <w:start w:w="100" w:type="dxa"/>
              <w:bottom w:w="80" w:type="dxa"/>
              <w:end w:w="100" w:type="dxa"/>
            </w:tcMar>
          </w:tcPr>
          <w:p>
            <w:pPr>
              <w:spacing w:after="0"/>
            </w:pPr>
            <w:r>
              <w:rPr>
                <w:rFonts w:ascii="Aptos" w:hAnsi="Aptos"/>
                <w:color w:val="1F2937"/>
                <w:sz w:val="15"/>
              </w:rPr>
              <w:t>Minimierung, RBAC, Verschlüsselung, Pen-Test, Incident-Response.</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5"/>
              </w:rPr>
              <w:t>Regulatorische Fehlklassifizierung</w:t>
            </w:r>
          </w:p>
        </w:tc>
        <w:tc>
          <w:tcPr>
            <w:tcW w:type="dxa" w:w="1701"/>
            <w:vAlign w:val="top"/>
            <w:tcMar>
              <w:top w:w="80" w:type="dxa"/>
              <w:start w:w="100" w:type="dxa"/>
              <w:bottom w:w="80" w:type="dxa"/>
              <w:end w:w="100" w:type="dxa"/>
            </w:tcMar>
            <w:shd w:fill="F3F5F7"/>
          </w:tcPr>
          <w:p>
            <w:pPr>
              <w:spacing w:after="0"/>
            </w:pPr>
            <w:r>
              <w:rPr>
                <w:rFonts w:ascii="Aptos" w:hAnsi="Aptos"/>
                <w:color w:val="1F2937"/>
                <w:sz w:val="15"/>
              </w:rPr>
              <w:t>Mittel</w:t>
            </w:r>
          </w:p>
        </w:tc>
        <w:tc>
          <w:tcPr>
            <w:tcW w:type="dxa" w:w="1701"/>
            <w:vAlign w:val="top"/>
            <w:tcMar>
              <w:top w:w="80" w:type="dxa"/>
              <w:start w:w="100" w:type="dxa"/>
              <w:bottom w:w="80" w:type="dxa"/>
              <w:end w:w="100" w:type="dxa"/>
            </w:tcMar>
            <w:shd w:fill="F3F5F7"/>
          </w:tcPr>
          <w:p>
            <w:pPr>
              <w:spacing w:after="0"/>
            </w:pPr>
            <w:r>
              <w:rPr>
                <w:rFonts w:ascii="Aptos" w:hAnsi="Aptos"/>
                <w:color w:val="1F2937"/>
                <w:sz w:val="15"/>
              </w:rPr>
              <w:t>Sehr hoch</w:t>
            </w:r>
          </w:p>
        </w:tc>
        <w:tc>
          <w:tcPr>
            <w:tcW w:type="dxa" w:w="3402"/>
            <w:vAlign w:val="top"/>
            <w:tcMar>
              <w:top w:w="80" w:type="dxa"/>
              <w:start w:w="100" w:type="dxa"/>
              <w:bottom w:w="80" w:type="dxa"/>
              <w:end w:w="100" w:type="dxa"/>
            </w:tcMar>
            <w:shd w:fill="F3F5F7"/>
          </w:tcPr>
          <w:p>
            <w:pPr>
              <w:spacing w:after="0"/>
            </w:pPr>
            <w:r>
              <w:rPr>
                <w:rFonts w:ascii="Aptos" w:hAnsi="Aptos"/>
                <w:color w:val="1F2937"/>
                <w:sz w:val="15"/>
              </w:rPr>
              <w:t>Externe Sign-offs, Länder-Gates, Änderungsmonitoring.</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Hohe Supportkosten</w:t>
            </w:r>
          </w:p>
        </w:tc>
        <w:tc>
          <w:tcPr>
            <w:tcW w:type="dxa" w:w="1701"/>
            <w:vAlign w:val="top"/>
            <w:tcMar>
              <w:top w:w="80" w:type="dxa"/>
              <w:start w:w="100" w:type="dxa"/>
              <w:bottom w:w="80" w:type="dxa"/>
              <w:end w:w="100" w:type="dxa"/>
            </w:tcMar>
          </w:tcPr>
          <w:p>
            <w:pPr>
              <w:spacing w:after="0"/>
            </w:pPr>
            <w:r>
              <w:rPr>
                <w:rFonts w:ascii="Aptos" w:hAnsi="Aptos"/>
                <w:color w:val="1F2937"/>
                <w:sz w:val="15"/>
              </w:rPr>
              <w:t>Mittel</w:t>
            </w:r>
          </w:p>
        </w:tc>
        <w:tc>
          <w:tcPr>
            <w:tcW w:type="dxa" w:w="1701"/>
            <w:vAlign w:val="top"/>
            <w:tcMar>
              <w:top w:w="80" w:type="dxa"/>
              <w:start w:w="100" w:type="dxa"/>
              <w:bottom w:w="80" w:type="dxa"/>
              <w:end w:w="100" w:type="dxa"/>
            </w:tcMar>
          </w:tcPr>
          <w:p>
            <w:pPr>
              <w:spacing w:after="0"/>
            </w:pPr>
            <w:r>
              <w:rPr>
                <w:rFonts w:ascii="Aptos" w:hAnsi="Aptos"/>
                <w:color w:val="1F2937"/>
                <w:sz w:val="15"/>
              </w:rPr>
              <w:t>Mittel–hoch</w:t>
            </w:r>
          </w:p>
        </w:tc>
        <w:tc>
          <w:tcPr>
            <w:tcW w:type="dxa" w:w="3402"/>
            <w:vAlign w:val="top"/>
            <w:tcMar>
              <w:top w:w="80" w:type="dxa"/>
              <w:start w:w="100" w:type="dxa"/>
              <w:bottom w:w="80" w:type="dxa"/>
              <w:end w:w="100" w:type="dxa"/>
            </w:tcMar>
          </w:tcPr>
          <w:p>
            <w:pPr>
              <w:spacing w:after="0"/>
            </w:pPr>
            <w:r>
              <w:rPr>
                <w:rFonts w:ascii="Aptos" w:hAnsi="Aptos"/>
                <w:color w:val="1F2937"/>
                <w:sz w:val="15"/>
              </w:rPr>
              <w:t>Selbsthilfe, gute Zufahrtsdaten, automatisierte Refund-Regeln, Qualitätsfilter.</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5"/>
              </w:rPr>
              <w:t>Starker Wettbewerb kopiert Features</w:t>
            </w:r>
          </w:p>
        </w:tc>
        <w:tc>
          <w:tcPr>
            <w:tcW w:type="dxa" w:w="1701"/>
            <w:vAlign w:val="top"/>
            <w:tcMar>
              <w:top w:w="80" w:type="dxa"/>
              <w:start w:w="100" w:type="dxa"/>
              <w:bottom w:w="80" w:type="dxa"/>
              <w:end w:w="100" w:type="dxa"/>
            </w:tcMar>
            <w:shd w:fill="F3F5F7"/>
          </w:tcPr>
          <w:p>
            <w:pPr>
              <w:spacing w:after="0"/>
            </w:pPr>
            <w:r>
              <w:rPr>
                <w:rFonts w:ascii="Aptos" w:hAnsi="Aptos"/>
                <w:color w:val="1F2937"/>
                <w:sz w:val="15"/>
              </w:rPr>
              <w:t>Hoch</w:t>
            </w:r>
          </w:p>
        </w:tc>
        <w:tc>
          <w:tcPr>
            <w:tcW w:type="dxa" w:w="1701"/>
            <w:vAlign w:val="top"/>
            <w:tcMar>
              <w:top w:w="80" w:type="dxa"/>
              <w:start w:w="100" w:type="dxa"/>
              <w:bottom w:w="80" w:type="dxa"/>
              <w:end w:w="100" w:type="dxa"/>
            </w:tcMar>
            <w:shd w:fill="F3F5F7"/>
          </w:tcPr>
          <w:p>
            <w:pPr>
              <w:spacing w:after="0"/>
            </w:pPr>
            <w:r>
              <w:rPr>
                <w:rFonts w:ascii="Aptos" w:hAnsi="Aptos"/>
                <w:color w:val="1F2937"/>
                <w:sz w:val="15"/>
              </w:rPr>
              <w:t>Mittel</w:t>
            </w:r>
          </w:p>
        </w:tc>
        <w:tc>
          <w:tcPr>
            <w:tcW w:type="dxa" w:w="3402"/>
            <w:vAlign w:val="top"/>
            <w:tcMar>
              <w:top w:w="80" w:type="dxa"/>
              <w:start w:w="100" w:type="dxa"/>
              <w:bottom w:w="80" w:type="dxa"/>
              <w:end w:w="100" w:type="dxa"/>
            </w:tcMar>
            <w:shd w:fill="F3F5F7"/>
          </w:tcPr>
          <w:p>
            <w:pPr>
              <w:spacing w:after="0"/>
            </w:pPr>
            <w:r>
              <w:rPr>
                <w:rFonts w:ascii="Aptos" w:hAnsi="Aptos"/>
                <w:color w:val="1F2937"/>
                <w:sz w:val="15"/>
              </w:rPr>
              <w:t>Gebäudeverträge, lokale Dichte, Daten- und Operationsvorteil.</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Zu frühe internationale Expansion</w:t>
            </w:r>
          </w:p>
        </w:tc>
        <w:tc>
          <w:tcPr>
            <w:tcW w:type="dxa" w:w="1701"/>
            <w:vAlign w:val="top"/>
            <w:tcMar>
              <w:top w:w="80" w:type="dxa"/>
              <w:start w:w="100" w:type="dxa"/>
              <w:bottom w:w="80" w:type="dxa"/>
              <w:end w:w="100" w:type="dxa"/>
            </w:tcMar>
          </w:tcPr>
          <w:p>
            <w:pPr>
              <w:spacing w:after="0"/>
            </w:pPr>
            <w:r>
              <w:rPr>
                <w:rFonts w:ascii="Aptos" w:hAnsi="Aptos"/>
                <w:color w:val="1F2937"/>
                <w:sz w:val="15"/>
              </w:rPr>
              <w:t>Mittel</w:t>
            </w:r>
          </w:p>
        </w:tc>
        <w:tc>
          <w:tcPr>
            <w:tcW w:type="dxa" w:w="1701"/>
            <w:vAlign w:val="top"/>
            <w:tcMar>
              <w:top w:w="80" w:type="dxa"/>
              <w:start w:w="100" w:type="dxa"/>
              <w:bottom w:w="80" w:type="dxa"/>
              <w:end w:w="100" w:type="dxa"/>
            </w:tcMar>
          </w:tcPr>
          <w:p>
            <w:pPr>
              <w:spacing w:after="0"/>
            </w:pPr>
            <w:r>
              <w:rPr>
                <w:rFonts w:ascii="Aptos" w:hAnsi="Aptos"/>
                <w:color w:val="1F2937"/>
                <w:sz w:val="15"/>
              </w:rPr>
              <w:t>Hoch</w:t>
            </w:r>
          </w:p>
        </w:tc>
        <w:tc>
          <w:tcPr>
            <w:tcW w:type="dxa" w:w="3402"/>
            <w:vAlign w:val="top"/>
            <w:tcMar>
              <w:top w:w="80" w:type="dxa"/>
              <w:start w:w="100" w:type="dxa"/>
              <w:bottom w:w="80" w:type="dxa"/>
              <w:end w:w="100" w:type="dxa"/>
            </w:tcMar>
          </w:tcPr>
          <w:p>
            <w:pPr>
              <w:spacing w:after="0"/>
            </w:pPr>
            <w:r>
              <w:rPr>
                <w:rFonts w:ascii="Aptos" w:hAnsi="Aptos"/>
                <w:color w:val="1F2937"/>
                <w:sz w:val="15"/>
              </w:rPr>
              <w:t>Nur nach Unit-Economics- und Compliance-Gate.</w:t>
            </w:r>
          </w:p>
        </w:tc>
      </w:tr>
    </w:tbl>
    <w:p>
      <w:pPr>
        <w:spacing w:after="20"/>
      </w:pPr>
    </w:p>
    <w:p>
      <w:pPr>
        <w:pStyle w:val="Heading1"/>
      </w:pPr>
      <w:r>
        <w:t>12. Finanzplanung</w:t>
      </w:r>
    </w:p>
    <w:tbl>
      <w:tblPr>
        <w:tblW w:type="auto" w:w="0"/>
        <w:jc w:val="center"/>
        <w:tblLook w:firstColumn="1" w:firstRow="1" w:lastColumn="0" w:lastRow="0" w:noHBand="0" w:noVBand="1" w:val="04A0"/>
      </w:tblPr>
      <w:tblGrid>
        <w:gridCol w:w="9922"/>
      </w:tblGrid>
      <w:tr>
        <w:trPr>
          <w:cantSplit/>
        </w:trPr>
        <w:tc>
          <w:tcPr>
            <w:tcW w:type="dxa" w:w="9922"/>
            <w:shd w:fill="FFF1DB"/>
            <w:tcMar>
              <w:top w:w="110" w:type="dxa"/>
              <w:start w:w="140" w:type="dxa"/>
              <w:bottom w:w="110" w:type="dxa"/>
              <w:end w:w="140" w:type="dxa"/>
            </w:tcMar>
          </w:tcPr>
          <w:p>
            <w:r>
              <w:rPr>
                <w:rFonts w:ascii="Aptos" w:hAnsi="Aptos"/>
                <w:b/>
                <w:color w:val="A75A00"/>
                <w:sz w:val="19"/>
              </w:rPr>
              <w:t>Transparenz der Zahlen</w:t>
            </w:r>
          </w:p>
          <w:p>
            <w:pPr>
              <w:spacing w:after="0"/>
            </w:pPr>
            <w:r>
              <w:t>Die folgenden Werte sind ein Bottom-up-Planungsmodell, keine gesicherten Marktprognosen. Die tatsächlichen Werte hängen vor allem von aktiven Stellplätzen, Buchungen je Platz, durchschnittlichem Buchungswert, Take Rate, PSP-Kosten, Rückerstattungen und Supportaufwand ab.</w:t>
            </w:r>
          </w:p>
        </w:tc>
      </w:tr>
    </w:tbl>
    <w:p>
      <w:pPr>
        <w:pStyle w:val="Heading2"/>
      </w:pPr>
      <w:r>
        <w:t>12.1 Basisszenario – operative Annahmen</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3628"/>
            <w:shd w:fill="17365D"/>
            <w:vAlign w:val="center"/>
            <w:tcMar>
              <w:top w:w="80" w:type="dxa"/>
              <w:start w:w="100" w:type="dxa"/>
              <w:bottom w:w="80" w:type="dxa"/>
              <w:end w:w="100" w:type="dxa"/>
            </w:tcMar>
          </w:tcPr>
          <w:p>
            <w:pPr>
              <w:jc w:val="left"/>
            </w:pPr>
            <w:r>
              <w:rPr>
                <w:rFonts w:ascii="Aptos" w:hAnsi="Aptos"/>
                <w:b/>
                <w:color w:val="FFFFFF"/>
                <w:sz w:val="16"/>
              </w:rPr>
              <w:t>Kennzahl</w:t>
            </w:r>
          </w:p>
        </w:tc>
        <w:tc>
          <w:tcPr>
            <w:tcW w:type="dxa" w:w="1928"/>
            <w:shd w:fill="17365D"/>
            <w:vAlign w:val="center"/>
            <w:tcMar>
              <w:top w:w="80" w:type="dxa"/>
              <w:start w:w="100" w:type="dxa"/>
              <w:bottom w:w="80" w:type="dxa"/>
              <w:end w:w="100" w:type="dxa"/>
            </w:tcMar>
          </w:tcPr>
          <w:p>
            <w:pPr>
              <w:jc w:val="left"/>
            </w:pPr>
            <w:r>
              <w:rPr>
                <w:rFonts w:ascii="Aptos" w:hAnsi="Aptos"/>
                <w:b/>
                <w:color w:val="FFFFFF"/>
                <w:sz w:val="16"/>
              </w:rPr>
              <w:t>Jahr 1</w:t>
            </w:r>
          </w:p>
        </w:tc>
        <w:tc>
          <w:tcPr>
            <w:tcW w:type="dxa" w:w="1928"/>
            <w:shd w:fill="17365D"/>
            <w:vAlign w:val="center"/>
            <w:tcMar>
              <w:top w:w="80" w:type="dxa"/>
              <w:start w:w="100" w:type="dxa"/>
              <w:bottom w:w="80" w:type="dxa"/>
              <w:end w:w="100" w:type="dxa"/>
            </w:tcMar>
          </w:tcPr>
          <w:p>
            <w:pPr>
              <w:jc w:val="left"/>
            </w:pPr>
            <w:r>
              <w:rPr>
                <w:rFonts w:ascii="Aptos" w:hAnsi="Aptos"/>
                <w:b/>
                <w:color w:val="FFFFFF"/>
                <w:sz w:val="16"/>
              </w:rPr>
              <w:t>Jahr 2</w:t>
            </w:r>
          </w:p>
        </w:tc>
        <w:tc>
          <w:tcPr>
            <w:tcW w:type="dxa" w:w="1928"/>
            <w:shd w:fill="17365D"/>
            <w:vAlign w:val="center"/>
            <w:tcMar>
              <w:top w:w="80" w:type="dxa"/>
              <w:start w:w="100" w:type="dxa"/>
              <w:bottom w:w="80" w:type="dxa"/>
              <w:end w:w="100" w:type="dxa"/>
            </w:tcMar>
          </w:tcPr>
          <w:p>
            <w:pPr>
              <w:jc w:val="left"/>
            </w:pPr>
            <w:r>
              <w:rPr>
                <w:rFonts w:ascii="Aptos" w:hAnsi="Aptos"/>
                <w:b/>
                <w:color w:val="FFFFFF"/>
                <w:sz w:val="16"/>
              </w:rPr>
              <w:t>Jahr 3</w:t>
            </w:r>
          </w:p>
        </w:tc>
      </w:tr>
      <w:tr>
        <w:trPr>
          <w:cantSplit/>
        </w:trPr>
        <w:tc>
          <w:tcPr>
            <w:tcW w:type="dxa" w:w="3628"/>
            <w:vAlign w:val="top"/>
            <w:tcMar>
              <w:top w:w="80" w:type="dxa"/>
              <w:start w:w="100" w:type="dxa"/>
              <w:bottom w:w="80" w:type="dxa"/>
              <w:end w:w="100" w:type="dxa"/>
            </w:tcMar>
          </w:tcPr>
          <w:p>
            <w:pPr>
              <w:spacing w:after="0"/>
            </w:pPr>
            <w:r>
              <w:rPr>
                <w:rFonts w:ascii="Aptos" w:hAnsi="Aptos"/>
                <w:color w:val="1F2937"/>
                <w:sz w:val="16"/>
              </w:rPr>
              <w:t>Durchschnittlich aktive bezahlte Stellplätze</w:t>
            </w:r>
          </w:p>
        </w:tc>
        <w:tc>
          <w:tcPr>
            <w:tcW w:type="dxa" w:w="1928"/>
            <w:vAlign w:val="top"/>
            <w:tcMar>
              <w:top w:w="80" w:type="dxa"/>
              <w:start w:w="100" w:type="dxa"/>
              <w:bottom w:w="80" w:type="dxa"/>
              <w:end w:w="100" w:type="dxa"/>
            </w:tcMar>
          </w:tcPr>
          <w:p>
            <w:pPr>
              <w:spacing w:after="0"/>
            </w:pPr>
            <w:r>
              <w:rPr>
                <w:rFonts w:ascii="Aptos" w:hAnsi="Aptos"/>
                <w:color w:val="1F2937"/>
                <w:sz w:val="16"/>
              </w:rPr>
              <w:t>1.500</w:t>
            </w:r>
          </w:p>
        </w:tc>
        <w:tc>
          <w:tcPr>
            <w:tcW w:type="dxa" w:w="1928"/>
            <w:vAlign w:val="top"/>
            <w:tcMar>
              <w:top w:w="80" w:type="dxa"/>
              <w:start w:w="100" w:type="dxa"/>
              <w:bottom w:w="80" w:type="dxa"/>
              <w:end w:w="100" w:type="dxa"/>
            </w:tcMar>
          </w:tcPr>
          <w:p>
            <w:pPr>
              <w:spacing w:after="0"/>
            </w:pPr>
            <w:r>
              <w:rPr>
                <w:rFonts w:ascii="Aptos" w:hAnsi="Aptos"/>
                <w:color w:val="1F2937"/>
                <w:sz w:val="16"/>
              </w:rPr>
              <w:t>10.000</w:t>
            </w:r>
          </w:p>
        </w:tc>
        <w:tc>
          <w:tcPr>
            <w:tcW w:type="dxa" w:w="1928"/>
            <w:vAlign w:val="top"/>
            <w:tcMar>
              <w:top w:w="80" w:type="dxa"/>
              <w:start w:w="100" w:type="dxa"/>
              <w:bottom w:w="80" w:type="dxa"/>
              <w:end w:w="100" w:type="dxa"/>
            </w:tcMar>
          </w:tcPr>
          <w:p>
            <w:pPr>
              <w:spacing w:after="0"/>
            </w:pPr>
            <w:r>
              <w:rPr>
                <w:rFonts w:ascii="Aptos" w:hAnsi="Aptos"/>
                <w:color w:val="1F2937"/>
                <w:sz w:val="16"/>
              </w:rPr>
              <w:t>40.000</w:t>
            </w:r>
          </w:p>
        </w:tc>
      </w:tr>
      <w:tr>
        <w:trPr>
          <w:cantSplit/>
        </w:trPr>
        <w:tc>
          <w:tcPr>
            <w:tcW w:type="dxa" w:w="3628"/>
            <w:vAlign w:val="top"/>
            <w:tcMar>
              <w:top w:w="80" w:type="dxa"/>
              <w:start w:w="100" w:type="dxa"/>
              <w:bottom w:w="80" w:type="dxa"/>
              <w:end w:w="100" w:type="dxa"/>
            </w:tcMar>
            <w:shd w:fill="F3F5F7"/>
          </w:tcPr>
          <w:p>
            <w:pPr>
              <w:spacing w:after="0"/>
            </w:pPr>
            <w:r>
              <w:rPr>
                <w:rFonts w:ascii="Aptos" w:hAnsi="Aptos"/>
                <w:color w:val="1F2937"/>
                <w:sz w:val="16"/>
              </w:rPr>
              <w:t>Bezahlte Buchungen</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54.000</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480.000</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2.400.000</w:t>
            </w:r>
          </w:p>
        </w:tc>
      </w:tr>
      <w:tr>
        <w:trPr>
          <w:cantSplit/>
        </w:trPr>
        <w:tc>
          <w:tcPr>
            <w:tcW w:type="dxa" w:w="3628"/>
            <w:vAlign w:val="top"/>
            <w:tcMar>
              <w:top w:w="80" w:type="dxa"/>
              <w:start w:w="100" w:type="dxa"/>
              <w:bottom w:w="80" w:type="dxa"/>
              <w:end w:w="100" w:type="dxa"/>
            </w:tcMar>
          </w:tcPr>
          <w:p>
            <w:pPr>
              <w:spacing w:after="0"/>
            </w:pPr>
            <w:r>
              <w:rPr>
                <w:rFonts w:ascii="Aptos" w:hAnsi="Aptos"/>
                <w:color w:val="1F2937"/>
                <w:sz w:val="16"/>
              </w:rPr>
              <w:t>Durchschnittlicher Buchungswert</w:t>
            </w:r>
          </w:p>
        </w:tc>
        <w:tc>
          <w:tcPr>
            <w:tcW w:type="dxa" w:w="1928"/>
            <w:vAlign w:val="top"/>
            <w:tcMar>
              <w:top w:w="80" w:type="dxa"/>
              <w:start w:w="100" w:type="dxa"/>
              <w:bottom w:w="80" w:type="dxa"/>
              <w:end w:w="100" w:type="dxa"/>
            </w:tcMar>
          </w:tcPr>
          <w:p>
            <w:pPr>
              <w:spacing w:after="0"/>
            </w:pPr>
            <w:r>
              <w:rPr>
                <w:rFonts w:ascii="Aptos" w:hAnsi="Aptos"/>
                <w:color w:val="1F2937"/>
                <w:sz w:val="16"/>
              </w:rPr>
              <w:t>18 €</w:t>
            </w:r>
          </w:p>
        </w:tc>
        <w:tc>
          <w:tcPr>
            <w:tcW w:type="dxa" w:w="1928"/>
            <w:vAlign w:val="top"/>
            <w:tcMar>
              <w:top w:w="80" w:type="dxa"/>
              <w:start w:w="100" w:type="dxa"/>
              <w:bottom w:w="80" w:type="dxa"/>
              <w:end w:w="100" w:type="dxa"/>
            </w:tcMar>
          </w:tcPr>
          <w:p>
            <w:pPr>
              <w:spacing w:after="0"/>
            </w:pPr>
            <w:r>
              <w:rPr>
                <w:rFonts w:ascii="Aptos" w:hAnsi="Aptos"/>
                <w:color w:val="1F2937"/>
                <w:sz w:val="16"/>
              </w:rPr>
              <w:t>19 €</w:t>
            </w:r>
          </w:p>
        </w:tc>
        <w:tc>
          <w:tcPr>
            <w:tcW w:type="dxa" w:w="1928"/>
            <w:vAlign w:val="top"/>
            <w:tcMar>
              <w:top w:w="80" w:type="dxa"/>
              <w:start w:w="100" w:type="dxa"/>
              <w:bottom w:w="80" w:type="dxa"/>
              <w:end w:w="100" w:type="dxa"/>
            </w:tcMar>
          </w:tcPr>
          <w:p>
            <w:pPr>
              <w:spacing w:after="0"/>
            </w:pPr>
            <w:r>
              <w:rPr>
                <w:rFonts w:ascii="Aptos" w:hAnsi="Aptos"/>
                <w:color w:val="1F2937"/>
                <w:sz w:val="16"/>
              </w:rPr>
              <w:t>20 €</w:t>
            </w:r>
          </w:p>
        </w:tc>
      </w:tr>
      <w:tr>
        <w:trPr>
          <w:cantSplit/>
        </w:trPr>
        <w:tc>
          <w:tcPr>
            <w:tcW w:type="dxa" w:w="3628"/>
            <w:vAlign w:val="top"/>
            <w:tcMar>
              <w:top w:w="80" w:type="dxa"/>
              <w:start w:w="100" w:type="dxa"/>
              <w:bottom w:w="80" w:type="dxa"/>
              <w:end w:w="100" w:type="dxa"/>
            </w:tcMar>
            <w:shd w:fill="F3F5F7"/>
          </w:tcPr>
          <w:p>
            <w:pPr>
              <w:spacing w:after="0"/>
            </w:pPr>
            <w:r>
              <w:rPr>
                <w:rFonts w:ascii="Aptos" w:hAnsi="Aptos"/>
                <w:color w:val="1F2937"/>
                <w:sz w:val="16"/>
              </w:rPr>
              <w:t>Bruttobuchungsvolumen (GMV)</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0,97 Mio. €</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9,12 Mio. €</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48,0 Mio. €</w:t>
            </w:r>
          </w:p>
        </w:tc>
      </w:tr>
      <w:tr>
        <w:trPr>
          <w:cantSplit/>
        </w:trPr>
        <w:tc>
          <w:tcPr>
            <w:tcW w:type="dxa" w:w="3628"/>
            <w:vAlign w:val="top"/>
            <w:tcMar>
              <w:top w:w="80" w:type="dxa"/>
              <w:start w:w="100" w:type="dxa"/>
              <w:bottom w:w="80" w:type="dxa"/>
              <w:end w:w="100" w:type="dxa"/>
            </w:tcMar>
          </w:tcPr>
          <w:p>
            <w:pPr>
              <w:spacing w:after="0"/>
            </w:pPr>
            <w:r>
              <w:rPr>
                <w:rFonts w:ascii="Aptos" w:hAnsi="Aptos"/>
                <w:color w:val="1F2937"/>
                <w:sz w:val="16"/>
              </w:rPr>
              <w:t>Blended Take Rate</w:t>
            </w:r>
          </w:p>
        </w:tc>
        <w:tc>
          <w:tcPr>
            <w:tcW w:type="dxa" w:w="1928"/>
            <w:vAlign w:val="top"/>
            <w:tcMar>
              <w:top w:w="80" w:type="dxa"/>
              <w:start w:w="100" w:type="dxa"/>
              <w:bottom w:w="80" w:type="dxa"/>
              <w:end w:w="100" w:type="dxa"/>
            </w:tcMar>
          </w:tcPr>
          <w:p>
            <w:pPr>
              <w:spacing w:after="0"/>
            </w:pPr>
            <w:r>
              <w:rPr>
                <w:rFonts w:ascii="Aptos" w:hAnsi="Aptos"/>
                <w:color w:val="1F2937"/>
                <w:sz w:val="16"/>
              </w:rPr>
              <w:t>18,0 %</w:t>
            </w:r>
          </w:p>
        </w:tc>
        <w:tc>
          <w:tcPr>
            <w:tcW w:type="dxa" w:w="1928"/>
            <w:vAlign w:val="top"/>
            <w:tcMar>
              <w:top w:w="80" w:type="dxa"/>
              <w:start w:w="100" w:type="dxa"/>
              <w:bottom w:w="80" w:type="dxa"/>
              <w:end w:w="100" w:type="dxa"/>
            </w:tcMar>
          </w:tcPr>
          <w:p>
            <w:pPr>
              <w:spacing w:after="0"/>
            </w:pPr>
            <w:r>
              <w:rPr>
                <w:rFonts w:ascii="Aptos" w:hAnsi="Aptos"/>
                <w:color w:val="1F2937"/>
                <w:sz w:val="16"/>
              </w:rPr>
              <w:t>18,0 %</w:t>
            </w:r>
          </w:p>
        </w:tc>
        <w:tc>
          <w:tcPr>
            <w:tcW w:type="dxa" w:w="1928"/>
            <w:vAlign w:val="top"/>
            <w:tcMar>
              <w:top w:w="80" w:type="dxa"/>
              <w:start w:w="100" w:type="dxa"/>
              <w:bottom w:w="80" w:type="dxa"/>
              <w:end w:w="100" w:type="dxa"/>
            </w:tcMar>
          </w:tcPr>
          <w:p>
            <w:pPr>
              <w:spacing w:after="0"/>
            </w:pPr>
            <w:r>
              <w:rPr>
                <w:rFonts w:ascii="Aptos" w:hAnsi="Aptos"/>
                <w:color w:val="1F2937"/>
                <w:sz w:val="16"/>
              </w:rPr>
              <w:t>17,5 %</w:t>
            </w:r>
          </w:p>
        </w:tc>
      </w:tr>
      <w:tr>
        <w:trPr>
          <w:cantSplit/>
        </w:trPr>
        <w:tc>
          <w:tcPr>
            <w:tcW w:type="dxa" w:w="3628"/>
            <w:vAlign w:val="top"/>
            <w:tcMar>
              <w:top w:w="80" w:type="dxa"/>
              <w:start w:w="100" w:type="dxa"/>
              <w:bottom w:w="80" w:type="dxa"/>
              <w:end w:w="100" w:type="dxa"/>
            </w:tcMar>
            <w:shd w:fill="F3F5F7"/>
          </w:tcPr>
          <w:p>
            <w:pPr>
              <w:spacing w:after="0"/>
            </w:pPr>
            <w:r>
              <w:rPr>
                <w:rFonts w:ascii="Aptos" w:hAnsi="Aptos"/>
                <w:color w:val="1F2937"/>
                <w:sz w:val="16"/>
              </w:rPr>
              <w:t>Transaktionsumsatz</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0,175 Mio. €</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1,642 Mio. €</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8,400 Mio. €</w:t>
            </w:r>
          </w:p>
        </w:tc>
      </w:tr>
      <w:tr>
        <w:trPr>
          <w:cantSplit/>
        </w:trPr>
        <w:tc>
          <w:tcPr>
            <w:tcW w:type="dxa" w:w="3628"/>
            <w:vAlign w:val="top"/>
            <w:tcMar>
              <w:top w:w="80" w:type="dxa"/>
              <w:start w:w="100" w:type="dxa"/>
              <w:bottom w:w="80" w:type="dxa"/>
              <w:end w:w="100" w:type="dxa"/>
            </w:tcMar>
          </w:tcPr>
          <w:p>
            <w:pPr>
              <w:spacing w:after="0"/>
            </w:pPr>
            <w:r>
              <w:rPr>
                <w:rFonts w:ascii="Aptos" w:hAnsi="Aptos"/>
                <w:color w:val="1F2937"/>
                <w:sz w:val="16"/>
              </w:rPr>
              <w:t>B2B-/Abo-/Partnerumsatz</w:t>
            </w:r>
          </w:p>
        </w:tc>
        <w:tc>
          <w:tcPr>
            <w:tcW w:type="dxa" w:w="1928"/>
            <w:vAlign w:val="top"/>
            <w:tcMar>
              <w:top w:w="80" w:type="dxa"/>
              <w:start w:w="100" w:type="dxa"/>
              <w:bottom w:w="80" w:type="dxa"/>
              <w:end w:w="100" w:type="dxa"/>
            </w:tcMar>
          </w:tcPr>
          <w:p>
            <w:pPr>
              <w:spacing w:after="0"/>
            </w:pPr>
            <w:r>
              <w:rPr>
                <w:rFonts w:ascii="Aptos" w:hAnsi="Aptos"/>
                <w:color w:val="1F2937"/>
                <w:sz w:val="16"/>
              </w:rPr>
              <w:t>0,035 Mio. €</w:t>
            </w:r>
          </w:p>
        </w:tc>
        <w:tc>
          <w:tcPr>
            <w:tcW w:type="dxa" w:w="1928"/>
            <w:vAlign w:val="top"/>
            <w:tcMar>
              <w:top w:w="80" w:type="dxa"/>
              <w:start w:w="100" w:type="dxa"/>
              <w:bottom w:w="80" w:type="dxa"/>
              <w:end w:w="100" w:type="dxa"/>
            </w:tcMar>
          </w:tcPr>
          <w:p>
            <w:pPr>
              <w:spacing w:after="0"/>
            </w:pPr>
            <w:r>
              <w:rPr>
                <w:rFonts w:ascii="Aptos" w:hAnsi="Aptos"/>
                <w:color w:val="1F2937"/>
                <w:sz w:val="16"/>
              </w:rPr>
              <w:t>0,324 Mio. €</w:t>
            </w:r>
          </w:p>
        </w:tc>
        <w:tc>
          <w:tcPr>
            <w:tcW w:type="dxa" w:w="1928"/>
            <w:vAlign w:val="top"/>
            <w:tcMar>
              <w:top w:w="80" w:type="dxa"/>
              <w:start w:w="100" w:type="dxa"/>
              <w:bottom w:w="80" w:type="dxa"/>
              <w:end w:w="100" w:type="dxa"/>
            </w:tcMar>
          </w:tcPr>
          <w:p>
            <w:pPr>
              <w:spacing w:after="0"/>
            </w:pPr>
            <w:r>
              <w:rPr>
                <w:rFonts w:ascii="Aptos" w:hAnsi="Aptos"/>
                <w:color w:val="1F2937"/>
                <w:sz w:val="16"/>
              </w:rPr>
              <w:t>1,250 Mio. €</w:t>
            </w:r>
          </w:p>
        </w:tc>
      </w:tr>
      <w:tr>
        <w:trPr>
          <w:cantSplit/>
        </w:trPr>
        <w:tc>
          <w:tcPr>
            <w:tcW w:type="dxa" w:w="3628"/>
            <w:vAlign w:val="top"/>
            <w:tcMar>
              <w:top w:w="80" w:type="dxa"/>
              <w:start w:w="100" w:type="dxa"/>
              <w:bottom w:w="80" w:type="dxa"/>
              <w:end w:w="100" w:type="dxa"/>
            </w:tcMar>
            <w:shd w:fill="F3F5F7"/>
          </w:tcPr>
          <w:p>
            <w:pPr>
              <w:spacing w:after="0"/>
            </w:pPr>
            <w:r>
              <w:rPr>
                <w:rFonts w:ascii="Aptos" w:hAnsi="Aptos"/>
                <w:color w:val="1F2937"/>
                <w:sz w:val="16"/>
              </w:rPr>
              <w:t>Gesamtumsatz</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0,210 Mio. €</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1,966 Mio. €</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9,650 Mio. €</w:t>
            </w:r>
          </w:p>
        </w:tc>
      </w:tr>
      <w:tr>
        <w:trPr>
          <w:cantSplit/>
        </w:trPr>
        <w:tc>
          <w:tcPr>
            <w:tcW w:type="dxa" w:w="3628"/>
            <w:vAlign w:val="top"/>
            <w:tcMar>
              <w:top w:w="80" w:type="dxa"/>
              <w:start w:w="100" w:type="dxa"/>
              <w:bottom w:w="80" w:type="dxa"/>
              <w:end w:w="100" w:type="dxa"/>
            </w:tcMar>
          </w:tcPr>
          <w:p>
            <w:pPr>
              <w:spacing w:after="0"/>
            </w:pPr>
            <w:r>
              <w:rPr>
                <w:rFonts w:ascii="Aptos" w:hAnsi="Aptos"/>
                <w:color w:val="1F2937"/>
                <w:sz w:val="16"/>
              </w:rPr>
              <w:t>Operative Kosten</w:t>
            </w:r>
          </w:p>
        </w:tc>
        <w:tc>
          <w:tcPr>
            <w:tcW w:type="dxa" w:w="1928"/>
            <w:vAlign w:val="top"/>
            <w:tcMar>
              <w:top w:w="80" w:type="dxa"/>
              <w:start w:w="100" w:type="dxa"/>
              <w:bottom w:w="80" w:type="dxa"/>
              <w:end w:w="100" w:type="dxa"/>
            </w:tcMar>
          </w:tcPr>
          <w:p>
            <w:pPr>
              <w:spacing w:after="0"/>
            </w:pPr>
            <w:r>
              <w:rPr>
                <w:rFonts w:ascii="Aptos" w:hAnsi="Aptos"/>
                <w:color w:val="1F2937"/>
                <w:sz w:val="16"/>
              </w:rPr>
              <w:t>1,25 Mio. €</w:t>
            </w:r>
          </w:p>
        </w:tc>
        <w:tc>
          <w:tcPr>
            <w:tcW w:type="dxa" w:w="1928"/>
            <w:vAlign w:val="top"/>
            <w:tcMar>
              <w:top w:w="80" w:type="dxa"/>
              <w:start w:w="100" w:type="dxa"/>
              <w:bottom w:w="80" w:type="dxa"/>
              <w:end w:w="100" w:type="dxa"/>
            </w:tcMar>
          </w:tcPr>
          <w:p>
            <w:pPr>
              <w:spacing w:after="0"/>
            </w:pPr>
            <w:r>
              <w:rPr>
                <w:rFonts w:ascii="Aptos" w:hAnsi="Aptos"/>
                <w:color w:val="1F2937"/>
                <w:sz w:val="16"/>
              </w:rPr>
              <w:t>3,05 Mio. €</w:t>
            </w:r>
          </w:p>
        </w:tc>
        <w:tc>
          <w:tcPr>
            <w:tcW w:type="dxa" w:w="1928"/>
            <w:vAlign w:val="top"/>
            <w:tcMar>
              <w:top w:w="80" w:type="dxa"/>
              <w:start w:w="100" w:type="dxa"/>
              <w:bottom w:w="80" w:type="dxa"/>
              <w:end w:w="100" w:type="dxa"/>
            </w:tcMar>
          </w:tcPr>
          <w:p>
            <w:pPr>
              <w:spacing w:after="0"/>
            </w:pPr>
            <w:r>
              <w:rPr>
                <w:rFonts w:ascii="Aptos" w:hAnsi="Aptos"/>
                <w:color w:val="1F2937"/>
                <w:sz w:val="16"/>
              </w:rPr>
              <w:t>8,05 Mio. €</w:t>
            </w:r>
          </w:p>
        </w:tc>
      </w:tr>
      <w:tr>
        <w:trPr>
          <w:cantSplit/>
        </w:trPr>
        <w:tc>
          <w:tcPr>
            <w:tcW w:type="dxa" w:w="3628"/>
            <w:vAlign w:val="top"/>
            <w:tcMar>
              <w:top w:w="80" w:type="dxa"/>
              <w:start w:w="100" w:type="dxa"/>
              <w:bottom w:w="80" w:type="dxa"/>
              <w:end w:w="100" w:type="dxa"/>
            </w:tcMar>
            <w:shd w:fill="F3F5F7"/>
          </w:tcPr>
          <w:p>
            <w:pPr>
              <w:spacing w:after="0"/>
            </w:pPr>
            <w:r>
              <w:rPr>
                <w:rFonts w:ascii="Aptos" w:hAnsi="Aptos"/>
                <w:color w:val="1F2937"/>
                <w:sz w:val="16"/>
              </w:rPr>
              <w:t>Operatives Ergebnis vor Steuern</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–1,04 Mio. €</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–1,08 Mio. €</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+1,60 Mio. €</w:t>
            </w:r>
          </w:p>
        </w:tc>
      </w:tr>
    </w:tbl>
    <w:p>
      <w:pPr>
        <w:spacing w:after="20"/>
      </w:pPr>
    </w:p>
    <w:p>
      <w:pPr>
        <w:spacing w:before="20" w:after="100"/>
      </w:pPr>
      <w:r>
        <w:rPr>
          <w:rFonts w:ascii="Aptos" w:hAnsi="Aptos"/>
          <w:i/>
          <w:color w:val="6B7280"/>
          <w:sz w:val="16"/>
        </w:rPr>
        <w:t>Rundungsdifferenzen möglich. Operative Kosten enthalten Team, PSP-/Fraud-Kosten, Cloud, Marketing, Support, Recht/Versicherung und Verwaltung.</w:t>
      </w:r>
    </w:p>
    <w:p>
      <w:pPr>
        <w:pStyle w:val="Heading2"/>
      </w:pPr>
      <w:r>
        <w:t>12.2 Sensitivität Jahr 3</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trPr>
        <w:tc>
          <w:tcPr>
            <w:tcW w:type="dxa" w:w="1928"/>
            <w:shd w:fill="17365D"/>
            <w:vAlign w:val="center"/>
            <w:tcMar>
              <w:top w:w="80" w:type="dxa"/>
              <w:start w:w="100" w:type="dxa"/>
              <w:bottom w:w="80" w:type="dxa"/>
              <w:end w:w="100" w:type="dxa"/>
            </w:tcMar>
          </w:tcPr>
          <w:p>
            <w:pPr>
              <w:jc w:val="left"/>
            </w:pPr>
            <w:r>
              <w:rPr>
                <w:rFonts w:ascii="Aptos" w:hAnsi="Aptos"/>
                <w:b/>
                <w:color w:val="FFFFFF"/>
                <w:sz w:val="16"/>
              </w:rPr>
              <w:t>Szenario</w:t>
            </w:r>
          </w:p>
        </w:tc>
        <w:tc>
          <w:tcPr>
            <w:tcW w:type="dxa" w:w="1814"/>
            <w:shd w:fill="17365D"/>
            <w:vAlign w:val="center"/>
            <w:tcMar>
              <w:top w:w="80" w:type="dxa"/>
              <w:start w:w="100" w:type="dxa"/>
              <w:bottom w:w="80" w:type="dxa"/>
              <w:end w:w="100" w:type="dxa"/>
            </w:tcMar>
          </w:tcPr>
          <w:p>
            <w:pPr>
              <w:jc w:val="left"/>
            </w:pPr>
            <w:r>
              <w:rPr>
                <w:rFonts w:ascii="Aptos" w:hAnsi="Aptos"/>
                <w:b/>
                <w:color w:val="FFFFFF"/>
                <w:sz w:val="16"/>
              </w:rPr>
              <w:t>Bezahlte Buchungen</w:t>
            </w:r>
          </w:p>
        </w:tc>
        <w:tc>
          <w:tcPr>
            <w:tcW w:type="dxa" w:w="1814"/>
            <w:shd w:fill="17365D"/>
            <w:vAlign w:val="center"/>
            <w:tcMar>
              <w:top w:w="80" w:type="dxa"/>
              <w:start w:w="100" w:type="dxa"/>
              <w:bottom w:w="80" w:type="dxa"/>
              <w:end w:w="100" w:type="dxa"/>
            </w:tcMar>
          </w:tcPr>
          <w:p>
            <w:pPr>
              <w:jc w:val="left"/>
            </w:pPr>
            <w:r>
              <w:rPr>
                <w:rFonts w:ascii="Aptos" w:hAnsi="Aptos"/>
                <w:b/>
                <w:color w:val="FFFFFF"/>
                <w:sz w:val="16"/>
              </w:rPr>
              <w:t>GMV</w:t>
            </w:r>
          </w:p>
        </w:tc>
        <w:tc>
          <w:tcPr>
            <w:tcW w:type="dxa" w:w="1928"/>
            <w:shd w:fill="17365D"/>
            <w:vAlign w:val="center"/>
            <w:tcMar>
              <w:top w:w="80" w:type="dxa"/>
              <w:start w:w="100" w:type="dxa"/>
              <w:bottom w:w="80" w:type="dxa"/>
              <w:end w:w="100" w:type="dxa"/>
            </w:tcMar>
          </w:tcPr>
          <w:p>
            <w:pPr>
              <w:jc w:val="left"/>
            </w:pPr>
            <w:r>
              <w:rPr>
                <w:rFonts w:ascii="Aptos" w:hAnsi="Aptos"/>
                <w:b/>
                <w:color w:val="FFFFFF"/>
                <w:sz w:val="16"/>
              </w:rPr>
              <w:t>Umsatz</w:t>
            </w:r>
          </w:p>
        </w:tc>
        <w:tc>
          <w:tcPr>
            <w:tcW w:type="dxa" w:w="2041"/>
            <w:shd w:fill="17365D"/>
            <w:vAlign w:val="center"/>
            <w:tcMar>
              <w:top w:w="80" w:type="dxa"/>
              <w:start w:w="100" w:type="dxa"/>
              <w:bottom w:w="80" w:type="dxa"/>
              <w:end w:w="100" w:type="dxa"/>
            </w:tcMar>
          </w:tcPr>
          <w:p>
            <w:pPr>
              <w:jc w:val="left"/>
            </w:pPr>
            <w:r>
              <w:rPr>
                <w:rFonts w:ascii="Aptos" w:hAnsi="Aptos"/>
                <w:b/>
                <w:color w:val="FFFFFF"/>
                <w:sz w:val="16"/>
              </w:rPr>
              <w:t>Operatives Ergebnis</w:t>
            </w:r>
          </w:p>
        </w:tc>
      </w:tr>
      <w:tr>
        <w:trPr>
          <w:cantSplit/>
        </w:trPr>
        <w:tc>
          <w:tcPr>
            <w:tcW w:type="dxa" w:w="1928"/>
            <w:vAlign w:val="top"/>
            <w:tcMar>
              <w:top w:w="80" w:type="dxa"/>
              <w:start w:w="100" w:type="dxa"/>
              <w:bottom w:w="80" w:type="dxa"/>
              <w:end w:w="100" w:type="dxa"/>
            </w:tcMar>
          </w:tcPr>
          <w:p>
            <w:pPr>
              <w:spacing w:after="0"/>
            </w:pPr>
            <w:r>
              <w:rPr>
                <w:rFonts w:ascii="Aptos" w:hAnsi="Aptos"/>
                <w:color w:val="1F2937"/>
                <w:sz w:val="16"/>
              </w:rPr>
              <w:t>Downside</w:t>
            </w:r>
          </w:p>
        </w:tc>
        <w:tc>
          <w:tcPr>
            <w:tcW w:type="dxa" w:w="1814"/>
            <w:vAlign w:val="top"/>
            <w:tcMar>
              <w:top w:w="80" w:type="dxa"/>
              <w:start w:w="100" w:type="dxa"/>
              <w:bottom w:w="80" w:type="dxa"/>
              <w:end w:w="100" w:type="dxa"/>
            </w:tcMar>
          </w:tcPr>
          <w:p>
            <w:pPr>
              <w:spacing w:after="0"/>
            </w:pPr>
            <w:r>
              <w:rPr>
                <w:rFonts w:ascii="Aptos" w:hAnsi="Aptos"/>
                <w:color w:val="1F2937"/>
                <w:sz w:val="16"/>
              </w:rPr>
              <w:t>0,8 Mio.</w:t>
            </w:r>
          </w:p>
        </w:tc>
        <w:tc>
          <w:tcPr>
            <w:tcW w:type="dxa" w:w="1814"/>
            <w:vAlign w:val="top"/>
            <w:tcMar>
              <w:top w:w="80" w:type="dxa"/>
              <w:start w:w="100" w:type="dxa"/>
              <w:bottom w:w="80" w:type="dxa"/>
              <w:end w:w="100" w:type="dxa"/>
            </w:tcMar>
          </w:tcPr>
          <w:p>
            <w:pPr>
              <w:spacing w:after="0"/>
            </w:pPr>
            <w:r>
              <w:rPr>
                <w:rFonts w:ascii="Aptos" w:hAnsi="Aptos"/>
                <w:color w:val="1F2937"/>
                <w:sz w:val="16"/>
              </w:rPr>
              <w:t>16 Mio. €</w:t>
            </w:r>
          </w:p>
        </w:tc>
        <w:tc>
          <w:tcPr>
            <w:tcW w:type="dxa" w:w="1928"/>
            <w:vAlign w:val="top"/>
            <w:tcMar>
              <w:top w:w="80" w:type="dxa"/>
              <w:start w:w="100" w:type="dxa"/>
              <w:bottom w:w="80" w:type="dxa"/>
              <w:end w:w="100" w:type="dxa"/>
            </w:tcMar>
          </w:tcPr>
          <w:p>
            <w:pPr>
              <w:spacing w:after="0"/>
            </w:pPr>
            <w:r>
              <w:rPr>
                <w:rFonts w:ascii="Aptos" w:hAnsi="Aptos"/>
                <w:color w:val="1F2937"/>
                <w:sz w:val="16"/>
              </w:rPr>
              <w:t>ca. 3,2 Mio. €</w:t>
            </w:r>
          </w:p>
        </w:tc>
        <w:tc>
          <w:tcPr>
            <w:tcW w:type="dxa" w:w="2041"/>
            <w:vAlign w:val="top"/>
            <w:tcMar>
              <w:top w:w="80" w:type="dxa"/>
              <w:start w:w="100" w:type="dxa"/>
              <w:bottom w:w="80" w:type="dxa"/>
              <w:end w:w="100" w:type="dxa"/>
            </w:tcMar>
          </w:tcPr>
          <w:p>
            <w:pPr>
              <w:spacing w:after="0"/>
            </w:pPr>
            <w:r>
              <w:rPr>
                <w:rFonts w:ascii="Aptos" w:hAnsi="Aptos"/>
                <w:color w:val="1F2937"/>
                <w:sz w:val="16"/>
              </w:rPr>
              <w:t>deutlich negativ</w:t>
            </w:r>
          </w:p>
        </w:tc>
      </w:tr>
      <w:tr>
        <w:trPr>
          <w:cantSplit/>
        </w:trPr>
        <w:tc>
          <w:tcPr>
            <w:tcW w:type="dxa" w:w="1928"/>
            <w:vAlign w:val="top"/>
            <w:tcMar>
              <w:top w:w="80" w:type="dxa"/>
              <w:start w:w="100" w:type="dxa"/>
              <w:bottom w:w="80" w:type="dxa"/>
              <w:end w:w="100" w:type="dxa"/>
            </w:tcMar>
            <w:shd w:fill="F3F5F7"/>
          </w:tcPr>
          <w:p>
            <w:pPr>
              <w:spacing w:after="0"/>
            </w:pPr>
            <w:r>
              <w:rPr>
                <w:rFonts w:ascii="Aptos" w:hAnsi="Aptos"/>
                <w:color w:val="1F2937"/>
                <w:sz w:val="16"/>
              </w:rPr>
              <w:t>Basis</w:t>
            </w:r>
          </w:p>
        </w:tc>
        <w:tc>
          <w:tcPr>
            <w:tcW w:type="dxa" w:w="1814"/>
            <w:vAlign w:val="top"/>
            <w:tcMar>
              <w:top w:w="80" w:type="dxa"/>
              <w:start w:w="100" w:type="dxa"/>
              <w:bottom w:w="80" w:type="dxa"/>
              <w:end w:w="100" w:type="dxa"/>
            </w:tcMar>
            <w:shd w:fill="F3F5F7"/>
          </w:tcPr>
          <w:p>
            <w:pPr>
              <w:spacing w:after="0"/>
            </w:pPr>
            <w:r>
              <w:rPr>
                <w:rFonts w:ascii="Aptos" w:hAnsi="Aptos"/>
                <w:color w:val="1F2937"/>
                <w:sz w:val="16"/>
              </w:rPr>
              <w:t>2,4 Mio.</w:t>
            </w:r>
          </w:p>
        </w:tc>
        <w:tc>
          <w:tcPr>
            <w:tcW w:type="dxa" w:w="1814"/>
            <w:vAlign w:val="top"/>
            <w:tcMar>
              <w:top w:w="80" w:type="dxa"/>
              <w:start w:w="100" w:type="dxa"/>
              <w:bottom w:w="80" w:type="dxa"/>
              <w:end w:w="100" w:type="dxa"/>
            </w:tcMar>
            <w:shd w:fill="F3F5F7"/>
          </w:tcPr>
          <w:p>
            <w:pPr>
              <w:spacing w:after="0"/>
            </w:pPr>
            <w:r>
              <w:rPr>
                <w:rFonts w:ascii="Aptos" w:hAnsi="Aptos"/>
                <w:color w:val="1F2937"/>
                <w:sz w:val="16"/>
              </w:rPr>
              <w:t>48 Mio. €</w:t>
            </w:r>
          </w:p>
        </w:tc>
        <w:tc>
          <w:tcPr>
            <w:tcW w:type="dxa" w:w="1928"/>
            <w:vAlign w:val="top"/>
            <w:tcMar>
              <w:top w:w="80" w:type="dxa"/>
              <w:start w:w="100" w:type="dxa"/>
              <w:bottom w:w="80" w:type="dxa"/>
              <w:end w:w="100" w:type="dxa"/>
            </w:tcMar>
            <w:shd w:fill="F3F5F7"/>
          </w:tcPr>
          <w:p>
            <w:pPr>
              <w:spacing w:after="0"/>
            </w:pPr>
            <w:r>
              <w:rPr>
                <w:rFonts w:ascii="Aptos" w:hAnsi="Aptos"/>
                <w:color w:val="1F2937"/>
                <w:sz w:val="16"/>
              </w:rPr>
              <w:t>ca. 9,65 Mio. €</w:t>
            </w:r>
          </w:p>
        </w:tc>
        <w:tc>
          <w:tcPr>
            <w:tcW w:type="dxa" w:w="2041"/>
            <w:vAlign w:val="top"/>
            <w:tcMar>
              <w:top w:w="80" w:type="dxa"/>
              <w:start w:w="100" w:type="dxa"/>
              <w:bottom w:w="80" w:type="dxa"/>
              <w:end w:w="100" w:type="dxa"/>
            </w:tcMar>
            <w:shd w:fill="F3F5F7"/>
          </w:tcPr>
          <w:p>
            <w:pPr>
              <w:spacing w:after="0"/>
            </w:pPr>
            <w:r>
              <w:rPr>
                <w:rFonts w:ascii="Aptos" w:hAnsi="Aptos"/>
                <w:color w:val="1F2937"/>
                <w:sz w:val="16"/>
              </w:rPr>
              <w:t>ca. +1,6 Mio. €</w:t>
            </w:r>
          </w:p>
        </w:tc>
      </w:tr>
      <w:tr>
        <w:trPr>
          <w:cantSplit/>
        </w:trPr>
        <w:tc>
          <w:tcPr>
            <w:tcW w:type="dxa" w:w="1928"/>
            <w:vAlign w:val="top"/>
            <w:tcMar>
              <w:top w:w="80" w:type="dxa"/>
              <w:start w:w="100" w:type="dxa"/>
              <w:bottom w:w="80" w:type="dxa"/>
              <w:end w:w="100" w:type="dxa"/>
            </w:tcMar>
          </w:tcPr>
          <w:p>
            <w:pPr>
              <w:spacing w:after="0"/>
            </w:pPr>
            <w:r>
              <w:rPr>
                <w:rFonts w:ascii="Aptos" w:hAnsi="Aptos"/>
                <w:color w:val="1F2937"/>
                <w:sz w:val="16"/>
              </w:rPr>
              <w:t>Upside</w:t>
            </w:r>
          </w:p>
        </w:tc>
        <w:tc>
          <w:tcPr>
            <w:tcW w:type="dxa" w:w="1814"/>
            <w:vAlign w:val="top"/>
            <w:tcMar>
              <w:top w:w="80" w:type="dxa"/>
              <w:start w:w="100" w:type="dxa"/>
              <w:bottom w:w="80" w:type="dxa"/>
              <w:end w:w="100" w:type="dxa"/>
            </w:tcMar>
          </w:tcPr>
          <w:p>
            <w:pPr>
              <w:spacing w:after="0"/>
            </w:pPr>
            <w:r>
              <w:rPr>
                <w:rFonts w:ascii="Aptos" w:hAnsi="Aptos"/>
                <w:color w:val="1F2937"/>
                <w:sz w:val="16"/>
              </w:rPr>
              <w:t>4,0 Mio.</w:t>
            </w:r>
          </w:p>
        </w:tc>
        <w:tc>
          <w:tcPr>
            <w:tcW w:type="dxa" w:w="1814"/>
            <w:vAlign w:val="top"/>
            <w:tcMar>
              <w:top w:w="80" w:type="dxa"/>
              <w:start w:w="100" w:type="dxa"/>
              <w:bottom w:w="80" w:type="dxa"/>
              <w:end w:w="100" w:type="dxa"/>
            </w:tcMar>
          </w:tcPr>
          <w:p>
            <w:pPr>
              <w:spacing w:after="0"/>
            </w:pPr>
            <w:r>
              <w:rPr>
                <w:rFonts w:ascii="Aptos" w:hAnsi="Aptos"/>
                <w:color w:val="1F2937"/>
                <w:sz w:val="16"/>
              </w:rPr>
              <w:t>80 Mio. €</w:t>
            </w:r>
          </w:p>
        </w:tc>
        <w:tc>
          <w:tcPr>
            <w:tcW w:type="dxa" w:w="1928"/>
            <w:vAlign w:val="top"/>
            <w:tcMar>
              <w:top w:w="80" w:type="dxa"/>
              <w:start w:w="100" w:type="dxa"/>
              <w:bottom w:w="80" w:type="dxa"/>
              <w:end w:w="100" w:type="dxa"/>
            </w:tcMar>
          </w:tcPr>
          <w:p>
            <w:pPr>
              <w:spacing w:after="0"/>
            </w:pPr>
            <w:r>
              <w:rPr>
                <w:rFonts w:ascii="Aptos" w:hAnsi="Aptos"/>
                <w:color w:val="1F2937"/>
                <w:sz w:val="16"/>
              </w:rPr>
              <w:t>ca. 15,5 Mio. €</w:t>
            </w:r>
          </w:p>
        </w:tc>
        <w:tc>
          <w:tcPr>
            <w:tcW w:type="dxa" w:w="2041"/>
            <w:vAlign w:val="top"/>
            <w:tcMar>
              <w:top w:w="80" w:type="dxa"/>
              <w:start w:w="100" w:type="dxa"/>
              <w:bottom w:w="80" w:type="dxa"/>
              <w:end w:w="100" w:type="dxa"/>
            </w:tcMar>
          </w:tcPr>
          <w:p>
            <w:pPr>
              <w:spacing w:after="0"/>
            </w:pPr>
            <w:r>
              <w:rPr>
                <w:rFonts w:ascii="Aptos" w:hAnsi="Aptos"/>
                <w:color w:val="1F2937"/>
                <w:sz w:val="16"/>
              </w:rPr>
              <w:t>mehrere Mio. € positiv</w:t>
            </w:r>
          </w:p>
        </w:tc>
      </w:tr>
    </w:tbl>
    <w:p>
      <w:pPr>
        <w:spacing w:after="20"/>
      </w:pPr>
    </w:p>
    <w:p>
      <w:r>
        <w:t>Die wichtigste finanzielle Wahrheit: Eine hohe Zahl registrierter Nutzer reicht nicht. Der Weg zu einem Millionengewinn verlangt Millionen erfolgreich abgeschlossene Buchungen oder substanzielle B2B-SaaS-Umsätze. Deshalb müssen Liquidität und Wiederbuchung vor Reichweite optimiert werden.</w:t>
      </w:r>
    </w:p>
    <w:p>
      <w:pPr>
        <w:pStyle w:val="Heading1"/>
      </w:pPr>
      <w:r>
        <w:t>13. Kapitalbedarf und Meilensteine</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1984"/>
            <w:shd w:fill="17365D"/>
            <w:vAlign w:val="center"/>
            <w:tcMar>
              <w:top w:w="80" w:type="dxa"/>
              <w:start w:w="100" w:type="dxa"/>
              <w:bottom w:w="80" w:type="dxa"/>
              <w:end w:w="100" w:type="dxa"/>
            </w:tcMar>
          </w:tcPr>
          <w:p>
            <w:pPr>
              <w:jc w:val="left"/>
            </w:pPr>
            <w:r>
              <w:rPr>
                <w:rFonts w:ascii="Aptos" w:hAnsi="Aptos"/>
                <w:b/>
                <w:color w:val="FFFFFF"/>
                <w:sz w:val="16"/>
              </w:rPr>
              <w:t>Phase</w:t>
            </w:r>
          </w:p>
        </w:tc>
        <w:tc>
          <w:tcPr>
            <w:tcW w:type="dxa" w:w="1701"/>
            <w:shd w:fill="17365D"/>
            <w:vAlign w:val="center"/>
            <w:tcMar>
              <w:top w:w="80" w:type="dxa"/>
              <w:start w:w="100" w:type="dxa"/>
              <w:bottom w:w="80" w:type="dxa"/>
              <w:end w:w="100" w:type="dxa"/>
            </w:tcMar>
          </w:tcPr>
          <w:p>
            <w:pPr>
              <w:jc w:val="left"/>
            </w:pPr>
            <w:r>
              <w:rPr>
                <w:rFonts w:ascii="Aptos" w:hAnsi="Aptos"/>
                <w:b/>
                <w:color w:val="FFFFFF"/>
                <w:sz w:val="16"/>
              </w:rPr>
              <w:t>Zeitraum</w:t>
            </w:r>
          </w:p>
        </w:tc>
        <w:tc>
          <w:tcPr>
            <w:tcW w:type="dxa" w:w="2041"/>
            <w:shd w:fill="17365D"/>
            <w:vAlign w:val="center"/>
            <w:tcMar>
              <w:top w:w="80" w:type="dxa"/>
              <w:start w:w="100" w:type="dxa"/>
              <w:bottom w:w="80" w:type="dxa"/>
              <w:end w:w="100" w:type="dxa"/>
            </w:tcMar>
          </w:tcPr>
          <w:p>
            <w:pPr>
              <w:jc w:val="left"/>
            </w:pPr>
            <w:r>
              <w:rPr>
                <w:rFonts w:ascii="Aptos" w:hAnsi="Aptos"/>
                <w:b/>
                <w:color w:val="FFFFFF"/>
                <w:sz w:val="16"/>
              </w:rPr>
              <w:t>Planungsbudget</w:t>
            </w:r>
          </w:p>
        </w:tc>
        <w:tc>
          <w:tcPr>
            <w:tcW w:type="dxa" w:w="3969"/>
            <w:shd w:fill="17365D"/>
            <w:vAlign w:val="center"/>
            <w:tcMar>
              <w:top w:w="80" w:type="dxa"/>
              <w:start w:w="100" w:type="dxa"/>
              <w:bottom w:w="80" w:type="dxa"/>
              <w:end w:w="100" w:type="dxa"/>
            </w:tcMar>
          </w:tcPr>
          <w:p>
            <w:pPr>
              <w:jc w:val="left"/>
            </w:pPr>
            <w:r>
              <w:rPr>
                <w:rFonts w:ascii="Aptos" w:hAnsi="Aptos"/>
                <w:b/>
                <w:color w:val="FFFFFF"/>
                <w:sz w:val="16"/>
              </w:rPr>
              <w:t>Ergebnis/Gate</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6"/>
              </w:rPr>
              <w:t>Discovery &amp; Legal Design</w:t>
            </w:r>
          </w:p>
        </w:tc>
        <w:tc>
          <w:tcPr>
            <w:tcW w:type="dxa" w:w="1701"/>
            <w:vAlign w:val="top"/>
            <w:tcMar>
              <w:top w:w="80" w:type="dxa"/>
              <w:start w:w="100" w:type="dxa"/>
              <w:bottom w:w="80" w:type="dxa"/>
              <w:end w:w="100" w:type="dxa"/>
            </w:tcMar>
          </w:tcPr>
          <w:p>
            <w:pPr>
              <w:spacing w:after="0"/>
            </w:pPr>
            <w:r>
              <w:rPr>
                <w:rFonts w:ascii="Aptos" w:hAnsi="Aptos"/>
                <w:color w:val="1F2937"/>
                <w:sz w:val="16"/>
              </w:rPr>
              <w:t>0–2 Monate</w:t>
            </w:r>
          </w:p>
        </w:tc>
        <w:tc>
          <w:tcPr>
            <w:tcW w:type="dxa" w:w="2041"/>
            <w:vAlign w:val="top"/>
            <w:tcMar>
              <w:top w:w="80" w:type="dxa"/>
              <w:start w:w="100" w:type="dxa"/>
              <w:bottom w:w="80" w:type="dxa"/>
              <w:end w:w="100" w:type="dxa"/>
            </w:tcMar>
          </w:tcPr>
          <w:p>
            <w:pPr>
              <w:spacing w:after="0"/>
            </w:pPr>
            <w:r>
              <w:rPr>
                <w:rFonts w:ascii="Aptos" w:hAnsi="Aptos"/>
                <w:color w:val="1F2937"/>
                <w:sz w:val="16"/>
              </w:rPr>
              <w:t>40.000–90.000 €</w:t>
            </w:r>
          </w:p>
        </w:tc>
        <w:tc>
          <w:tcPr>
            <w:tcW w:type="dxa" w:w="3969"/>
            <w:vAlign w:val="top"/>
            <w:tcMar>
              <w:top w:w="80" w:type="dxa"/>
              <w:start w:w="100" w:type="dxa"/>
              <w:bottom w:w="80" w:type="dxa"/>
              <w:end w:w="100" w:type="dxa"/>
            </w:tcMar>
          </w:tcPr>
          <w:p>
            <w:pPr>
              <w:spacing w:after="0"/>
            </w:pPr>
            <w:r>
              <w:rPr>
                <w:rFonts w:ascii="Aptos" w:hAnsi="Aptos"/>
                <w:color w:val="1F2937"/>
                <w:sz w:val="16"/>
              </w:rPr>
              <w:t>Vertrags-/Zahlungs-/Steuer-/Datenarchitektur freigegeben.</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6"/>
              </w:rPr>
              <w:t>MVP Build</w:t>
            </w:r>
          </w:p>
        </w:tc>
        <w:tc>
          <w:tcPr>
            <w:tcW w:type="dxa" w:w="1701"/>
            <w:vAlign w:val="top"/>
            <w:tcMar>
              <w:top w:w="80" w:type="dxa"/>
              <w:start w:w="100" w:type="dxa"/>
              <w:bottom w:w="80" w:type="dxa"/>
              <w:end w:w="100" w:type="dxa"/>
            </w:tcMar>
            <w:shd w:fill="F3F5F7"/>
          </w:tcPr>
          <w:p>
            <w:pPr>
              <w:spacing w:after="0"/>
            </w:pPr>
            <w:r>
              <w:rPr>
                <w:rFonts w:ascii="Aptos" w:hAnsi="Aptos"/>
                <w:color w:val="1F2937"/>
                <w:sz w:val="16"/>
              </w:rPr>
              <w:t>3–6 Monate</w:t>
            </w:r>
          </w:p>
        </w:tc>
        <w:tc>
          <w:tcPr>
            <w:tcW w:type="dxa" w:w="2041"/>
            <w:vAlign w:val="top"/>
            <w:tcMar>
              <w:top w:w="80" w:type="dxa"/>
              <w:start w:w="100" w:type="dxa"/>
              <w:bottom w:w="80" w:type="dxa"/>
              <w:end w:w="100" w:type="dxa"/>
            </w:tcMar>
            <w:shd w:fill="F3F5F7"/>
          </w:tcPr>
          <w:p>
            <w:pPr>
              <w:spacing w:after="0"/>
            </w:pPr>
            <w:r>
              <w:rPr>
                <w:rFonts w:ascii="Aptos" w:hAnsi="Aptos"/>
                <w:color w:val="1F2937"/>
                <w:sz w:val="16"/>
              </w:rPr>
              <w:t>180.000–350.000 €</w:t>
            </w:r>
          </w:p>
        </w:tc>
        <w:tc>
          <w:tcPr>
            <w:tcW w:type="dxa" w:w="3969"/>
            <w:vAlign w:val="top"/>
            <w:tcMar>
              <w:top w:w="80" w:type="dxa"/>
              <w:start w:w="100" w:type="dxa"/>
              <w:bottom w:w="80" w:type="dxa"/>
              <w:end w:w="100" w:type="dxa"/>
            </w:tcMar>
            <w:shd w:fill="F3F5F7"/>
          </w:tcPr>
          <w:p>
            <w:pPr>
              <w:spacing w:after="0"/>
            </w:pPr>
            <w:r>
              <w:rPr>
                <w:rFonts w:ascii="Aptos" w:hAnsi="Aptos"/>
                <w:color w:val="1F2937"/>
                <w:sz w:val="16"/>
              </w:rPr>
              <w:t>Produktionsfähige Beta, Backoffice, PSP-Test, Sicherheitsbasis.</w:t>
            </w:r>
          </w:p>
        </w:tc>
      </w:tr>
      <w:tr>
        <w:trPr>
          <w:cantSplit/>
        </w:trPr>
        <w:tc>
          <w:tcPr>
            <w:tcW w:type="dxa" w:w="1984"/>
            <w:vAlign w:val="top"/>
            <w:tcMar>
              <w:top w:w="80" w:type="dxa"/>
              <w:start w:w="100" w:type="dxa"/>
              <w:bottom w:w="80" w:type="dxa"/>
              <w:end w:w="100" w:type="dxa"/>
            </w:tcMar>
          </w:tcPr>
          <w:p>
            <w:pPr>
              <w:spacing w:after="0"/>
            </w:pPr>
            <w:r>
              <w:rPr>
                <w:rFonts w:ascii="Aptos" w:hAnsi="Aptos"/>
                <w:color w:val="1F2937"/>
                <w:sz w:val="16"/>
              </w:rPr>
              <w:t>Frankfurt Pilot</w:t>
            </w:r>
          </w:p>
        </w:tc>
        <w:tc>
          <w:tcPr>
            <w:tcW w:type="dxa" w:w="1701"/>
            <w:vAlign w:val="top"/>
            <w:tcMar>
              <w:top w:w="80" w:type="dxa"/>
              <w:start w:w="100" w:type="dxa"/>
              <w:bottom w:w="80" w:type="dxa"/>
              <w:end w:w="100" w:type="dxa"/>
            </w:tcMar>
          </w:tcPr>
          <w:p>
            <w:pPr>
              <w:spacing w:after="0"/>
            </w:pPr>
            <w:r>
              <w:rPr>
                <w:rFonts w:ascii="Aptos" w:hAnsi="Aptos"/>
                <w:color w:val="1F2937"/>
                <w:sz w:val="16"/>
              </w:rPr>
              <w:t>7–12 Monate</w:t>
            </w:r>
          </w:p>
        </w:tc>
        <w:tc>
          <w:tcPr>
            <w:tcW w:type="dxa" w:w="2041"/>
            <w:vAlign w:val="top"/>
            <w:tcMar>
              <w:top w:w="80" w:type="dxa"/>
              <w:start w:w="100" w:type="dxa"/>
              <w:bottom w:w="80" w:type="dxa"/>
              <w:end w:w="100" w:type="dxa"/>
            </w:tcMar>
          </w:tcPr>
          <w:p>
            <w:pPr>
              <w:spacing w:after="0"/>
            </w:pPr>
            <w:r>
              <w:rPr>
                <w:rFonts w:ascii="Aptos" w:hAnsi="Aptos"/>
                <w:color w:val="1F2937"/>
                <w:sz w:val="16"/>
              </w:rPr>
              <w:t>350.000–700.000 €</w:t>
            </w:r>
          </w:p>
        </w:tc>
        <w:tc>
          <w:tcPr>
            <w:tcW w:type="dxa" w:w="3969"/>
            <w:vAlign w:val="top"/>
            <w:tcMar>
              <w:top w:w="80" w:type="dxa"/>
              <w:start w:w="100" w:type="dxa"/>
              <w:bottom w:w="80" w:type="dxa"/>
              <w:end w:w="100" w:type="dxa"/>
            </w:tcMar>
          </w:tcPr>
          <w:p>
            <w:pPr>
              <w:spacing w:after="0"/>
            </w:pPr>
            <w:r>
              <w:rPr>
                <w:rFonts w:ascii="Aptos" w:hAnsi="Aptos"/>
                <w:color w:val="1F2937"/>
                <w:sz w:val="16"/>
              </w:rPr>
              <w:t>Mindestens 500 aktive Plätze, Qualitäts- und Wiederbuchungsnachweis.</w:t>
            </w:r>
          </w:p>
        </w:tc>
      </w:tr>
      <w:tr>
        <w:trPr>
          <w:cantSplit/>
        </w:trPr>
        <w:tc>
          <w:tcPr>
            <w:tcW w:type="dxa" w:w="1984"/>
            <w:vAlign w:val="top"/>
            <w:tcMar>
              <w:top w:w="80" w:type="dxa"/>
              <w:start w:w="100" w:type="dxa"/>
              <w:bottom w:w="80" w:type="dxa"/>
              <w:end w:w="100" w:type="dxa"/>
            </w:tcMar>
            <w:shd w:fill="F3F5F7"/>
          </w:tcPr>
          <w:p>
            <w:pPr>
              <w:spacing w:after="0"/>
            </w:pPr>
            <w:r>
              <w:rPr>
                <w:rFonts w:ascii="Aptos" w:hAnsi="Aptos"/>
                <w:color w:val="1F2937"/>
                <w:sz w:val="16"/>
              </w:rPr>
              <w:t>Multi-City Scale</w:t>
            </w:r>
          </w:p>
        </w:tc>
        <w:tc>
          <w:tcPr>
            <w:tcW w:type="dxa" w:w="1701"/>
            <w:vAlign w:val="top"/>
            <w:tcMar>
              <w:top w:w="80" w:type="dxa"/>
              <w:start w:w="100" w:type="dxa"/>
              <w:bottom w:w="80" w:type="dxa"/>
              <w:end w:w="100" w:type="dxa"/>
            </w:tcMar>
            <w:shd w:fill="F3F5F7"/>
          </w:tcPr>
          <w:p>
            <w:pPr>
              <w:spacing w:after="0"/>
            </w:pPr>
            <w:r>
              <w:rPr>
                <w:rFonts w:ascii="Aptos" w:hAnsi="Aptos"/>
                <w:color w:val="1F2937"/>
                <w:sz w:val="16"/>
              </w:rPr>
              <w:t>Jahr 2</w:t>
            </w:r>
          </w:p>
        </w:tc>
        <w:tc>
          <w:tcPr>
            <w:tcW w:type="dxa" w:w="2041"/>
            <w:vAlign w:val="top"/>
            <w:tcMar>
              <w:top w:w="80" w:type="dxa"/>
              <w:start w:w="100" w:type="dxa"/>
              <w:bottom w:w="80" w:type="dxa"/>
              <w:end w:w="100" w:type="dxa"/>
            </w:tcMar>
            <w:shd w:fill="F3F5F7"/>
          </w:tcPr>
          <w:p>
            <w:pPr>
              <w:spacing w:after="0"/>
            </w:pPr>
            <w:r>
              <w:rPr>
                <w:rFonts w:ascii="Aptos" w:hAnsi="Aptos"/>
                <w:color w:val="1F2937"/>
                <w:sz w:val="16"/>
              </w:rPr>
              <w:t>1,0–2,5 Mio. €</w:t>
            </w:r>
          </w:p>
        </w:tc>
        <w:tc>
          <w:tcPr>
            <w:tcW w:type="dxa" w:w="3969"/>
            <w:vAlign w:val="top"/>
            <w:tcMar>
              <w:top w:w="80" w:type="dxa"/>
              <w:start w:w="100" w:type="dxa"/>
              <w:bottom w:w="80" w:type="dxa"/>
              <w:end w:w="100" w:type="dxa"/>
            </w:tcMar>
            <w:shd w:fill="F3F5F7"/>
          </w:tcPr>
          <w:p>
            <w:pPr>
              <w:spacing w:after="0"/>
            </w:pPr>
            <w:r>
              <w:rPr>
                <w:rFonts w:ascii="Aptos" w:hAnsi="Aptos"/>
                <w:color w:val="1F2937"/>
                <w:sz w:val="16"/>
              </w:rPr>
              <w:t>Standardisierte City-Launch-Maschine und B2B-Vertrieb.</w:t>
            </w:r>
          </w:p>
        </w:tc>
      </w:tr>
    </w:tbl>
    <w:p>
      <w:pPr>
        <w:spacing w:after="20"/>
      </w:pPr>
    </w:p>
    <w:p>
      <w:pPr>
        <w:spacing w:before="20" w:after="100"/>
      </w:pPr>
      <w:r>
        <w:rPr>
          <w:rFonts w:ascii="Aptos" w:hAnsi="Aptos"/>
          <w:i/>
          <w:color w:val="6B7280"/>
          <w:sz w:val="16"/>
        </w:rPr>
        <w:t>Budgetspannen sind Planungsannahmen und hängen von Teamaufbau, Inhouse-/Agenturanteil, Integrationen und regulatorischem Aufwand ab.</w:t>
      </w:r>
    </w:p>
    <w:p>
      <w:pPr>
        <w:pStyle w:val="Heading1"/>
      </w:pPr>
      <w:r>
        <w:t>14. KPI-System</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2268"/>
            <w:shd w:fill="17365D"/>
            <w:vAlign w:val="center"/>
            <w:tcMar>
              <w:top w:w="80" w:type="dxa"/>
              <w:start w:w="100" w:type="dxa"/>
              <w:bottom w:w="80" w:type="dxa"/>
              <w:end w:w="100" w:type="dxa"/>
            </w:tcMar>
          </w:tcPr>
          <w:p>
            <w:pPr>
              <w:jc w:val="left"/>
            </w:pPr>
            <w:r>
              <w:rPr>
                <w:rFonts w:ascii="Aptos" w:hAnsi="Aptos"/>
                <w:b/>
                <w:color w:val="FFFFFF"/>
                <w:sz w:val="15"/>
              </w:rPr>
              <w:t>KPI</w:t>
            </w:r>
          </w:p>
        </w:tc>
        <w:tc>
          <w:tcPr>
            <w:tcW w:type="dxa" w:w="4195"/>
            <w:shd w:fill="17365D"/>
            <w:vAlign w:val="center"/>
            <w:tcMar>
              <w:top w:w="80" w:type="dxa"/>
              <w:start w:w="100" w:type="dxa"/>
              <w:bottom w:w="80" w:type="dxa"/>
              <w:end w:w="100" w:type="dxa"/>
            </w:tcMar>
          </w:tcPr>
          <w:p>
            <w:pPr>
              <w:jc w:val="left"/>
            </w:pPr>
            <w:r>
              <w:rPr>
                <w:rFonts w:ascii="Aptos" w:hAnsi="Aptos"/>
                <w:b/>
                <w:color w:val="FFFFFF"/>
                <w:sz w:val="15"/>
              </w:rPr>
              <w:t>Definition</w:t>
            </w:r>
          </w:p>
        </w:tc>
        <w:tc>
          <w:tcPr>
            <w:tcW w:type="dxa" w:w="3175"/>
            <w:shd w:fill="17365D"/>
            <w:vAlign w:val="center"/>
            <w:tcMar>
              <w:top w:w="80" w:type="dxa"/>
              <w:start w:w="100" w:type="dxa"/>
              <w:bottom w:w="80" w:type="dxa"/>
              <w:end w:w="100" w:type="dxa"/>
            </w:tcMar>
          </w:tcPr>
          <w:p>
            <w:pPr>
              <w:jc w:val="left"/>
            </w:pPr>
            <w:r>
              <w:rPr>
                <w:rFonts w:ascii="Aptos" w:hAnsi="Aptos"/>
                <w:b/>
                <w:color w:val="FFFFFF"/>
                <w:sz w:val="15"/>
              </w:rPr>
              <w:t>Pilot-Zielrichtung</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Aktive Angebotsdichte</w:t>
            </w:r>
          </w:p>
        </w:tc>
        <w:tc>
          <w:tcPr>
            <w:tcW w:type="dxa" w:w="4195"/>
            <w:vAlign w:val="top"/>
            <w:tcMar>
              <w:top w:w="80" w:type="dxa"/>
              <w:start w:w="100" w:type="dxa"/>
              <w:bottom w:w="80" w:type="dxa"/>
              <w:end w:w="100" w:type="dxa"/>
            </w:tcMar>
          </w:tcPr>
          <w:p>
            <w:pPr>
              <w:spacing w:after="0"/>
            </w:pPr>
            <w:r>
              <w:rPr>
                <w:rFonts w:ascii="Aptos" w:hAnsi="Aptos"/>
                <w:color w:val="1F2937"/>
                <w:sz w:val="15"/>
              </w:rPr>
              <w:t>Buchbare Plätze je Quadratkilometer und Zeitfenster.</w:t>
            </w:r>
          </w:p>
        </w:tc>
        <w:tc>
          <w:tcPr>
            <w:tcW w:type="dxa" w:w="3175"/>
            <w:vAlign w:val="top"/>
            <w:tcMar>
              <w:top w:w="80" w:type="dxa"/>
              <w:start w:w="100" w:type="dxa"/>
              <w:bottom w:w="80" w:type="dxa"/>
              <w:end w:w="100" w:type="dxa"/>
            </w:tcMar>
          </w:tcPr>
          <w:p>
            <w:pPr>
              <w:spacing w:after="0"/>
            </w:pPr>
            <w:r>
              <w:rPr>
                <w:rFonts w:ascii="Aptos" w:hAnsi="Aptos"/>
                <w:color w:val="1F2937"/>
                <w:sz w:val="15"/>
              </w:rPr>
              <w:t>Nicht deutschlandweit, sondern je Cluster maximieren.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5"/>
              </w:rPr>
              <w:t>Search-to-Book</w:t>
            </w:r>
          </w:p>
        </w:tc>
        <w:tc>
          <w:tcPr>
            <w:tcW w:type="dxa" w:w="4195"/>
            <w:vAlign w:val="top"/>
            <w:tcMar>
              <w:top w:w="80" w:type="dxa"/>
              <w:start w:w="100" w:type="dxa"/>
              <w:bottom w:w="80" w:type="dxa"/>
              <w:end w:w="100" w:type="dxa"/>
            </w:tcMar>
            <w:shd w:fill="F3F5F7"/>
          </w:tcPr>
          <w:p>
            <w:pPr>
              <w:spacing w:after="0"/>
            </w:pPr>
            <w:r>
              <w:rPr>
                <w:rFonts w:ascii="Aptos" w:hAnsi="Aptos"/>
                <w:color w:val="1F2937"/>
                <w:sz w:val="15"/>
              </w:rPr>
              <w:t>Anteil der Suchen mit erfolgreicher Buchung.</w:t>
            </w:r>
          </w:p>
        </w:tc>
        <w:tc>
          <w:tcPr>
            <w:tcW w:type="dxa" w:w="3175"/>
            <w:vAlign w:val="top"/>
            <w:tcMar>
              <w:top w:w="80" w:type="dxa"/>
              <w:start w:w="100" w:type="dxa"/>
              <w:bottom w:w="80" w:type="dxa"/>
              <w:end w:w="100" w:type="dxa"/>
            </w:tcMar>
            <w:shd w:fill="F3F5F7"/>
          </w:tcPr>
          <w:p>
            <w:pPr>
              <w:spacing w:after="0"/>
            </w:pPr>
            <w:r>
              <w:rPr>
                <w:rFonts w:ascii="Aptos" w:hAnsi="Aptos"/>
                <w:color w:val="1F2937"/>
                <w:sz w:val="15"/>
              </w:rPr>
              <w:t>&gt;20 % in reifen Pilotclustern als Arbeitsziel.</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Availability Accuracy</w:t>
            </w:r>
          </w:p>
        </w:tc>
        <w:tc>
          <w:tcPr>
            <w:tcW w:type="dxa" w:w="4195"/>
            <w:vAlign w:val="top"/>
            <w:tcMar>
              <w:top w:w="80" w:type="dxa"/>
              <w:start w:w="100" w:type="dxa"/>
              <w:bottom w:w="80" w:type="dxa"/>
              <w:end w:w="100" w:type="dxa"/>
            </w:tcMar>
          </w:tcPr>
          <w:p>
            <w:pPr>
              <w:spacing w:after="0"/>
            </w:pPr>
            <w:r>
              <w:rPr>
                <w:rFonts w:ascii="Aptos" w:hAnsi="Aptos"/>
                <w:color w:val="1F2937"/>
                <w:sz w:val="15"/>
              </w:rPr>
              <w:t>Buchungen ohne Verfügbarkeits-/Zugangsproblem.</w:t>
            </w:r>
          </w:p>
        </w:tc>
        <w:tc>
          <w:tcPr>
            <w:tcW w:type="dxa" w:w="3175"/>
            <w:vAlign w:val="top"/>
            <w:tcMar>
              <w:top w:w="80" w:type="dxa"/>
              <w:start w:w="100" w:type="dxa"/>
              <w:bottom w:w="80" w:type="dxa"/>
              <w:end w:w="100" w:type="dxa"/>
            </w:tcMar>
          </w:tcPr>
          <w:p>
            <w:pPr>
              <w:spacing w:after="0"/>
            </w:pPr>
            <w:r>
              <w:rPr>
                <w:rFonts w:ascii="Aptos" w:hAnsi="Aptos"/>
                <w:color w:val="1F2937"/>
                <w:sz w:val="15"/>
              </w:rPr>
              <w:t>&gt;98 % als Qualitätsziel.</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5"/>
              </w:rPr>
              <w:t>Wiederbuchungsrate 60 Tage</w:t>
            </w:r>
          </w:p>
        </w:tc>
        <w:tc>
          <w:tcPr>
            <w:tcW w:type="dxa" w:w="4195"/>
            <w:vAlign w:val="top"/>
            <w:tcMar>
              <w:top w:w="80" w:type="dxa"/>
              <w:start w:w="100" w:type="dxa"/>
              <w:bottom w:w="80" w:type="dxa"/>
              <w:end w:w="100" w:type="dxa"/>
            </w:tcMar>
            <w:shd w:fill="F3F5F7"/>
          </w:tcPr>
          <w:p>
            <w:pPr>
              <w:spacing w:after="0"/>
            </w:pPr>
            <w:r>
              <w:rPr>
                <w:rFonts w:ascii="Aptos" w:hAnsi="Aptos"/>
                <w:color w:val="1F2937"/>
                <w:sz w:val="15"/>
              </w:rPr>
              <w:t>Fahrer mit weiterer Buchung innerhalb 60 Tagen.</w:t>
            </w:r>
          </w:p>
        </w:tc>
        <w:tc>
          <w:tcPr>
            <w:tcW w:type="dxa" w:w="3175"/>
            <w:vAlign w:val="top"/>
            <w:tcMar>
              <w:top w:w="80" w:type="dxa"/>
              <w:start w:w="100" w:type="dxa"/>
              <w:bottom w:w="80" w:type="dxa"/>
              <w:end w:w="100" w:type="dxa"/>
            </w:tcMar>
            <w:shd w:fill="F3F5F7"/>
          </w:tcPr>
          <w:p>
            <w:pPr>
              <w:spacing w:after="0"/>
            </w:pPr>
            <w:r>
              <w:rPr>
                <w:rFonts w:ascii="Aptos" w:hAnsi="Aptos"/>
                <w:color w:val="1F2937"/>
                <w:sz w:val="15"/>
              </w:rPr>
              <w:t>&gt;35 % in Pendler-/Eventsegmenten testen.</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Host Activation</w:t>
            </w:r>
          </w:p>
        </w:tc>
        <w:tc>
          <w:tcPr>
            <w:tcW w:type="dxa" w:w="4195"/>
            <w:vAlign w:val="top"/>
            <w:tcMar>
              <w:top w:w="80" w:type="dxa"/>
              <w:start w:w="100" w:type="dxa"/>
              <w:bottom w:w="80" w:type="dxa"/>
              <w:end w:w="100" w:type="dxa"/>
            </w:tcMar>
          </w:tcPr>
          <w:p>
            <w:pPr>
              <w:spacing w:after="0"/>
            </w:pPr>
            <w:r>
              <w:rPr>
                <w:rFonts w:ascii="Aptos" w:hAnsi="Aptos"/>
                <w:color w:val="1F2937"/>
                <w:sz w:val="15"/>
              </w:rPr>
              <w:t>Inserate mit erster Buchung innerhalb 30 Tagen.</w:t>
            </w:r>
          </w:p>
        </w:tc>
        <w:tc>
          <w:tcPr>
            <w:tcW w:type="dxa" w:w="3175"/>
            <w:vAlign w:val="top"/>
            <w:tcMar>
              <w:top w:w="80" w:type="dxa"/>
              <w:start w:w="100" w:type="dxa"/>
              <w:bottom w:w="80" w:type="dxa"/>
              <w:end w:w="100" w:type="dxa"/>
            </w:tcMar>
          </w:tcPr>
          <w:p>
            <w:pPr>
              <w:spacing w:after="0"/>
            </w:pPr>
            <w:r>
              <w:rPr>
                <w:rFonts w:ascii="Aptos" w:hAnsi="Aptos"/>
                <w:color w:val="1F2937"/>
                <w:sz w:val="15"/>
              </w:rPr>
              <w:t>&gt;40 % in Pilotgebieten.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5"/>
              </w:rPr>
              <w:t>Contribution Margin</w:t>
            </w:r>
          </w:p>
        </w:tc>
        <w:tc>
          <w:tcPr>
            <w:tcW w:type="dxa" w:w="4195"/>
            <w:vAlign w:val="top"/>
            <w:tcMar>
              <w:top w:w="80" w:type="dxa"/>
              <w:start w:w="100" w:type="dxa"/>
              <w:bottom w:w="80" w:type="dxa"/>
              <w:end w:w="100" w:type="dxa"/>
            </w:tcMar>
            <w:shd w:fill="F3F5F7"/>
          </w:tcPr>
          <w:p>
            <w:pPr>
              <w:spacing w:after="0"/>
            </w:pPr>
            <w:r>
              <w:rPr>
                <w:rFonts w:ascii="Aptos" w:hAnsi="Aptos"/>
                <w:color w:val="1F2937"/>
                <w:sz w:val="15"/>
              </w:rPr>
              <w:t>Umsatz minus PSP, Refund/Fraud, variable Supportkosten.</w:t>
            </w:r>
          </w:p>
        </w:tc>
        <w:tc>
          <w:tcPr>
            <w:tcW w:type="dxa" w:w="3175"/>
            <w:vAlign w:val="top"/>
            <w:tcMar>
              <w:top w:w="80" w:type="dxa"/>
              <w:start w:w="100" w:type="dxa"/>
              <w:bottom w:w="80" w:type="dxa"/>
              <w:end w:w="100" w:type="dxa"/>
            </w:tcMar>
            <w:shd w:fill="F3F5F7"/>
          </w:tcPr>
          <w:p>
            <w:pPr>
              <w:spacing w:after="0"/>
            </w:pPr>
            <w:r>
              <w:rPr>
                <w:rFonts w:ascii="Aptos" w:hAnsi="Aptos"/>
                <w:color w:val="1F2937"/>
                <w:sz w:val="15"/>
              </w:rPr>
              <w:t>Positiv pro reifem Cluster.</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Supportfälle je 100 Buchungen</w:t>
            </w:r>
          </w:p>
        </w:tc>
        <w:tc>
          <w:tcPr>
            <w:tcW w:type="dxa" w:w="4195"/>
            <w:vAlign w:val="top"/>
            <w:tcMar>
              <w:top w:w="80" w:type="dxa"/>
              <w:start w:w="100" w:type="dxa"/>
              <w:bottom w:w="80" w:type="dxa"/>
              <w:end w:w="100" w:type="dxa"/>
            </w:tcMar>
          </w:tcPr>
          <w:p>
            <w:pPr>
              <w:spacing w:after="0"/>
            </w:pPr>
            <w:r>
              <w:rPr>
                <w:rFonts w:ascii="Aptos" w:hAnsi="Aptos"/>
                <w:color w:val="1F2937"/>
                <w:sz w:val="15"/>
              </w:rPr>
              <w:t>Qualitätsindikator.</w:t>
            </w:r>
          </w:p>
        </w:tc>
        <w:tc>
          <w:tcPr>
            <w:tcW w:type="dxa" w:w="3175"/>
            <w:vAlign w:val="top"/>
            <w:tcMar>
              <w:top w:w="80" w:type="dxa"/>
              <w:start w:w="100" w:type="dxa"/>
              <w:bottom w:w="80" w:type="dxa"/>
              <w:end w:w="100" w:type="dxa"/>
            </w:tcMar>
          </w:tcPr>
          <w:p>
            <w:pPr>
              <w:spacing w:after="0"/>
            </w:pPr>
            <w:r>
              <w:rPr>
                <w:rFonts w:ascii="Aptos" w:hAnsi="Aptos"/>
                <w:color w:val="1F2937"/>
                <w:sz w:val="15"/>
              </w:rPr>
              <w:t>Kontinuierlich unter 5 senken.</w:t>
            </w:r>
          </w:p>
        </w:tc>
      </w:tr>
      <w:tr>
        <w:trPr>
          <w:cantSplit/>
        </w:trPr>
        <w:tc>
          <w:tcPr>
            <w:tcW w:type="dxa" w:w="2268"/>
            <w:vAlign w:val="top"/>
            <w:tcMar>
              <w:top w:w="80" w:type="dxa"/>
              <w:start w:w="100" w:type="dxa"/>
              <w:bottom w:w="80" w:type="dxa"/>
              <w:end w:w="100" w:type="dxa"/>
            </w:tcMar>
            <w:shd w:fill="F3F5F7"/>
          </w:tcPr>
          <w:p>
            <w:pPr>
              <w:spacing w:after="0"/>
            </w:pPr>
            <w:r>
              <w:rPr>
                <w:rFonts w:ascii="Aptos" w:hAnsi="Aptos"/>
                <w:color w:val="1F2937"/>
                <w:sz w:val="15"/>
              </w:rPr>
              <w:t>CAC Payback</w:t>
            </w:r>
          </w:p>
        </w:tc>
        <w:tc>
          <w:tcPr>
            <w:tcW w:type="dxa" w:w="4195"/>
            <w:vAlign w:val="top"/>
            <w:tcMar>
              <w:top w:w="80" w:type="dxa"/>
              <w:start w:w="100" w:type="dxa"/>
              <w:bottom w:w="80" w:type="dxa"/>
              <w:end w:w="100" w:type="dxa"/>
            </w:tcMar>
            <w:shd w:fill="F3F5F7"/>
          </w:tcPr>
          <w:p>
            <w:pPr>
              <w:spacing w:after="0"/>
            </w:pPr>
            <w:r>
              <w:rPr>
                <w:rFonts w:ascii="Aptos" w:hAnsi="Aptos"/>
                <w:color w:val="1F2937"/>
                <w:sz w:val="15"/>
              </w:rPr>
              <w:t>Akquisekosten / Deckungsbeitrag.</w:t>
            </w:r>
          </w:p>
        </w:tc>
        <w:tc>
          <w:tcPr>
            <w:tcW w:type="dxa" w:w="3175"/>
            <w:vAlign w:val="top"/>
            <w:tcMar>
              <w:top w:w="80" w:type="dxa"/>
              <w:start w:w="100" w:type="dxa"/>
              <w:bottom w:w="80" w:type="dxa"/>
              <w:end w:w="100" w:type="dxa"/>
            </w:tcMar>
            <w:shd w:fill="F3F5F7"/>
          </w:tcPr>
          <w:p>
            <w:pPr>
              <w:spacing w:after="0"/>
            </w:pPr>
            <w:r>
              <w:rPr>
                <w:rFonts w:ascii="Aptos" w:hAnsi="Aptos"/>
                <w:color w:val="1F2937"/>
                <w:sz w:val="15"/>
              </w:rPr>
              <w:t>&lt;12 Monate, langfristig &lt;6 Monate.</w:t>
            </w:r>
          </w:p>
        </w:tc>
      </w:tr>
      <w:tr>
        <w:trPr>
          <w:cantSplit/>
        </w:trPr>
        <w:tc>
          <w:tcPr>
            <w:tcW w:type="dxa" w:w="2268"/>
            <w:vAlign w:val="top"/>
            <w:tcMar>
              <w:top w:w="80" w:type="dxa"/>
              <w:start w:w="100" w:type="dxa"/>
              <w:bottom w:w="80" w:type="dxa"/>
              <w:end w:w="100" w:type="dxa"/>
            </w:tcMar>
          </w:tcPr>
          <w:p>
            <w:pPr>
              <w:spacing w:after="0"/>
            </w:pPr>
            <w:r>
              <w:rPr>
                <w:rFonts w:ascii="Aptos" w:hAnsi="Aptos"/>
                <w:color w:val="1F2937"/>
                <w:sz w:val="15"/>
              </w:rPr>
              <w:t>B2B-Plätze je Vertrag</w:t>
            </w:r>
          </w:p>
        </w:tc>
        <w:tc>
          <w:tcPr>
            <w:tcW w:type="dxa" w:w="4195"/>
            <w:vAlign w:val="top"/>
            <w:tcMar>
              <w:top w:w="80" w:type="dxa"/>
              <w:start w:w="100" w:type="dxa"/>
              <w:bottom w:w="80" w:type="dxa"/>
              <w:end w:w="100" w:type="dxa"/>
            </w:tcMar>
          </w:tcPr>
          <w:p>
            <w:pPr>
              <w:spacing w:after="0"/>
            </w:pPr>
            <w:r>
              <w:rPr>
                <w:rFonts w:ascii="Aptos" w:hAnsi="Aptos"/>
                <w:color w:val="1F2937"/>
                <w:sz w:val="15"/>
              </w:rPr>
              <w:t>Aktive Flächen je Immobilienpartner.</w:t>
            </w:r>
          </w:p>
        </w:tc>
        <w:tc>
          <w:tcPr>
            <w:tcW w:type="dxa" w:w="3175"/>
            <w:vAlign w:val="top"/>
            <w:tcMar>
              <w:top w:w="80" w:type="dxa"/>
              <w:start w:w="100" w:type="dxa"/>
              <w:bottom w:w="80" w:type="dxa"/>
              <w:end w:w="100" w:type="dxa"/>
            </w:tcMar>
          </w:tcPr>
          <w:p>
            <w:pPr>
              <w:spacing w:after="0"/>
            </w:pPr>
            <w:r>
              <w:rPr>
                <w:rFonts w:ascii="Aptos" w:hAnsi="Aptos"/>
                <w:color w:val="1F2937"/>
                <w:sz w:val="15"/>
              </w:rPr>
              <w:t>Steigend; bevorzugt &gt;30.</w:t>
            </w:r>
          </w:p>
        </w:tc>
      </w:tr>
    </w:tbl>
    <w:p>
      <w:pPr>
        <w:spacing w:after="20"/>
      </w:pPr>
    </w:p>
    <w:p>
      <w:pPr>
        <w:spacing w:before="20" w:after="100"/>
      </w:pPr>
      <w:r>
        <w:rPr>
          <w:rFonts w:ascii="Aptos" w:hAnsi="Aptos"/>
          <w:i/>
          <w:color w:val="6B7280"/>
          <w:sz w:val="16"/>
        </w:rPr>
        <w:t>Zielwerte sind Managementhypothesen und müssen im Pilot validiert werden.</w:t>
      </w:r>
    </w:p>
    <w:p>
      <w:pPr>
        <w:pStyle w:val="Heading1"/>
      </w:pPr>
      <w:r>
        <w:t>15. Zwölf-Monats-Roadmap</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134"/>
            <w:shd w:fill="17365D"/>
            <w:vAlign w:val="center"/>
            <w:tcMar>
              <w:top w:w="80" w:type="dxa"/>
              <w:start w:w="100" w:type="dxa"/>
              <w:bottom w:w="80" w:type="dxa"/>
              <w:end w:w="100" w:type="dxa"/>
            </w:tcMar>
          </w:tcPr>
          <w:p>
            <w:pPr>
              <w:jc w:val="left"/>
            </w:pPr>
            <w:r>
              <w:rPr>
                <w:rFonts w:ascii="Aptos" w:hAnsi="Aptos"/>
                <w:b/>
                <w:color w:val="FFFFFF"/>
                <w:sz w:val="16"/>
              </w:rPr>
              <w:t>Monat</w:t>
            </w:r>
          </w:p>
        </w:tc>
        <w:tc>
          <w:tcPr>
            <w:tcW w:type="dxa" w:w="3118"/>
            <w:shd w:fill="17365D"/>
            <w:vAlign w:val="center"/>
            <w:tcMar>
              <w:top w:w="80" w:type="dxa"/>
              <w:start w:w="100" w:type="dxa"/>
              <w:bottom w:w="80" w:type="dxa"/>
              <w:end w:w="100" w:type="dxa"/>
            </w:tcMar>
          </w:tcPr>
          <w:p>
            <w:pPr>
              <w:jc w:val="left"/>
            </w:pPr>
            <w:r>
              <w:rPr>
                <w:rFonts w:ascii="Aptos" w:hAnsi="Aptos"/>
                <w:b/>
                <w:color w:val="FFFFFF"/>
                <w:sz w:val="16"/>
              </w:rPr>
              <w:t>Schwerpunkt</w:t>
            </w:r>
          </w:p>
        </w:tc>
        <w:tc>
          <w:tcPr>
            <w:tcW w:type="dxa" w:w="5386"/>
            <w:shd w:fill="17365D"/>
            <w:vAlign w:val="center"/>
            <w:tcMar>
              <w:top w:w="80" w:type="dxa"/>
              <w:start w:w="100" w:type="dxa"/>
              <w:bottom w:w="80" w:type="dxa"/>
              <w:end w:w="100" w:type="dxa"/>
            </w:tcMar>
          </w:tcPr>
          <w:p>
            <w:pPr>
              <w:jc w:val="left"/>
            </w:pPr>
            <w:r>
              <w:rPr>
                <w:rFonts w:ascii="Aptos" w:hAnsi="Aptos"/>
                <w:b/>
                <w:color w:val="FFFFFF"/>
                <w:sz w:val="16"/>
              </w:rPr>
              <w:t>Lieferobjekt</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6"/>
              </w:rPr>
              <w:t>1</w:t>
            </w:r>
          </w:p>
        </w:tc>
        <w:tc>
          <w:tcPr>
            <w:tcW w:type="dxa" w:w="3118"/>
            <w:vAlign w:val="top"/>
            <w:tcMar>
              <w:top w:w="80" w:type="dxa"/>
              <w:start w:w="100" w:type="dxa"/>
              <w:bottom w:w="80" w:type="dxa"/>
              <w:end w:w="100" w:type="dxa"/>
            </w:tcMar>
          </w:tcPr>
          <w:p>
            <w:pPr>
              <w:spacing w:after="0"/>
            </w:pPr>
            <w:r>
              <w:rPr>
                <w:rFonts w:ascii="Aptos" w:hAnsi="Aptos"/>
                <w:color w:val="1F2937"/>
                <w:sz w:val="16"/>
              </w:rPr>
              <w:t>Legal/Product Discovery</w:t>
            </w:r>
          </w:p>
        </w:tc>
        <w:tc>
          <w:tcPr>
            <w:tcW w:type="dxa" w:w="5386"/>
            <w:vAlign w:val="top"/>
            <w:tcMar>
              <w:top w:w="80" w:type="dxa"/>
              <w:start w:w="100" w:type="dxa"/>
              <w:bottom w:w="80" w:type="dxa"/>
              <w:end w:w="100" w:type="dxa"/>
            </w:tcMar>
          </w:tcPr>
          <w:p>
            <w:pPr>
              <w:spacing w:after="0"/>
            </w:pPr>
            <w:r>
              <w:rPr>
                <w:rFonts w:ascii="Aptos" w:hAnsi="Aptos"/>
                <w:color w:val="1F2937"/>
                <w:sz w:val="16"/>
              </w:rPr>
              <w:t>Rollenmodell, verbotene Angebote, Dateninventar, PSP-RFP, Pilotcluster.</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6"/>
              </w:rPr>
              <w:t>2</w:t>
            </w:r>
          </w:p>
        </w:tc>
        <w:tc>
          <w:tcPr>
            <w:tcW w:type="dxa" w:w="3118"/>
            <w:vAlign w:val="top"/>
            <w:tcMar>
              <w:top w:w="80" w:type="dxa"/>
              <w:start w:w="100" w:type="dxa"/>
              <w:bottom w:w="80" w:type="dxa"/>
              <w:end w:w="100" w:type="dxa"/>
            </w:tcMar>
            <w:shd w:fill="F3F5F7"/>
          </w:tcPr>
          <w:p>
            <w:pPr>
              <w:spacing w:after="0"/>
            </w:pPr>
            <w:r>
              <w:rPr>
                <w:rFonts w:ascii="Aptos" w:hAnsi="Aptos"/>
                <w:color w:val="1F2937"/>
                <w:sz w:val="16"/>
              </w:rPr>
              <w:t>Design &amp; Architektur</w:t>
            </w:r>
          </w:p>
        </w:tc>
        <w:tc>
          <w:tcPr>
            <w:tcW w:type="dxa" w:w="5386"/>
            <w:vAlign w:val="top"/>
            <w:tcMar>
              <w:top w:w="80" w:type="dxa"/>
              <w:start w:w="100" w:type="dxa"/>
              <w:bottom w:w="80" w:type="dxa"/>
              <w:end w:w="100" w:type="dxa"/>
            </w:tcMar>
            <w:shd w:fill="F3F5F7"/>
          </w:tcPr>
          <w:p>
            <w:pPr>
              <w:spacing w:after="0"/>
            </w:pPr>
            <w:r>
              <w:rPr>
                <w:rFonts w:ascii="Aptos" w:hAnsi="Aptos"/>
                <w:color w:val="1F2937"/>
                <w:sz w:val="16"/>
              </w:rPr>
              <w:t>Klickprototyp, technische Architektur, Backlog, Vertragsentwürfe.</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6"/>
              </w:rPr>
              <w:t>3–4</w:t>
            </w:r>
          </w:p>
        </w:tc>
        <w:tc>
          <w:tcPr>
            <w:tcW w:type="dxa" w:w="3118"/>
            <w:vAlign w:val="top"/>
            <w:tcMar>
              <w:top w:w="80" w:type="dxa"/>
              <w:start w:w="100" w:type="dxa"/>
              <w:bottom w:w="80" w:type="dxa"/>
              <w:end w:w="100" w:type="dxa"/>
            </w:tcMar>
          </w:tcPr>
          <w:p>
            <w:pPr>
              <w:spacing w:after="0"/>
            </w:pPr>
            <w:r>
              <w:rPr>
                <w:rFonts w:ascii="Aptos" w:hAnsi="Aptos"/>
                <w:color w:val="1F2937"/>
                <w:sz w:val="16"/>
              </w:rPr>
              <w:t>Core Build I</w:t>
            </w:r>
          </w:p>
        </w:tc>
        <w:tc>
          <w:tcPr>
            <w:tcW w:type="dxa" w:w="5386"/>
            <w:vAlign w:val="top"/>
            <w:tcMar>
              <w:top w:w="80" w:type="dxa"/>
              <w:start w:w="100" w:type="dxa"/>
              <w:bottom w:w="80" w:type="dxa"/>
              <w:end w:w="100" w:type="dxa"/>
            </w:tcMar>
          </w:tcPr>
          <w:p>
            <w:pPr>
              <w:spacing w:after="0"/>
            </w:pPr>
            <w:r>
              <w:rPr>
                <w:rFonts w:ascii="Aptos" w:hAnsi="Aptos"/>
                <w:color w:val="1F2937"/>
                <w:sz w:val="16"/>
              </w:rPr>
              <w:t>Authentifizierung, Anbieter-Onboarding, Inserate, Karten-/Suche.</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6"/>
              </w:rPr>
              <w:t>5–6</w:t>
            </w:r>
          </w:p>
        </w:tc>
        <w:tc>
          <w:tcPr>
            <w:tcW w:type="dxa" w:w="3118"/>
            <w:vAlign w:val="top"/>
            <w:tcMar>
              <w:top w:w="80" w:type="dxa"/>
              <w:start w:w="100" w:type="dxa"/>
              <w:bottom w:w="80" w:type="dxa"/>
              <w:end w:w="100" w:type="dxa"/>
            </w:tcMar>
            <w:shd w:fill="F3F5F7"/>
          </w:tcPr>
          <w:p>
            <w:pPr>
              <w:spacing w:after="0"/>
            </w:pPr>
            <w:r>
              <w:rPr>
                <w:rFonts w:ascii="Aptos" w:hAnsi="Aptos"/>
                <w:color w:val="1F2937"/>
                <w:sz w:val="16"/>
              </w:rPr>
              <w:t>Core Build II</w:t>
            </w:r>
          </w:p>
        </w:tc>
        <w:tc>
          <w:tcPr>
            <w:tcW w:type="dxa" w:w="5386"/>
            <w:vAlign w:val="top"/>
            <w:tcMar>
              <w:top w:w="80" w:type="dxa"/>
              <w:start w:w="100" w:type="dxa"/>
              <w:bottom w:w="80" w:type="dxa"/>
              <w:end w:w="100" w:type="dxa"/>
            </w:tcMar>
            <w:shd w:fill="F3F5F7"/>
          </w:tcPr>
          <w:p>
            <w:pPr>
              <w:spacing w:after="0"/>
            </w:pPr>
            <w:r>
              <w:rPr>
                <w:rFonts w:ascii="Aptos" w:hAnsi="Aptos"/>
                <w:color w:val="1F2937"/>
                <w:sz w:val="16"/>
              </w:rPr>
              <w:t>Buchung, Zahlung, Chat, Benachrichtigungen, Backoffice.</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6"/>
              </w:rPr>
              <w:t>7</w:t>
            </w:r>
          </w:p>
        </w:tc>
        <w:tc>
          <w:tcPr>
            <w:tcW w:type="dxa" w:w="3118"/>
            <w:vAlign w:val="top"/>
            <w:tcMar>
              <w:top w:w="80" w:type="dxa"/>
              <w:start w:w="100" w:type="dxa"/>
              <w:bottom w:w="80" w:type="dxa"/>
              <w:end w:w="100" w:type="dxa"/>
            </w:tcMar>
          </w:tcPr>
          <w:p>
            <w:pPr>
              <w:spacing w:after="0"/>
            </w:pPr>
            <w:r>
              <w:rPr>
                <w:rFonts w:ascii="Aptos" w:hAnsi="Aptos"/>
                <w:color w:val="1F2937"/>
                <w:sz w:val="16"/>
              </w:rPr>
              <w:t>Compliance &amp; Hardening</w:t>
            </w:r>
          </w:p>
        </w:tc>
        <w:tc>
          <w:tcPr>
            <w:tcW w:type="dxa" w:w="5386"/>
            <w:vAlign w:val="top"/>
            <w:tcMar>
              <w:top w:w="80" w:type="dxa"/>
              <w:start w:w="100" w:type="dxa"/>
              <w:bottom w:w="80" w:type="dxa"/>
              <w:end w:w="100" w:type="dxa"/>
            </w:tcMar>
          </w:tcPr>
          <w:p>
            <w:pPr>
              <w:spacing w:after="0"/>
            </w:pPr>
            <w:r>
              <w:rPr>
                <w:rFonts w:ascii="Aptos" w:hAnsi="Aptos"/>
                <w:color w:val="1F2937"/>
                <w:sz w:val="16"/>
              </w:rPr>
              <w:t>DSAR, Moderation, Tax-Daten, Security Review, Testfälle.</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6"/>
              </w:rPr>
              <w:t>8</w:t>
            </w:r>
          </w:p>
        </w:tc>
        <w:tc>
          <w:tcPr>
            <w:tcW w:type="dxa" w:w="3118"/>
            <w:vAlign w:val="top"/>
            <w:tcMar>
              <w:top w:w="80" w:type="dxa"/>
              <w:start w:w="100" w:type="dxa"/>
              <w:bottom w:w="80" w:type="dxa"/>
              <w:end w:w="100" w:type="dxa"/>
            </w:tcMar>
            <w:shd w:fill="F3F5F7"/>
          </w:tcPr>
          <w:p>
            <w:pPr>
              <w:spacing w:after="0"/>
            </w:pPr>
            <w:r>
              <w:rPr>
                <w:rFonts w:ascii="Aptos" w:hAnsi="Aptos"/>
                <w:color w:val="1F2937"/>
                <w:sz w:val="16"/>
              </w:rPr>
              <w:t>Closed Beta</w:t>
            </w:r>
          </w:p>
        </w:tc>
        <w:tc>
          <w:tcPr>
            <w:tcW w:type="dxa" w:w="5386"/>
            <w:vAlign w:val="top"/>
            <w:tcMar>
              <w:top w:w="80" w:type="dxa"/>
              <w:start w:w="100" w:type="dxa"/>
              <w:bottom w:w="80" w:type="dxa"/>
              <w:end w:w="100" w:type="dxa"/>
            </w:tcMar>
            <w:shd w:fill="F3F5F7"/>
          </w:tcPr>
          <w:p>
            <w:pPr>
              <w:spacing w:after="0"/>
            </w:pPr>
            <w:r>
              <w:rPr>
                <w:rFonts w:ascii="Aptos" w:hAnsi="Aptos"/>
                <w:color w:val="1F2937"/>
                <w:sz w:val="16"/>
              </w:rPr>
              <w:t>50–100 Plätze, kontrollierte Nutzer, manuelle Supportbegleitung.</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6"/>
              </w:rPr>
              <w:t>9</w:t>
            </w:r>
          </w:p>
        </w:tc>
        <w:tc>
          <w:tcPr>
            <w:tcW w:type="dxa" w:w="3118"/>
            <w:vAlign w:val="top"/>
            <w:tcMar>
              <w:top w:w="80" w:type="dxa"/>
              <w:start w:w="100" w:type="dxa"/>
              <w:bottom w:w="80" w:type="dxa"/>
              <w:end w:w="100" w:type="dxa"/>
            </w:tcMar>
          </w:tcPr>
          <w:p>
            <w:pPr>
              <w:spacing w:after="0"/>
            </w:pPr>
            <w:r>
              <w:rPr>
                <w:rFonts w:ascii="Aptos" w:hAnsi="Aptos"/>
                <w:color w:val="1F2937"/>
                <w:sz w:val="16"/>
              </w:rPr>
              <w:t>Frankfurt Cluster 1</w:t>
            </w:r>
          </w:p>
        </w:tc>
        <w:tc>
          <w:tcPr>
            <w:tcW w:type="dxa" w:w="5386"/>
            <w:vAlign w:val="top"/>
            <w:tcMar>
              <w:top w:w="80" w:type="dxa"/>
              <w:start w:w="100" w:type="dxa"/>
              <w:bottom w:w="80" w:type="dxa"/>
              <w:end w:w="100" w:type="dxa"/>
            </w:tcMar>
          </w:tcPr>
          <w:p>
            <w:pPr>
              <w:spacing w:after="0"/>
            </w:pPr>
            <w:r>
              <w:rPr>
                <w:rFonts w:ascii="Aptos" w:hAnsi="Aptos"/>
                <w:color w:val="1F2937"/>
                <w:sz w:val="16"/>
              </w:rPr>
              <w:t>Öffentlicher Pilot mit Angebots- und Qualitätsgate.</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6"/>
              </w:rPr>
              <w:t>10</w:t>
            </w:r>
          </w:p>
        </w:tc>
        <w:tc>
          <w:tcPr>
            <w:tcW w:type="dxa" w:w="3118"/>
            <w:vAlign w:val="top"/>
            <w:tcMar>
              <w:top w:w="80" w:type="dxa"/>
              <w:start w:w="100" w:type="dxa"/>
              <w:bottom w:w="80" w:type="dxa"/>
              <w:end w:w="100" w:type="dxa"/>
            </w:tcMar>
            <w:shd w:fill="F3F5F7"/>
          </w:tcPr>
          <w:p>
            <w:pPr>
              <w:spacing w:after="0"/>
            </w:pPr>
            <w:r>
              <w:rPr>
                <w:rFonts w:ascii="Aptos" w:hAnsi="Aptos"/>
                <w:color w:val="1F2937"/>
                <w:sz w:val="16"/>
              </w:rPr>
              <w:t>Cluster 2/3</w:t>
            </w:r>
          </w:p>
        </w:tc>
        <w:tc>
          <w:tcPr>
            <w:tcW w:type="dxa" w:w="5386"/>
            <w:vAlign w:val="top"/>
            <w:tcMar>
              <w:top w:w="80" w:type="dxa"/>
              <w:start w:w="100" w:type="dxa"/>
              <w:bottom w:w="80" w:type="dxa"/>
              <w:end w:w="100" w:type="dxa"/>
            </w:tcMar>
            <w:shd w:fill="F3F5F7"/>
          </w:tcPr>
          <w:p>
            <w:pPr>
              <w:spacing w:after="0"/>
            </w:pPr>
            <w:r>
              <w:rPr>
                <w:rFonts w:ascii="Aptos" w:hAnsi="Aptos"/>
                <w:color w:val="1F2937"/>
                <w:sz w:val="16"/>
              </w:rPr>
              <w:t>Events, Kliniken, Pendler, erste Hausverwaltung.</w:t>
            </w:r>
          </w:p>
        </w:tc>
      </w:tr>
      <w:tr>
        <w:trPr>
          <w:cantSplit/>
        </w:trPr>
        <w:tc>
          <w:tcPr>
            <w:tcW w:type="dxa" w:w="1134"/>
            <w:vAlign w:val="top"/>
            <w:tcMar>
              <w:top w:w="80" w:type="dxa"/>
              <w:start w:w="100" w:type="dxa"/>
              <w:bottom w:w="80" w:type="dxa"/>
              <w:end w:w="100" w:type="dxa"/>
            </w:tcMar>
          </w:tcPr>
          <w:p>
            <w:pPr>
              <w:spacing w:after="0"/>
            </w:pPr>
            <w:r>
              <w:rPr>
                <w:rFonts w:ascii="Aptos" w:hAnsi="Aptos"/>
                <w:color w:val="1F2937"/>
                <w:sz w:val="16"/>
              </w:rPr>
              <w:t>11</w:t>
            </w:r>
          </w:p>
        </w:tc>
        <w:tc>
          <w:tcPr>
            <w:tcW w:type="dxa" w:w="3118"/>
            <w:vAlign w:val="top"/>
            <w:tcMar>
              <w:top w:w="80" w:type="dxa"/>
              <w:start w:w="100" w:type="dxa"/>
              <w:bottom w:w="80" w:type="dxa"/>
              <w:end w:w="100" w:type="dxa"/>
            </w:tcMar>
          </w:tcPr>
          <w:p>
            <w:pPr>
              <w:spacing w:after="0"/>
            </w:pPr>
            <w:r>
              <w:rPr>
                <w:rFonts w:ascii="Aptos" w:hAnsi="Aptos"/>
                <w:color w:val="1F2937"/>
                <w:sz w:val="16"/>
              </w:rPr>
              <w:t>Retention &amp; Pricing</w:t>
            </w:r>
          </w:p>
        </w:tc>
        <w:tc>
          <w:tcPr>
            <w:tcW w:type="dxa" w:w="5386"/>
            <w:vAlign w:val="top"/>
            <w:tcMar>
              <w:top w:w="80" w:type="dxa"/>
              <w:start w:w="100" w:type="dxa"/>
              <w:bottom w:w="80" w:type="dxa"/>
              <w:end w:w="100" w:type="dxa"/>
            </w:tcMar>
          </w:tcPr>
          <w:p>
            <w:pPr>
              <w:spacing w:after="0"/>
            </w:pPr>
            <w:r>
              <w:rPr>
                <w:rFonts w:ascii="Aptos" w:hAnsi="Aptos"/>
                <w:color w:val="1F2937"/>
                <w:sz w:val="16"/>
              </w:rPr>
              <w:t>Wiederkehrende Buchung, Gebührenexperimente, Empfehlungsprogramm.</w:t>
            </w:r>
          </w:p>
        </w:tc>
      </w:tr>
      <w:tr>
        <w:trPr>
          <w:cantSplit/>
        </w:trPr>
        <w:tc>
          <w:tcPr>
            <w:tcW w:type="dxa" w:w="1134"/>
            <w:vAlign w:val="top"/>
            <w:tcMar>
              <w:top w:w="80" w:type="dxa"/>
              <w:start w:w="100" w:type="dxa"/>
              <w:bottom w:w="80" w:type="dxa"/>
              <w:end w:w="100" w:type="dxa"/>
            </w:tcMar>
            <w:shd w:fill="F3F5F7"/>
          </w:tcPr>
          <w:p>
            <w:pPr>
              <w:spacing w:after="0"/>
            </w:pPr>
            <w:r>
              <w:rPr>
                <w:rFonts w:ascii="Aptos" w:hAnsi="Aptos"/>
                <w:color w:val="1F2937"/>
                <w:sz w:val="16"/>
              </w:rPr>
              <w:t>12</w:t>
            </w:r>
          </w:p>
        </w:tc>
        <w:tc>
          <w:tcPr>
            <w:tcW w:type="dxa" w:w="3118"/>
            <w:vAlign w:val="top"/>
            <w:tcMar>
              <w:top w:w="80" w:type="dxa"/>
              <w:start w:w="100" w:type="dxa"/>
              <w:bottom w:w="80" w:type="dxa"/>
              <w:end w:w="100" w:type="dxa"/>
            </w:tcMar>
            <w:shd w:fill="F3F5F7"/>
          </w:tcPr>
          <w:p>
            <w:pPr>
              <w:spacing w:after="0"/>
            </w:pPr>
            <w:r>
              <w:rPr>
                <w:rFonts w:ascii="Aptos" w:hAnsi="Aptos"/>
                <w:color w:val="1F2937"/>
                <w:sz w:val="16"/>
              </w:rPr>
              <w:t>Scale Decision</w:t>
            </w:r>
          </w:p>
        </w:tc>
        <w:tc>
          <w:tcPr>
            <w:tcW w:type="dxa" w:w="5386"/>
            <w:vAlign w:val="top"/>
            <w:tcMar>
              <w:top w:w="80" w:type="dxa"/>
              <w:start w:w="100" w:type="dxa"/>
              <w:bottom w:w="80" w:type="dxa"/>
              <w:end w:w="100" w:type="dxa"/>
            </w:tcMar>
            <w:shd w:fill="F3F5F7"/>
          </w:tcPr>
          <w:p>
            <w:pPr>
              <w:spacing w:after="0"/>
            </w:pPr>
            <w:r>
              <w:rPr>
                <w:rFonts w:ascii="Aptos" w:hAnsi="Aptos"/>
                <w:color w:val="1F2937"/>
                <w:sz w:val="16"/>
              </w:rPr>
              <w:t>Go/No-Go für zweite Stadt anhand Unit Economics und Compliance.</w:t>
            </w:r>
          </w:p>
        </w:tc>
      </w:tr>
    </w:tbl>
    <w:p>
      <w:pPr>
        <w:spacing w:after="20"/>
      </w:pPr>
    </w:p>
    <w:p>
      <w:pPr>
        <w:pStyle w:val="Heading1"/>
      </w:pPr>
      <w:r>
        <w:t>16. Entscheidungen vor Entwicklungsstart</w:t>
      </w:r>
    </w:p>
    <w:p>
      <w:pPr>
        <w:spacing w:after="40"/>
        <w:ind w:left="312" w:hanging="255"/>
      </w:pPr>
      <w:r>
        <w:rPr>
          <w:rFonts w:ascii="Aptos" w:hAnsi="Aptos"/>
          <w:b/>
          <w:color w:val="17365D"/>
          <w:sz w:val="19"/>
        </w:rPr>
        <w:t xml:space="preserve">1. </w:t>
      </w:r>
      <w:r>
        <w:rPr>
          <w:rFonts w:ascii="Aptos" w:hAnsi="Aptos"/>
          <w:color w:val="1F2937"/>
          <w:sz w:val="19"/>
        </w:rPr>
        <w:t>Gesellschaft: Welche juristische Person betreibt die Plattform und schließt PSP-/Cloud-Verträge?</w:t>
      </w:r>
    </w:p>
    <w:p>
      <w:pPr>
        <w:spacing w:after="40"/>
        <w:ind w:left="312" w:hanging="255"/>
      </w:pPr>
      <w:r>
        <w:rPr>
          <w:rFonts w:ascii="Aptos" w:hAnsi="Aptos"/>
          <w:b/>
          <w:color w:val="17365D"/>
          <w:sz w:val="19"/>
        </w:rPr>
        <w:t xml:space="preserve">2. </w:t>
      </w:r>
      <w:r>
        <w:rPr>
          <w:rFonts w:ascii="Aptos" w:hAnsi="Aptos"/>
          <w:color w:val="1F2937"/>
          <w:sz w:val="19"/>
        </w:rPr>
        <w:t>Pilotgebiet: Welche drei Frankfurter Mikrocluster werden verbindlich gewählt?</w:t>
      </w:r>
    </w:p>
    <w:p>
      <w:pPr>
        <w:spacing w:after="40"/>
        <w:ind w:left="312" w:hanging="255"/>
      </w:pPr>
      <w:r>
        <w:rPr>
          <w:rFonts w:ascii="Aptos" w:hAnsi="Aptos"/>
          <w:b/>
          <w:color w:val="17365D"/>
          <w:sz w:val="19"/>
        </w:rPr>
        <w:t xml:space="preserve">3. </w:t>
      </w:r>
      <w:r>
        <w:rPr>
          <w:rFonts w:ascii="Aptos" w:hAnsi="Aptos"/>
          <w:color w:val="1F2937"/>
          <w:sz w:val="19"/>
        </w:rPr>
        <w:t>PSP: Welcher Marktplatz-Zahlungsdienstleister und welcher Charge-/Payout-Flow werden juristisch und wirtschaftlich freigegeben?</w:t>
      </w:r>
    </w:p>
    <w:p>
      <w:pPr>
        <w:spacing w:after="40"/>
        <w:ind w:left="312" w:hanging="255"/>
      </w:pPr>
      <w:r>
        <w:rPr>
          <w:rFonts w:ascii="Aptos" w:hAnsi="Aptos"/>
          <w:b/>
          <w:color w:val="17365D"/>
          <w:sz w:val="19"/>
        </w:rPr>
        <w:t xml:space="preserve">4. </w:t>
      </w:r>
      <w:r>
        <w:rPr>
          <w:rFonts w:ascii="Aptos" w:hAnsi="Aptos"/>
          <w:color w:val="1F2937"/>
          <w:sz w:val="19"/>
        </w:rPr>
        <w:t>Berechtigung: Welche Anbieter benötigen sofort einen Nachweis, welche erst risikobasiert?</w:t>
      </w:r>
    </w:p>
    <w:p>
      <w:pPr>
        <w:spacing w:after="40"/>
        <w:ind w:left="312" w:hanging="255"/>
      </w:pPr>
      <w:r>
        <w:rPr>
          <w:rFonts w:ascii="Aptos" w:hAnsi="Aptos"/>
          <w:b/>
          <w:color w:val="17365D"/>
          <w:sz w:val="19"/>
        </w:rPr>
        <w:t xml:space="preserve">5. </w:t>
      </w:r>
      <w:r>
        <w:rPr>
          <w:rFonts w:ascii="Aptos" w:hAnsi="Aptos"/>
          <w:color w:val="1F2937"/>
          <w:sz w:val="19"/>
        </w:rPr>
        <w:t>Gebühren: Einseitige oder zweiseitige Gebühr; All-in-Darstellung; kostenlose Buchungen.</w:t>
      </w:r>
    </w:p>
    <w:p>
      <w:pPr>
        <w:spacing w:after="40"/>
        <w:ind w:left="312" w:hanging="255"/>
      </w:pPr>
      <w:r>
        <w:rPr>
          <w:rFonts w:ascii="Aptos" w:hAnsi="Aptos"/>
          <w:b/>
          <w:color w:val="17365D"/>
          <w:sz w:val="19"/>
        </w:rPr>
        <w:t xml:space="preserve">6. </w:t>
      </w:r>
      <w:r>
        <w:rPr>
          <w:rFonts w:ascii="Aptos" w:hAnsi="Aptos"/>
          <w:color w:val="1F2937"/>
          <w:sz w:val="19"/>
        </w:rPr>
        <w:t>Storno: Standardstaffel, Host-Storno, No-show, Überziehung und Ersatzplatzregeln.</w:t>
      </w:r>
    </w:p>
    <w:p>
      <w:pPr>
        <w:spacing w:after="40"/>
        <w:ind w:left="312" w:hanging="255"/>
      </w:pPr>
      <w:r>
        <w:rPr>
          <w:rFonts w:ascii="Aptos" w:hAnsi="Aptos"/>
          <w:b/>
          <w:color w:val="17365D"/>
          <w:sz w:val="19"/>
        </w:rPr>
        <w:t xml:space="preserve">7. </w:t>
      </w:r>
      <w:r>
        <w:rPr>
          <w:rFonts w:ascii="Aptos" w:hAnsi="Aptos"/>
          <w:color w:val="1F2937"/>
          <w:sz w:val="19"/>
        </w:rPr>
        <w:t>Versicherung: Welche Fälle deckt die Plattform, welche nur Anbieter/Fahrer?</w:t>
      </w:r>
    </w:p>
    <w:p>
      <w:pPr>
        <w:spacing w:after="40"/>
        <w:ind w:left="312" w:hanging="255"/>
      </w:pPr>
      <w:r>
        <w:rPr>
          <w:rFonts w:ascii="Aptos" w:hAnsi="Aptos"/>
          <w:b/>
          <w:color w:val="17365D"/>
          <w:sz w:val="19"/>
        </w:rPr>
        <w:t xml:space="preserve">8. </w:t>
      </w:r>
      <w:r>
        <w:rPr>
          <w:rFonts w:ascii="Aptos" w:hAnsi="Aptos"/>
          <w:color w:val="1F2937"/>
          <w:sz w:val="19"/>
        </w:rPr>
        <w:t>Technologiestack und Hostingregion.</w:t>
      </w:r>
    </w:p>
    <w:p>
      <w:pPr>
        <w:spacing w:after="40"/>
        <w:ind w:left="312" w:hanging="255"/>
      </w:pPr>
      <w:r>
        <w:rPr>
          <w:rFonts w:ascii="Aptos" w:hAnsi="Aptos"/>
          <w:b/>
          <w:color w:val="17365D"/>
          <w:sz w:val="19"/>
        </w:rPr>
        <w:t xml:space="preserve">9. </w:t>
      </w:r>
      <w:r>
        <w:rPr>
          <w:rFonts w:ascii="Aptos" w:hAnsi="Aptos"/>
          <w:color w:val="1F2937"/>
          <w:sz w:val="19"/>
        </w:rPr>
        <w:t>Supportzeiten und Notfallprozess im Pilot.</w:t>
      </w:r>
    </w:p>
    <w:p>
      <w:pPr>
        <w:spacing w:after="40"/>
        <w:ind w:left="312" w:hanging="255"/>
      </w:pPr>
      <w:r>
        <w:rPr>
          <w:rFonts w:ascii="Aptos" w:hAnsi="Aptos"/>
          <w:b/>
          <w:color w:val="17365D"/>
          <w:sz w:val="19"/>
        </w:rPr>
        <w:t xml:space="preserve">10. </w:t>
      </w:r>
      <w:r>
        <w:rPr>
          <w:rFonts w:ascii="Aptos" w:hAnsi="Aptos"/>
          <w:color w:val="1F2937"/>
          <w:sz w:val="19"/>
        </w:rPr>
        <w:t>B2B-Vertrag und Vermieter-Zusatzvereinbarung für Wohnanlagen.</w:t>
      </w:r>
    </w:p>
    <w:p>
      <w:pPr>
        <w:spacing w:after="40"/>
        <w:ind w:left="312" w:hanging="255"/>
      </w:pPr>
      <w:r>
        <w:rPr>
          <w:rFonts w:ascii="Aptos" w:hAnsi="Aptos"/>
          <w:b/>
          <w:color w:val="17365D"/>
          <w:sz w:val="19"/>
        </w:rPr>
        <w:t xml:space="preserve">11. </w:t>
      </w:r>
      <w:r>
        <w:rPr>
          <w:rFonts w:ascii="Aptos" w:hAnsi="Aptos"/>
          <w:color w:val="1F2937"/>
          <w:sz w:val="19"/>
        </w:rPr>
        <w:t>MVP-Scope: Keine Wallets, kein Valet, keine eigene kWh-Abrechnung und keine globale Freischaltung.</w:t>
      </w:r>
    </w:p>
    <w:p>
      <w:pPr>
        <w:pStyle w:val="Heading1"/>
      </w:pPr>
      <w:r>
        <w:t>Quellen und Referenzen</w:t>
      </w:r>
    </w:p>
    <w:p>
      <w:r>
        <w:rPr>
          <w:b/>
        </w:rPr>
        <w:t xml:space="preserve">Abruf- und Prüfstand: </w:t>
      </w:r>
      <w:r>
        <w:t>16. Juli 2026. Es wurden überwiegend amtliche oder primäre Quellen verwendet. Produktanbieter werden nur als technische oder wettbewerbliche Beispiele genannt.</w:t>
      </w:r>
    </w:p>
    <w:p>
      <w:pPr>
        <w:spacing w:after="40"/>
        <w:ind w:left="312" w:hanging="255"/>
      </w:pPr>
      <w:r>
        <w:rPr>
          <w:rFonts w:ascii="Aptos" w:hAnsi="Aptos"/>
          <w:b/>
          <w:color w:val="17365D"/>
          <w:sz w:val="19"/>
        </w:rPr>
        <w:t xml:space="preserve">1. </w:t>
      </w:r>
      <w:hyperlink r:id="rId11">
        <w:r>
          <w:rPr>
            <w:color w:val="009999"/>
            <w:u w:val="single"/>
          </w:rPr>
          <w:t>§ 540 BGB – Gebrauchsüberlassung an Dritte</w:t>
        </w:r>
      </w:hyperlink>
    </w:p>
    <w:p>
      <w:pPr>
        <w:spacing w:after="40"/>
        <w:ind w:left="312" w:hanging="255"/>
      </w:pPr>
      <w:r>
        <w:rPr>
          <w:rFonts w:ascii="Aptos" w:hAnsi="Aptos"/>
          <w:b/>
          <w:color w:val="17365D"/>
          <w:sz w:val="19"/>
        </w:rPr>
        <w:t xml:space="preserve">2. </w:t>
      </w:r>
      <w:hyperlink r:id="rId12">
        <w:r>
          <w:rPr>
            <w:color w:val="009999"/>
            <w:u w:val="single"/>
          </w:rPr>
          <w:t>§ 543 BGB – Außerordentliche fristlose Kündigung</w:t>
        </w:r>
      </w:hyperlink>
    </w:p>
    <w:p>
      <w:pPr>
        <w:spacing w:after="40"/>
        <w:ind w:left="312" w:hanging="255"/>
      </w:pPr>
      <w:r>
        <w:rPr>
          <w:rFonts w:ascii="Aptos" w:hAnsi="Aptos"/>
          <w:b/>
          <w:color w:val="17365D"/>
          <w:sz w:val="19"/>
        </w:rPr>
        <w:t xml:space="preserve">3. </w:t>
      </w:r>
      <w:hyperlink r:id="rId13">
        <w:r>
          <w:rPr>
            <w:color w:val="009999"/>
            <w:u w:val="single"/>
          </w:rPr>
          <w:t>BaFin – Merkblatt zum Zahlungsdiensteaufsichtsgesetz</w:t>
        </w:r>
      </w:hyperlink>
    </w:p>
    <w:p>
      <w:pPr>
        <w:spacing w:after="40"/>
        <w:ind w:left="312" w:hanging="255"/>
      </w:pPr>
      <w:r>
        <w:rPr>
          <w:rFonts w:ascii="Aptos" w:hAnsi="Aptos"/>
          <w:b/>
          <w:color w:val="17365D"/>
          <w:sz w:val="19"/>
        </w:rPr>
        <w:t xml:space="preserve">4. </w:t>
      </w:r>
      <w:hyperlink r:id="rId14">
        <w:r>
          <w:rPr>
            <w:color w:val="009999"/>
            <w:u w:val="single"/>
          </w:rPr>
          <w:t>EU – Digital Services Act, Verordnung (EU) 2022/2065</w:t>
        </w:r>
      </w:hyperlink>
    </w:p>
    <w:p>
      <w:pPr>
        <w:spacing w:after="40"/>
        <w:ind w:left="312" w:hanging="255"/>
      </w:pPr>
      <w:r>
        <w:rPr>
          <w:rFonts w:ascii="Aptos" w:hAnsi="Aptos"/>
          <w:b/>
          <w:color w:val="17365D"/>
          <w:sz w:val="19"/>
        </w:rPr>
        <w:t xml:space="preserve">5. </w:t>
      </w:r>
      <w:hyperlink r:id="rId15">
        <w:r>
          <w:rPr>
            <w:color w:val="009999"/>
            <w:u w:val="single"/>
          </w:rPr>
          <w:t>BMF – Anwendungsfragen zum Plattformen-Steuertransparenzgesetz</w:t>
        </w:r>
      </w:hyperlink>
    </w:p>
    <w:p>
      <w:pPr>
        <w:spacing w:after="40"/>
        <w:ind w:left="312" w:hanging="255"/>
      </w:pPr>
      <w:r>
        <w:rPr>
          <w:rFonts w:ascii="Aptos" w:hAnsi="Aptos"/>
          <w:b/>
          <w:color w:val="17365D"/>
          <w:sz w:val="19"/>
        </w:rPr>
        <w:t xml:space="preserve">6. </w:t>
      </w:r>
      <w:hyperlink r:id="rId16">
        <w:r>
          <w:rPr>
            <w:color w:val="009999"/>
            <w:u w:val="single"/>
          </w:rPr>
          <w:t>BZSt – FAQ zu DAC7/PStTG</w:t>
        </w:r>
      </w:hyperlink>
    </w:p>
    <w:p>
      <w:pPr>
        <w:spacing w:after="40"/>
        <w:ind w:left="312" w:hanging="255"/>
      </w:pPr>
      <w:r>
        <w:rPr>
          <w:rFonts w:ascii="Aptos" w:hAnsi="Aptos"/>
          <w:b/>
          <w:color w:val="17365D"/>
          <w:sz w:val="19"/>
        </w:rPr>
        <w:t xml:space="preserve">7. </w:t>
      </w:r>
      <w:hyperlink r:id="rId17">
        <w:r>
          <w:rPr>
            <w:color w:val="009999"/>
            <w:u w:val="single"/>
          </w:rPr>
          <w:t>§ 25 TDDDG – Schutz der Privatsphäre in Endeinrichtungen</w:t>
        </w:r>
      </w:hyperlink>
    </w:p>
    <w:p>
      <w:pPr>
        <w:spacing w:after="40"/>
        <w:ind w:left="312" w:hanging="255"/>
      </w:pPr>
      <w:r>
        <w:rPr>
          <w:rFonts w:ascii="Aptos" w:hAnsi="Aptos"/>
          <w:b/>
          <w:color w:val="17365D"/>
          <w:sz w:val="19"/>
        </w:rPr>
        <w:t xml:space="preserve">8. </w:t>
      </w:r>
      <w:hyperlink r:id="rId18">
        <w:r>
          <w:rPr>
            <w:color w:val="009999"/>
            <w:u w:val="single"/>
          </w:rPr>
          <w:t>Datenschutzkonferenz – Orientierungshilfe Digitale Dienste</w:t>
        </w:r>
      </w:hyperlink>
    </w:p>
    <w:p>
      <w:pPr>
        <w:spacing w:after="40"/>
        <w:ind w:left="312" w:hanging="255"/>
      </w:pPr>
      <w:r>
        <w:rPr>
          <w:rFonts w:ascii="Aptos" w:hAnsi="Aptos"/>
          <w:b/>
          <w:color w:val="17365D"/>
          <w:sz w:val="19"/>
        </w:rPr>
        <w:t xml:space="preserve">9. </w:t>
      </w:r>
      <w:hyperlink r:id="rId19">
        <w:r>
          <w:rPr>
            <w:color w:val="009999"/>
            <w:u w:val="single"/>
          </w:rPr>
          <w:t>EU – Datenschutz-Grundverordnung</w:t>
        </w:r>
      </w:hyperlink>
    </w:p>
    <w:p>
      <w:pPr>
        <w:spacing w:after="40"/>
        <w:ind w:left="312" w:hanging="255"/>
      </w:pPr>
      <w:r>
        <w:rPr>
          <w:rFonts w:ascii="Aptos" w:hAnsi="Aptos"/>
          <w:b/>
          <w:color w:val="17365D"/>
          <w:sz w:val="19"/>
        </w:rPr>
        <w:t xml:space="preserve">10. </w:t>
      </w:r>
      <w:hyperlink r:id="rId20">
        <w:r>
          <w:rPr>
            <w:color w:val="009999"/>
            <w:u w:val="single"/>
          </w:rPr>
          <w:t>Barrierefreiheitsstärkungsgesetz</w:t>
        </w:r>
      </w:hyperlink>
    </w:p>
    <w:p>
      <w:pPr>
        <w:spacing w:after="40"/>
        <w:ind w:left="312" w:hanging="255"/>
      </w:pPr>
      <w:r>
        <w:rPr>
          <w:rFonts w:ascii="Aptos" w:hAnsi="Aptos"/>
          <w:b/>
          <w:color w:val="17365D"/>
          <w:sz w:val="19"/>
        </w:rPr>
        <w:t xml:space="preserve">11. </w:t>
      </w:r>
      <w:hyperlink r:id="rId21">
        <w:r>
          <w:rPr>
            <w:color w:val="009999"/>
            <w:u w:val="single"/>
          </w:rPr>
          <w:t>Kraftfahrt-Bundesamt – Fahrzeugbestand am 1. Januar 2026</w:t>
        </w:r>
      </w:hyperlink>
    </w:p>
    <w:p>
      <w:pPr>
        <w:spacing w:after="40"/>
        <w:ind w:left="312" w:hanging="255"/>
      </w:pPr>
      <w:r>
        <w:rPr>
          <w:rFonts w:ascii="Aptos" w:hAnsi="Aptos"/>
          <w:b/>
          <w:color w:val="17365D"/>
          <w:sz w:val="19"/>
        </w:rPr>
        <w:t xml:space="preserve">12. </w:t>
      </w:r>
      <w:hyperlink r:id="rId22">
        <w:r>
          <w:rPr>
            <w:color w:val="009999"/>
            <w:u w:val="single"/>
          </w:rPr>
          <w:t>BMDV – Perspektiven für den Stadtverkehr der Zukunft</w:t>
        </w:r>
      </w:hyperlink>
    </w:p>
    <w:p>
      <w:pPr>
        <w:spacing w:after="40"/>
        <w:ind w:left="312" w:hanging="255"/>
      </w:pPr>
      <w:r>
        <w:rPr>
          <w:rFonts w:ascii="Aptos" w:hAnsi="Aptos"/>
          <w:b/>
          <w:color w:val="17365D"/>
          <w:sz w:val="19"/>
        </w:rPr>
        <w:t xml:space="preserve">13. </w:t>
      </w:r>
      <w:hyperlink r:id="rId23">
        <w:r>
          <w:rPr>
            <w:color w:val="009999"/>
            <w:u w:val="single"/>
          </w:rPr>
          <w:t>ParkBee – offizielles Angebot</w:t>
        </w:r>
      </w:hyperlink>
    </w:p>
    <w:p>
      <w:pPr>
        <w:spacing w:after="40"/>
        <w:ind w:left="312" w:hanging="255"/>
      </w:pPr>
      <w:r>
        <w:rPr>
          <w:rFonts w:ascii="Aptos" w:hAnsi="Aptos"/>
          <w:b/>
          <w:color w:val="17365D"/>
          <w:sz w:val="19"/>
        </w:rPr>
        <w:t xml:space="preserve">14. </w:t>
      </w:r>
      <w:hyperlink r:id="rId24">
        <w:r>
          <w:rPr>
            <w:color w:val="009999"/>
            <w:u w:val="single"/>
          </w:rPr>
          <w:t>Mobypark – offizielles Angebot</w:t>
        </w:r>
      </w:hyperlink>
    </w:p>
    <w:p>
      <w:pPr>
        <w:spacing w:after="40"/>
        <w:ind w:left="312" w:hanging="255"/>
      </w:pPr>
      <w:r>
        <w:rPr>
          <w:rFonts w:ascii="Aptos" w:hAnsi="Aptos"/>
          <w:b/>
          <w:color w:val="17365D"/>
          <w:sz w:val="19"/>
        </w:rPr>
        <w:t xml:space="preserve">15. </w:t>
      </w:r>
      <w:hyperlink r:id="rId25">
        <w:r>
          <w:rPr>
            <w:color w:val="009999"/>
            <w:u w:val="single"/>
          </w:rPr>
          <w:t>JustPark – offizielles Angebot</w:t>
        </w:r>
      </w:hyperlink>
    </w:p>
    <w:sectPr w:rsidR="00FC693F" w:rsidRPr="0006063C" w:rsidSect="00034616">
      <w:headerReference w:type="default" r:id="rId9"/>
      <w:footerReference w:type="default" r:id="rId10"/>
      <w:pgSz w:w="11906" w:h="16838"/>
      <w:pgMar w:top="907" w:right="992" w:bottom="907"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B7280"/>
        <w:sz w:val="16"/>
      </w:rPr>
      <w:t>Parkplatz-Sharing-Plattform | Businessplan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999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esetze-im-internet.de/bgb/__540.html" TargetMode="External"/><Relationship Id="rId12" Type="http://schemas.openxmlformats.org/officeDocument/2006/relationships/hyperlink" Target="https://www.gesetze-im-internet.de/bgb/__543.html" TargetMode="External"/><Relationship Id="rId13" Type="http://schemas.openxmlformats.org/officeDocument/2006/relationships/hyperlink" Target="https://www.bafin.de/SharedDocs/Veroeffentlichungen/DE/Merkblatt/mb_111222_zag.html" TargetMode="External"/><Relationship Id="rId14" Type="http://schemas.openxmlformats.org/officeDocument/2006/relationships/hyperlink" Target="https://eur-lex.europa.eu/eli/reg/2022/2065/oj/deu" TargetMode="External"/><Relationship Id="rId15" Type="http://schemas.openxmlformats.org/officeDocument/2006/relationships/hyperlink" Target="https://www.bundesfinanzministerium.de/Content/DE/Downloads/BMF_Schreiben/Internationales_Steuerrecht/Allgemeine_Informationen/2023-02-02-anwendungsfragen-zum-plattformen-steuertransparenzgesetz.pdf" TargetMode="External"/><Relationship Id="rId16" Type="http://schemas.openxmlformats.org/officeDocument/2006/relationships/hyperlink" Target="https://www.bzst.de/SharedDocs/Downloads/DE/Digitale_Plattformbetreiber/FAQ_PStTG.pdf" TargetMode="External"/><Relationship Id="rId17" Type="http://schemas.openxmlformats.org/officeDocument/2006/relationships/hyperlink" Target="https://www.gesetze-im-internet.de/ttdsg/__25.html" TargetMode="External"/><Relationship Id="rId18" Type="http://schemas.openxmlformats.org/officeDocument/2006/relationships/hyperlink" Target="https://www.datenschutzkonferenz-online.de/media/oh/OH_Digitale_Dienste.pdf" TargetMode="External"/><Relationship Id="rId19" Type="http://schemas.openxmlformats.org/officeDocument/2006/relationships/hyperlink" Target="https://eur-lex.europa.eu/eli/reg/2016/679/oj/deu" TargetMode="External"/><Relationship Id="rId20" Type="http://schemas.openxmlformats.org/officeDocument/2006/relationships/hyperlink" Target="https://www.gesetze-im-internet.de/bfsg/" TargetMode="External"/><Relationship Id="rId21" Type="http://schemas.openxmlformats.org/officeDocument/2006/relationships/hyperlink" Target="https://www.kba.de/DE/Presse/Pressemitteilungen/Fahrzeugbestand/2026/pm09_fz_bestand_pm_komplett.html" TargetMode="External"/><Relationship Id="rId22" Type="http://schemas.openxmlformats.org/officeDocument/2006/relationships/hyperlink" Target="https://bmdv.bund.de/SharedDocs/DE/Anlage/G/perspektiven-stadtverkehr-zukunft.pdf" TargetMode="External"/><Relationship Id="rId23" Type="http://schemas.openxmlformats.org/officeDocument/2006/relationships/hyperlink" Target="https://parkbee.com/en" TargetMode="External"/><Relationship Id="rId24" Type="http://schemas.openxmlformats.org/officeDocument/2006/relationships/hyperlink" Target="https://www.mobypark.com/de" TargetMode="External"/><Relationship Id="rId25" Type="http://schemas.openxmlformats.org/officeDocument/2006/relationships/hyperlink" Target="https://www.justpa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Businessplan Parkplatz-Sharing-Plattform</dc:title>
  <dc:subject>Businessplan, Compliance und Go-to-Market</dc:subject>
  <dc:creator>OpenAI – Entwurf für den Nutzer</dc:creator>
  <cp:keywords>Parkplatz, Sharing, Marktplatz, Businessplan, Datenschutz, Compliance</cp:keywords>
  <dc:description>generated by python-docx</dc:description>
  <cp:lastModifiedBy/>
  <cp:revision>1</cp:revision>
  <dcterms:created xsi:type="dcterms:W3CDTF">2013-12-23T23:15:00Z</dcterms:created>
  <dcterms:modified xsi:type="dcterms:W3CDTF">2013-12-23T23:15:00Z</dcterms:modified>
  <cp:category/>
</cp:coreProperties>
</file>