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Referral rates for PCP follow-up in Hypertensive ED patients with a diagnosis of back pain- A retrospective analysis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Zachary Felke, 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Statistician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Peter B Richman, MD MBA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ACEP recognizes that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often the first contact for patients with findings of asymptomatic hypertension and recommends goal directed referral for close outpatient follow-up of 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ese patients.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However, 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a paucity of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studies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examining whether such referrals occur.  We evaluated the proportion of hypertension specific outpatient referrals for a cohort of patients with a chief complaint of back pain that were found to be coincidentally hypertensive and were discharged home from the 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Methods: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 conducted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 retrospective, cross-sectional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study at urban, teaching ED. Over an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(XX month period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consecutive eligible patients age &gt;17 years were included who met both criteria: 1) discharged from the ED with a final ICD-10 diagnosis that included lumbago, cervical back pain, thoracic back pain or lumbar back pain; and 2) SBP reading &gt;140 mmHg at any point during ED stay as determined by structured EMR chart review by study authors. Within the structured review, authors also collected patient demographic/historical information, caring provider level (APP/physician), and, then, reviewed ED discharge instructions for goal directed referrals regarding elevated blood pressure. A second blinded author reviewed a sample of 25 previously reviewed records to assess for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inter-rater reliability (kappa).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Categorical data are presented as frequency of occurrence and analyzed by chi-square; continuous data are presented as means+/-SD and analyzed by t-tests. Odds ratios and 95% CIs were calculated. Multivariate logistic regression was performed to control for confounding.  The primary outcome parameter was the proportion of study patients that had a goal directed referral in the discharge instructions for hypertension.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Results: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508 patients met back pain diagnosis criteria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293 were also hypertensive comprising the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study group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% Diagnoses (Column B)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% Gender </w:t>
      </w:r>
      <w:r w:rsidDel="00000000" w:rsidR="00000000" w:rsidRPr="00000000">
        <w:rPr>
          <w:rFonts w:ascii="Arial" w:cs="Arial" w:eastAsia="Arial" w:hAnsi="Arial"/>
          <w:rtl w:val="0"/>
        </w:rPr>
        <w:t xml:space="preserve">(Column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mean age+/- SD (Column 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Ethnicity by grouping  </w:t>
      </w:r>
      <w:r w:rsidDel="00000000" w:rsidR="00000000" w:rsidRPr="00000000">
        <w:rPr>
          <w:rFonts w:ascii="Arial" w:cs="Arial" w:eastAsia="Arial" w:hAnsi="Arial"/>
          <w:rtl w:val="0"/>
        </w:rPr>
        <w:t xml:space="preserve">(Column 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 Received Analgesics (Column F)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 Received Antihypertensives (Column 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 History of Substance abuse (Column K)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 History of Chronic Pain (Column L)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 Prescriber level by grouping (Column M)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 referred to PCP for follow up (Column O)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% Received HTN goal directed DC instructions (Column P)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Bivariate analysis–evaluate each independent variable above relationship with the dependent variable as the study outcome parameter referral to address hypertension (Column P) for relationship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Multivariate logistic regression or similar analysis to control for confounding again with the dependent variable as the study outcome parameter referral to address hypertension (Column P)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B509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+3bVvaX86wZbX+ycmEDohrwC8Q==">CgMxLjA4AHIhMTZ6dFVUQWdTWWdNYktpX1ZxWGlHS09sT1VrN1QzTnNY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2023-09-08T01:26:00Z</dcterms:created>
</cp:coreProperties>
</file>