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80" w:after="240"/>
        <w:jc w:val="center"/>
      </w:pPr>
      <w:r>
        <w:rPr>
          <w:rFonts w:ascii="Calibri" w:hAnsi="Calibri"/>
          <w:b/>
          <w:i w:val="0"/>
          <w:color w:val="0B2545"/>
          <w:sz w:val="60"/>
        </w:rPr>
        <w:t>ASSET DISCOVERY</w:t>
      </w:r>
    </w:p>
    <w:p>
      <w:pPr>
        <w:spacing w:after="480"/>
        <w:jc w:val="center"/>
      </w:pPr>
      <w:r>
        <w:rPr>
          <w:rFonts w:ascii="Calibri" w:hAnsi="Calibri"/>
          <w:b w:val="0"/>
          <w:i w:val="0"/>
          <w:color w:val="2E74B5"/>
          <w:sz w:val="30"/>
        </w:rPr>
        <w:t>Reusable Planning, Inventory and Validation Template</w:t>
      </w:r>
    </w:p>
    <w:p>
      <w:pPr>
        <w:spacing w:after="720"/>
        <w:jc w:val="center"/>
      </w:pPr>
      <w:r>
        <w:rPr>
          <w:rFonts w:ascii="Calibri" w:hAnsi="Calibri"/>
          <w:b w:val="0"/>
          <w:i/>
          <w:color w:val="657180"/>
          <w:sz w:val="22"/>
        </w:rPr>
        <w:t>Identify what exists. Establish ownership. Verify exposure. Prioritize action.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Organization / Business Unit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[Enter organization or business unit]</w:t>
            </w:r>
          </w:p>
        </w:tc>
      </w:tr>
      <w:tr>
        <w:trPr>
          <w:cantSplit/>
        </w:trPr>
        <w:tc>
          <w:tcPr>
            <w:tcW w:type="dxa" w:w="27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Engagement / Project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[Enter engagement name]</w:t>
            </w:r>
          </w:p>
        </w:tc>
      </w:tr>
      <w:tr>
        <w:trPr>
          <w:cantSplit/>
        </w:trPr>
        <w:tc>
          <w:tcPr>
            <w:tcW w:type="dxa" w:w="27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Document Owner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[Name, role and contact]</w:t>
            </w:r>
          </w:p>
        </w:tc>
      </w:tr>
      <w:tr>
        <w:trPr>
          <w:cantSplit/>
        </w:trPr>
        <w:tc>
          <w:tcPr>
            <w:tcW w:type="dxa" w:w="27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Discovery Window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[Start date] to [End date]</w:t>
            </w:r>
          </w:p>
        </w:tc>
      </w:tr>
      <w:tr>
        <w:trPr>
          <w:cantSplit/>
        </w:trPr>
        <w:tc>
          <w:tcPr>
            <w:tcW w:type="dxa" w:w="27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Version / Classification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[v0.1]  |  [Internal / Confidential]</w:t>
            </w:r>
          </w:p>
        </w:tc>
      </w:tr>
    </w:tbl>
    <w:p>
      <w:pPr>
        <w:spacing w:after="120" w:before="0" w:line="240" w:lineRule="auto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</w: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 xml:space="preserve">PURPOSE  </w:t>
            </w:r>
            <w:r>
              <w:rPr>
                <w:rFonts w:ascii="Calibri" w:hAnsi="Calibri"/>
                <w:b w:val="0"/>
                <w:i w:val="0"/>
                <w:color w:val="263442"/>
                <w:sz w:val="20"/>
              </w:rPr>
              <w:t>Use this document to plan and record authorized discovery of network, cloud, endpoint, application, identity, data and operational-technology assets. Tailor the fields to the environment and retain evidence according to organizational policy.</w:t>
            </w:r>
          </w:p>
        </w:tc>
      </w:tr>
    </w:tbl>
    <w:p>
      <w:pPr>
        <w:spacing w:after="160" w:before="0" w:line="240" w:lineRule="auto"/>
      </w:pPr>
    </w:p>
    <w:p>
      <w:pPr>
        <w:pStyle w:val="Heading2"/>
        <w:keepNext/>
      </w:pPr>
      <w:r>
        <w:t>How to use this template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Confirm written authorization, scope, safety constraints and owners before any active scanning.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Collect passive evidence first, then use approved active techniques to close coverage gaps.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Normalize duplicates, validate ownership and business purpose, and record confidence and evidence.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Escalate unknown, externally exposed, unsupported or high-criticality assets through the agreed process.</w:t>
      </w:r>
    </w:p>
    <w:p>
      <w:r>
        <w:br w:type="page"/>
      </w:r>
    </w:p>
    <w:p>
      <w:pPr>
        <w:pStyle w:val="Heading1"/>
        <w:keepNext/>
      </w:pPr>
      <w:r>
        <w:t>1. Engagement profile and authorization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Complete this section before discovery begins. It establishes the authority, boundaries and contacts needed to run safely.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Business Sponsor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[Name / role / contact]</w:t>
            </w:r>
          </w:p>
        </w:tc>
      </w:tr>
      <w:tr>
        <w:trPr>
          <w:cantSplit/>
        </w:trPr>
        <w:tc>
          <w:tcPr>
            <w:tcW w:type="dxa" w:w="27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Technical Lead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[Name / role / contact]</w:t>
            </w:r>
          </w:p>
        </w:tc>
      </w:tr>
      <w:tr>
        <w:trPr>
          <w:cantSplit/>
        </w:trPr>
        <w:tc>
          <w:tcPr>
            <w:tcW w:type="dxa" w:w="27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Security Contact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[Name / role / contact]</w:t>
            </w:r>
          </w:p>
        </w:tc>
      </w:tr>
      <w:tr>
        <w:trPr>
          <w:cantSplit/>
        </w:trPr>
        <w:tc>
          <w:tcPr>
            <w:tcW w:type="dxa" w:w="27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Change / Incident Contact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[Name / escalation channel]</w:t>
            </w:r>
          </w:p>
        </w:tc>
      </w:tr>
      <w:tr>
        <w:trPr>
          <w:cantSplit/>
        </w:trPr>
        <w:tc>
          <w:tcPr>
            <w:tcW w:type="dxa" w:w="27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Written Authorization Reference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[Ticket, statement of work, email or approval ID]</w:t>
            </w:r>
          </w:p>
        </w:tc>
      </w:tr>
      <w:tr>
        <w:trPr>
          <w:cantSplit/>
        </w:trPr>
        <w:tc>
          <w:tcPr>
            <w:tcW w:type="dxa" w:w="27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Approved Dates and Hours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[Dates, time zone and permitted windows]</w:t>
            </w:r>
          </w:p>
        </w:tc>
      </w:tr>
    </w:tbl>
    <w:p>
      <w:pPr>
        <w:spacing w:after="120" w:before="0" w:line="240" w:lineRule="auto"/>
      </w:pPr>
    </w:p>
    <w:p>
      <w:pPr>
        <w:pStyle w:val="Heading2"/>
        <w:keepNext/>
      </w:pPr>
      <w:r>
        <w:t>Objectives and success criteria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4260"/>
        <w:gridCol w:w="1500"/>
      </w:tblGrid>
      <w:tr>
        <w:trPr>
          <w:cantSplit/>
          <w:tblHeader w:val="true"/>
        </w:trPr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</w: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Objective</w:t>
            </w:r>
          </w:p>
        </w:tc>
        <w:tc>
          <w:tcPr>
            <w:tcW w:type="dxa" w:w="4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</w: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Measure of success</w:t>
            </w:r>
          </w:p>
        </w:tc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</w: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Owner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[Example: establish an authoritative external asset baseline]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[All known domains/IP ranges reconciled; unknowns triaged]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[Role]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</w:tr>
    </w:tbl>
    <w:p>
      <w:pPr>
        <w:spacing w:after="120" w:before="0" w:line="240" w:lineRule="auto"/>
      </w:pPr>
    </w:p>
    <w:p>
      <w:pPr>
        <w:pStyle w:val="Heading2"/>
        <w:keepNext/>
      </w:pPr>
      <w:r>
        <w:t>Scope boundaries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cantSplit/>
          <w:tblHeader w:val="true"/>
        </w:trPr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</w: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In scope</w:t>
            </w:r>
          </w:p>
        </w:tc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</w: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Out of scope</w:t>
            </w:r>
          </w:p>
        </w:tc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</w: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Notes / constraints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[CIDRs, domains, accounts, sites, subsidiaries]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[Excluded systems or networks]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[Production sensitivity, third parties, rate limits]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</w:tr>
    </w:tbl>
    <w:p>
      <w:pPr>
        <w:spacing w:after="120" w:before="0" w:line="240" w:lineRule="auto"/>
      </w:pPr>
    </w:p>
    <w:p>
      <w:pPr>
        <w:pStyle w:val="Heading2"/>
        <w:keepNext/>
      </w:pPr>
      <w:r>
        <w:t>Authorization and safety checklist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☐ Written authorization is attached or referenced above.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☐ Asset owners and service providers have been notified where required.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☐ Permitted tools, scan intensity, source IPs and rate limits are documented.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☐ Critical systems, fragile devices and prohibited techniques are identified.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☐ A stop-work condition and emergency contact path are agreed.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☐ Evidence handling, data retention and privacy requirements are understood.</w:t>
      </w:r>
    </w:p>
    <w:p>
      <w:r>
        <w:br w:type="page"/>
      </w:r>
    </w:p>
    <w:p>
      <w:pPr>
        <w:pStyle w:val="Heading1"/>
        <w:keepNext/>
      </w:pPr>
      <w:r>
        <w:t>2. Discovery strategy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Select sources and techniques that fit the approved scope. Record the source, date, operator and coverage so results can be reproduced.</w:t>
      </w:r>
    </w:p>
    <w:p>
      <w:pPr>
        <w:pStyle w:val="Heading2"/>
        <w:keepNext/>
      </w:pPr>
      <w:r>
        <w:t>Discovery sources and techniques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5410"/>
        <w:gridCol w:w="1000"/>
        <w:gridCol w:w="1400"/>
      </w:tblGrid>
      <w:tr>
        <w:trPr>
          <w:cantSplit/>
          <w:tblHeader w:val="true"/>
        </w:trPr>
        <w:tc>
          <w:tcPr>
            <w:tcW w:type="dxa" w:w="15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</w: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Category</w:t>
            </w:r>
          </w:p>
        </w:tc>
        <w:tc>
          <w:tcPr>
            <w:tcW w:type="dxa" w:w="54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</w: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Potential sources / techniques</w:t>
            </w:r>
          </w:p>
        </w:tc>
        <w:tc>
          <w:tcPr>
            <w:tcW w:type="dxa" w:w="1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</w: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Selected</w:t>
            </w:r>
          </w:p>
        </w:tc>
        <w:tc>
          <w:tcPr>
            <w:tcW w:type="dxa" w:w="1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</w: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Owner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External footprint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DNS, certificate transparency, WHOIS/RDAP, ASN/IP allocations, cloud-hosted services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☐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[Role]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Network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Approved ping sweep, ARP/MAC tables, routing, DHCP, DNS, flow data, authenticated scanner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☐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[Role]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Endpoints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EDR/MDM, directory services, software deployment, vulnerability platform, procurement records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☐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[Role]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Cloud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Provider APIs, organizations/accounts/subscriptions/projects, resource graph, tags, security posture tools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☐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[Role]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Applications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CMDB, repositories, CI/CD, API gateways, WAF, load balancers, SaaS administration, SSO catalog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☐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[Role]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Identity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Directories, identity providers, service accounts, privileged access tools, access reviews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☐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[Role]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Data / OT / IoT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Data catalogs, storage inventories, industrial network records, facilities systems, vendor lists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☐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[Role]</w:t>
            </w:r>
          </w:p>
        </w:tc>
      </w:tr>
    </w:tbl>
    <w:p>
      <w:pPr>
        <w:spacing w:after="120" w:before="0" w:line="240" w:lineRule="auto"/>
      </w:pPr>
    </w:p>
    <w:p>
      <w:pPr>
        <w:pStyle w:val="Heading2"/>
        <w:keepNext/>
      </w:pPr>
      <w:r>
        <w:t>Execution plan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600"/>
        <w:gridCol w:w="1700"/>
        <w:gridCol w:w="2400"/>
        <w:gridCol w:w="1300"/>
        <w:gridCol w:w="1300"/>
        <w:gridCol w:w="2060"/>
      </w:tblGrid>
      <w:tr>
        <w:trPr>
          <w:cantSplit/>
          <w:tblHeader w:val="true"/>
        </w:trPr>
        <w:tc>
          <w:tcPr>
            <w:tcW w:type="dxa" w:w="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</w: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Step</w:t>
            </w:r>
          </w:p>
        </w:tc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</w: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Source / tool</w:t>
            </w:r>
          </w:p>
        </w:tc>
        <w:tc>
          <w:tcPr>
            <w:tcW w:type="dxa" w:w="2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</w: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Target / query</w:t>
            </w:r>
          </w:p>
        </w:tc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</w: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Window</w:t>
            </w:r>
          </w:p>
        </w:tc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</w: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Operator</w:t>
            </w:r>
          </w:p>
        </w:tc>
        <w:tc>
          <w:tcPr>
            <w:tcW w:type="dxa" w:w="2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</w: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Evidence location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</w:tr>
    </w:tbl>
    <w:p>
      <w:pPr>
        <w:spacing w:after="120" w:before="0" w:line="240" w:lineRule="auto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</w:r>
            <w:r>
              <w:rPr>
                <w:rFonts w:ascii="Calibri" w:hAnsi="Calibri"/>
                <w:b/>
                <w:i w:val="0"/>
                <w:color w:val="7A5A00"/>
                <w:sz w:val="20"/>
              </w:rPr>
              <w:t xml:space="preserve">SAFETY NOTE  </w:t>
            </w:r>
            <w:r>
              <w:rPr>
                <w:rFonts w:ascii="Calibri" w:hAnsi="Calibri"/>
                <w:b w:val="0"/>
                <w:i w:val="0"/>
                <w:color w:val="263442"/>
                <w:sz w:val="20"/>
              </w:rPr>
              <w:t>Do not interpret discovery approval as permission to exploit, authenticate, modify, disrupt or access data. Pause and escalate when results reveal sensitive systems, unexpected third-party infrastructure or signs of instability.</w:t>
            </w:r>
          </w:p>
        </w:tc>
      </w:tr>
    </w:tbl>
    <w:p>
      <w:pPr>
        <w:spacing w:after="160" w:before="0" w:line="240" w:lineRule="auto"/>
      </w:pPr>
    </w:p>
    <w:p>
      <w:r>
        <w:br w:type="page"/>
      </w:r>
    </w:p>
    <w:p>
      <w:pPr>
        <w:pStyle w:val="Heading1"/>
        <w:keepNext/>
      </w:pPr>
      <w:r>
        <w:t>3. Asset register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Assign each normalized asset a unique ID. Preserve raw evidence separately and link it in the Evidence reference field.</w:t>
      </w:r>
    </w:p>
    <w:p>
      <w:pPr>
        <w:pStyle w:val="Heading2"/>
        <w:keepNext/>
      </w:pPr>
      <w:r>
        <w:t>Summary register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820"/>
        <w:gridCol w:w="2350"/>
        <w:gridCol w:w="1200"/>
        <w:gridCol w:w="1700"/>
        <w:gridCol w:w="1250"/>
        <w:gridCol w:w="2040"/>
      </w:tblGrid>
      <w:tr>
        <w:trPr>
          <w:cantSplit/>
          <w:tblHeader w:val="true"/>
        </w:trPr>
        <w:tc>
          <w:tcPr>
            <w:tcW w:type="dxa" w:w="8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</w: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Asset ID</w:t>
            </w:r>
          </w:p>
        </w:tc>
        <w:tc>
          <w:tcPr>
            <w:tcW w:type="dxa" w:w="23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</w: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Asset / hostname</w:t>
            </w:r>
          </w:p>
        </w:tc>
        <w:tc>
          <w:tcPr>
            <w:tcW w:type="dxa" w:w="1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</w: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Type</w:t>
            </w:r>
          </w:p>
        </w:tc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</w: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Owner</w:t>
            </w:r>
          </w:p>
        </w:tc>
        <w:tc>
          <w:tcPr>
            <w:tcW w:type="dxa" w:w="12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</w: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Criticality</w:t>
            </w:r>
          </w:p>
        </w:tc>
        <w:tc>
          <w:tcPr>
            <w:tcW w:type="dxa" w:w="20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</w: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Disposition</w:t>
            </w:r>
          </w:p>
        </w:tc>
      </w:tr>
      <w:tr>
        <w:trPr>
          <w:cantSplit/>
        </w:trPr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</w:tr>
    </w:tbl>
    <w:p>
      <w:pPr>
        <w:spacing w:after="120" w:before="0" w:line="240" w:lineRule="auto"/>
      </w:pPr>
    </w:p>
    <w:p>
      <w:pPr>
        <w:pStyle w:val="Heading2"/>
        <w:keepNext/>
      </w:pPr>
      <w:r>
        <w:t>Required record quality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☐ Identifier is unique and duplicates have been linked or merged.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☐ At least one current evidence source and observation date are recorded.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☐ Business owner and technical custodian are named or explicitly marked unknown.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☐ Environment, exposure and criticality use the agreed taxonomy.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☐ Lifecycle status and next action are clear.</w:t>
      </w:r>
    </w:p>
    <w:p>
      <w:r>
        <w:br w:type="page"/>
      </w:r>
    </w:p>
    <w:p>
      <w:pPr>
        <w:pStyle w:val="Heading1"/>
        <w:keepNext/>
      </w:pPr>
      <w:r>
        <w:t>4. Asset detail worksheet</w:t>
      </w:r>
    </w:p>
    <w:p>
      <w:pPr>
        <w:spacing w:after="120" w:line="300" w:lineRule="auto"/>
      </w:pPr>
      <w:r>
        <w:rPr>
          <w:rFonts w:ascii="Calibri" w:hAnsi="Calibri"/>
          <w:b w:val="0"/>
          <w:i/>
          <w:color w:val="657180"/>
          <w:sz w:val="22"/>
        </w:rPr>
        <w:t>Duplicate this worksheet section for each asset that needs deeper validation or remediation tracking.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Asset ID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[AD-0001]</w:t>
            </w:r>
          </w:p>
        </w:tc>
      </w:tr>
      <w:tr>
        <w:trPr>
          <w:cantSplit/>
        </w:trPr>
        <w:tc>
          <w:tcPr>
            <w:tcW w:type="dxa" w:w="27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Primary name / hostname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[Fully qualified domain name, device name or resource name]</w:t>
            </w:r>
          </w:p>
        </w:tc>
      </w:tr>
      <w:tr>
        <w:trPr>
          <w:cantSplit/>
        </w:trPr>
        <w:tc>
          <w:tcPr>
            <w:tcW w:type="dxa" w:w="27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Asset type / subtype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[Server, endpoint, network device, application, SaaS, database, cloud resource, OT/IoT, other]</w:t>
            </w:r>
          </w:p>
        </w:tc>
      </w:tr>
      <w:tr>
        <w:trPr>
          <w:cantSplit/>
        </w:trPr>
        <w:tc>
          <w:tcPr>
            <w:tcW w:type="dxa" w:w="27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Identifiers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[IP, MAC, serial, cloud resource ID, URL, repository, tenant/account ID]</w:t>
            </w:r>
          </w:p>
        </w:tc>
      </w:tr>
      <w:tr>
        <w:trPr>
          <w:cantSplit/>
        </w:trPr>
        <w:tc>
          <w:tcPr>
            <w:tcW w:type="dxa" w:w="27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Environment / location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[Production / test / development; site / region / account]</w:t>
            </w:r>
          </w:p>
        </w:tc>
      </w:tr>
      <w:tr>
        <w:trPr>
          <w:cantSplit/>
        </w:trPr>
        <w:tc>
          <w:tcPr>
            <w:tcW w:type="dxa" w:w="27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Business owner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[Name / role / business unit]</w:t>
            </w:r>
          </w:p>
        </w:tc>
      </w:tr>
      <w:tr>
        <w:trPr>
          <w:cantSplit/>
        </w:trPr>
        <w:tc>
          <w:tcPr>
            <w:tcW w:type="dxa" w:w="27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Technical custodian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[Team / contact]</w:t>
            </w:r>
          </w:p>
        </w:tc>
      </w:tr>
      <w:tr>
        <w:trPr>
          <w:cantSplit/>
        </w:trPr>
        <w:tc>
          <w:tcPr>
            <w:tcW w:type="dxa" w:w="27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Business purpose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[Service supported and key dependencies]</w:t>
            </w:r>
          </w:p>
        </w:tc>
      </w:tr>
      <w:tr>
        <w:trPr>
          <w:cantSplit/>
        </w:trPr>
        <w:tc>
          <w:tcPr>
            <w:tcW w:type="dxa" w:w="27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Data classification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[Public / internal / confidential / restricted / not known]</w:t>
            </w:r>
          </w:p>
        </w:tc>
      </w:tr>
      <w:tr>
        <w:trPr>
          <w:cantSplit/>
        </w:trPr>
        <w:tc>
          <w:tcPr>
            <w:tcW w:type="dxa" w:w="27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Internet exposure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[External / internal / partner / isolated / not known]</w:t>
            </w:r>
          </w:p>
        </w:tc>
      </w:tr>
      <w:tr>
        <w:trPr>
          <w:cantSplit/>
        </w:trPr>
        <w:tc>
          <w:tcPr>
            <w:tcW w:type="dxa" w:w="27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Criticality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[Critical / high / medium / low, with rationale]</w:t>
            </w:r>
          </w:p>
        </w:tc>
      </w:tr>
      <w:tr>
        <w:trPr>
          <w:cantSplit/>
        </w:trPr>
        <w:tc>
          <w:tcPr>
            <w:tcW w:type="dxa" w:w="27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Lifecycle status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[Planned / active / dormant / unsupported / decommissioning / retired]</w:t>
            </w:r>
          </w:p>
        </w:tc>
      </w:tr>
      <w:tr>
        <w:trPr>
          <w:cantSplit/>
        </w:trPr>
        <w:tc>
          <w:tcPr>
            <w:tcW w:type="dxa" w:w="27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Security controls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[EDR, logging, backup, MFA, vulnerability management, segmentation]</w:t>
            </w:r>
          </w:p>
        </w:tc>
      </w:tr>
      <w:tr>
        <w:trPr>
          <w:cantSplit/>
        </w:trPr>
        <w:tc>
          <w:tcPr>
            <w:tcW w:type="dxa" w:w="27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Evidence reference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[Source, file/link, query, timestamp and collector]</w:t>
            </w:r>
          </w:p>
        </w:tc>
      </w:tr>
      <w:tr>
        <w:trPr>
          <w:cantSplit/>
        </w:trPr>
        <w:tc>
          <w:tcPr>
            <w:tcW w:type="dxa" w:w="27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Confidence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[High / medium / low, with reason]</w:t>
            </w:r>
          </w:p>
        </w:tc>
      </w:tr>
      <w:tr>
        <w:trPr>
          <w:cantSplit/>
        </w:trPr>
        <w:tc>
          <w:tcPr>
            <w:tcW w:type="dxa" w:w="27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Next action / due date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[Validate, onboard, remediate, accept, monitor or retire]</w:t>
            </w:r>
          </w:p>
        </w:tc>
      </w:tr>
    </w:tbl>
    <w:p>
      <w:pPr>
        <w:spacing w:after="120" w:before="0" w:line="240" w:lineRule="auto"/>
      </w:pPr>
    </w:p>
    <w:p>
      <w:pPr>
        <w:pStyle w:val="Heading2"/>
        <w:keepNext/>
      </w:pPr>
      <w:r>
        <w:t>Notes and dependencies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2300"/>
        <w:gridCol w:w="4260"/>
      </w:tblGrid>
      <w:tr>
        <w:trPr>
          <w:cantSplit/>
          <w:tblHeader w:val="true"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</w: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Dependency / related asset</w:t>
            </w:r>
          </w:p>
        </w:tc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</w: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Relationship</w:t>
            </w:r>
          </w:p>
        </w:tc>
        <w:tc>
          <w:tcPr>
            <w:tcW w:type="dxa" w:w="4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</w: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Notes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</w:tr>
    </w:tbl>
    <w:p>
      <w:pPr>
        <w:spacing w:after="120" w:before="0" w:line="240" w:lineRule="auto"/>
      </w:pPr>
    </w:p>
    <w:p>
      <w:r>
        <w:br w:type="page"/>
      </w:r>
    </w:p>
    <w:p>
      <w:pPr>
        <w:pStyle w:val="Heading1"/>
        <w:keepNext/>
      </w:pPr>
      <w:r>
        <w:t>5. Validation, gaps and risk triage</w:t>
      </w:r>
    </w:p>
    <w:p>
      <w:pPr>
        <w:pStyle w:val="Heading2"/>
        <w:keepNext/>
      </w:pPr>
      <w:r>
        <w:t>Reconciliation checks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☐ Compare results across at least two independent sources where practical.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☐ Resolve naming conflicts, stale records, NAT/shared addresses and ephemeral resources.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☐ Verify owner, purpose, environment and lifecycle with an accountable person.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☐ Confirm externally exposed assets through an approved external vantage point.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☐ Document unreachable, excluded and intermittently visible segments as coverage gaps.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☐ Record false positives and suppression logic so they do not reappear without review.</w:t>
      </w:r>
    </w:p>
    <w:p>
      <w:pPr>
        <w:pStyle w:val="Heading2"/>
        <w:keepNext/>
      </w:pPr>
      <w:r>
        <w:t>Unknown and exception log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900"/>
        <w:gridCol w:w="2400"/>
        <w:gridCol w:w="1300"/>
        <w:gridCol w:w="900"/>
        <w:gridCol w:w="1160"/>
      </w:tblGrid>
      <w:tr>
        <w:trPr>
          <w:cantSplit/>
          <w:tblHeader w:val="true"/>
        </w:trPr>
        <w:tc>
          <w:tcPr>
            <w:tcW w:type="dxa" w:w="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</w: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ID</w:t>
            </w:r>
          </w:p>
        </w:tc>
        <w:tc>
          <w:tcPr>
            <w:tcW w:type="dxa" w:w="2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</w: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Finding / unknown</w:t>
            </w:r>
          </w:p>
        </w:tc>
        <w:tc>
          <w:tcPr>
            <w:tcW w:type="dxa" w:w="2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</w: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Potential impact</w:t>
            </w:r>
          </w:p>
        </w:tc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</w: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Owner</w:t>
            </w:r>
          </w:p>
        </w:tc>
        <w:tc>
          <w:tcPr>
            <w:tcW w:type="dxa" w:w="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</w: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Due</w:t>
            </w:r>
          </w:p>
        </w:tc>
        <w:tc>
          <w:tcPr>
            <w:tcW w:type="dxa" w:w="1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</w: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Status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</w:tr>
    </w:tbl>
    <w:p>
      <w:pPr>
        <w:spacing w:after="120" w:before="0" w:line="240" w:lineRule="auto"/>
      </w:pPr>
    </w:p>
    <w:p>
      <w:pPr>
        <w:pStyle w:val="Heading2"/>
        <w:keepNext/>
      </w:pPr>
      <w:r>
        <w:t>Rapid triage indicators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4300"/>
        <w:gridCol w:w="3960"/>
      </w:tblGrid>
      <w:tr>
        <w:trPr>
          <w:cantSplit/>
          <w:tblHeader w:val="true"/>
        </w:trPr>
        <w:tc>
          <w:tcPr>
            <w:tcW w:type="dxa" w:w="1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</w: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Priority</w:t>
            </w:r>
          </w:p>
        </w:tc>
        <w:tc>
          <w:tcPr>
            <w:tcW w:type="dxa" w:w="4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</w: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Indicator</w:t>
            </w:r>
          </w:p>
        </w:tc>
        <w:tc>
          <w:tcPr>
            <w:tcW w:type="dxa" w:w="3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</w: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Expected response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Urgent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Unknown or unsupported asset with public exposure; suspected compromise; sensitive data exposure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Escalate immediately through the incident or emergency path.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High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Critical asset lacks an owner, baseline control or vulnerability coverage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Assign owner and tracked corrective action within the agreed SLA.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Medium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Inventory mismatch, stale record, incomplete metadata or unverified dependency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Validate and correct during the current review cycle.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Low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Naming, tagging or documentation hygiene issue with limited security impact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Add to backlog and monitor for recurrence.</w:t>
            </w:r>
          </w:p>
        </w:tc>
      </w:tr>
    </w:tbl>
    <w:p>
      <w:pPr>
        <w:spacing w:after="120" w:before="0" w:line="240" w:lineRule="auto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DECE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</w:r>
            <w:r>
              <w:rPr>
                <w:rFonts w:ascii="Calibri" w:hAnsi="Calibri"/>
                <w:b/>
                <w:i w:val="0"/>
                <w:color w:val="9B1C1C"/>
                <w:sz w:val="20"/>
              </w:rPr>
              <w:t xml:space="preserve">DECISION RULE  </w:t>
            </w:r>
            <w:r>
              <w:rPr>
                <w:rFonts w:ascii="Calibri" w:hAnsi="Calibri"/>
                <w:b w:val="0"/>
                <w:i w:val="0"/>
                <w:color w:val="263442"/>
                <w:sz w:val="20"/>
              </w:rPr>
              <w:t>Use the organization's approved risk model and escalation thresholds. The indicators above are prompts, not a substitute for formal risk assessment.</w:t>
            </w:r>
          </w:p>
        </w:tc>
      </w:tr>
    </w:tbl>
    <w:p>
      <w:pPr>
        <w:spacing w:after="160" w:before="0" w:line="240" w:lineRule="auto"/>
      </w:pPr>
    </w:p>
    <w:p>
      <w:r>
        <w:br w:type="page"/>
      </w:r>
    </w:p>
    <w:p>
      <w:pPr>
        <w:pStyle w:val="Heading1"/>
        <w:keepNext/>
      </w:pPr>
      <w:r>
        <w:t>6. Coverage summary and handoff</w:t>
      </w:r>
    </w:p>
    <w:p>
      <w:pPr>
        <w:pStyle w:val="Heading2"/>
        <w:keepNext/>
      </w:pPr>
      <w:r>
        <w:t>Discovery metrics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1400"/>
        <w:gridCol w:w="2200"/>
        <w:gridCol w:w="2660"/>
      </w:tblGrid>
      <w:tr>
        <w:trPr>
          <w:cantSplit/>
          <w:tblHeader w:val="true"/>
        </w:trPr>
        <w:tc>
          <w:tcPr>
            <w:tcW w:type="dxa" w:w="3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</w: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Metric</w:t>
            </w:r>
          </w:p>
        </w:tc>
        <w:tc>
          <w:tcPr>
            <w:tcW w:type="dxa" w:w="1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</w: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Result</w:t>
            </w:r>
          </w:p>
        </w:tc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</w: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Target / comparison</w:t>
            </w:r>
          </w:p>
        </w:tc>
        <w:tc>
          <w:tcPr>
            <w:tcW w:type="dxa" w:w="2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</w: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Notes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Unique assets discovered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[Count]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[Baseline / prior count]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[Explain material change]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Assets with confirmed owner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[%]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[Target %]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[Gap]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Assets with verified evidence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[%]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[Target %]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[Gap]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Externally exposed assets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[Count]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[Expected count]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[Unknown / unauthorized count]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Critical or high-criticality assets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[Count]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[Expected count]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[Coverage status]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Unknown / orphaned assets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[Count]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[Tolerance]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[Escalation status]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Coverage gaps / exclusions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[Count]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[Tolerance]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[Plan to close]</w:t>
            </w:r>
          </w:p>
        </w:tc>
      </w:tr>
    </w:tbl>
    <w:p>
      <w:pPr>
        <w:spacing w:after="120" w:before="0" w:line="240" w:lineRule="auto"/>
      </w:pPr>
    </w:p>
    <w:p>
      <w:pPr>
        <w:pStyle w:val="Heading2"/>
        <w:keepNext/>
      </w:pPr>
      <w:r>
        <w:t>Key outcomes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Material changes from baseline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[Summarize new, missing, retired or materially changed assets]</w:t>
            </w:r>
          </w:p>
        </w:tc>
      </w:tr>
      <w:tr>
        <w:trPr>
          <w:cantSplit/>
        </w:trPr>
        <w:tc>
          <w:tcPr>
            <w:tcW w:type="dxa" w:w="27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Top risks / exceptions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[Summarize highest-priority items and references]</w:t>
            </w:r>
          </w:p>
        </w:tc>
      </w:tr>
      <w:tr>
        <w:trPr>
          <w:cantSplit/>
        </w:trPr>
        <w:tc>
          <w:tcPr>
            <w:tcW w:type="dxa" w:w="27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Coverage limitations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[State exclusions, inaccessible sources and confidence limitations]</w:t>
            </w:r>
          </w:p>
        </w:tc>
      </w:tr>
      <w:tr>
        <w:trPr>
          <w:cantSplit/>
        </w:trPr>
        <w:tc>
          <w:tcPr>
            <w:tcW w:type="dxa" w:w="27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Recommended next actions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[List prioritized actions, owners and dates]</w:t>
            </w:r>
          </w:p>
        </w:tc>
      </w:tr>
      <w:tr>
        <w:trPr>
          <w:cantSplit/>
        </w:trPr>
        <w:tc>
          <w:tcPr>
            <w:tcW w:type="dxa" w:w="27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Authoritative inventory updated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[System / record ID / date / updater]</w:t>
            </w:r>
          </w:p>
        </w:tc>
      </w:tr>
      <w:tr>
        <w:trPr>
          <w:cantSplit/>
        </w:trPr>
        <w:tc>
          <w:tcPr>
            <w:tcW w:type="dxa" w:w="27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Evidence package location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[Approved repository path or case reference]</w:t>
            </w:r>
          </w:p>
        </w:tc>
      </w:tr>
    </w:tbl>
    <w:p>
      <w:pPr>
        <w:spacing w:after="120" w:before="0" w:line="240" w:lineRule="auto"/>
      </w:pPr>
    </w:p>
    <w:p>
      <w:pPr>
        <w:pStyle w:val="Heading2"/>
        <w:keepNext/>
      </w:pPr>
      <w:r>
        <w:t>Review and approval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2500"/>
        <w:gridCol w:w="3360"/>
        <w:gridCol w:w="1500"/>
      </w:tblGrid>
      <w:tr>
        <w:trPr>
          <w:cantSplit/>
          <w:tblHeader w:val="true"/>
        </w:trPr>
        <w:tc>
          <w:tcPr>
            <w:tcW w:type="dxa" w:w="2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</w: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Role</w:t>
            </w:r>
          </w:p>
        </w:tc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</w: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Name</w:t>
            </w:r>
          </w:p>
        </w:tc>
        <w:tc>
          <w:tcPr>
            <w:tcW w:type="dxa" w:w="3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</w: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Decision / signature</w:t>
            </w:r>
          </w:p>
        </w:tc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</w: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Date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Discovery lead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[Name]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[Complete / signature]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[Date]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Technical owner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[Name]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[Accepted / changes required]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[Date]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Security / risk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[Name]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[Accepted / exceptions noted]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[Date]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Business sponsor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[Name]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[Approved / deferred]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</w: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[Date]</w:t>
            </w:r>
          </w:p>
        </w:tc>
      </w:tr>
    </w:tbl>
    <w:p>
      <w:pPr>
        <w:spacing w:after="120" w:before="0" w:line="240" w:lineRule="auto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AB6C2"/>
              <w:start w:val="single" w:sz="6" w:color="AAB6C2"/>
              <w:bottom w:val="single" w:sz="6" w:color="AAB6C2"/>
              <w:end w:val="single" w:sz="6" w:color="AAB6C2"/>
              <w:insideH w:val="single" w:sz="6" w:color="AAB6C2"/>
              <w:insideV w:val="single" w:sz="6" w:color="AAB6C2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</w: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 xml:space="preserve">RETENTION  </w:t>
            </w:r>
            <w:r>
              <w:rPr>
                <w:rFonts w:ascii="Calibri" w:hAnsi="Calibri"/>
                <w:b w:val="0"/>
                <w:i w:val="0"/>
                <w:color w:val="263442"/>
                <w:sz w:val="20"/>
              </w:rPr>
              <w:t>Store the completed register and supporting evidence only in approved locations. Apply classification, access-control, retention and disposal requirements appropriate to the asset data collected.</w:t>
            </w:r>
          </w:p>
        </w:tc>
      </w:tr>
    </w:tbl>
    <w:p>
      <w:pPr>
        <w:spacing w:after="160" w:before="0" w:line="240" w:lineRule="auto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/>
        <w:b w:val="0"/>
        <w:i w:val="0"/>
        <w:color w:val="657180"/>
        <w:sz w:val="18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0"/>
    </w:pPr>
    <w:r/>
    <w:r>
      <w:rPr>
        <w:rFonts w:ascii="Calibri" w:hAnsi="Calibri"/>
        <w:b/>
        <w:i w:val="0"/>
        <w:color w:val="657180"/>
        <w:sz w:val="17"/>
      </w:rPr>
      <w:t>FEMTECH CYBERSECURITY</w:t>
    </w:r>
    <w:r>
      <w:rPr>
        <w:rFonts w:ascii="Calibri" w:hAnsi="Calibri"/>
        <w:b w:val="0"/>
        <w:i w:val="0"/>
        <w:color w:val="657180"/>
        <w:sz w:val="17"/>
      </w:rPr>
      <w:tab/>
      <w:t>ASSET DISCOVERY TEMPLATE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Asset Discovery Template</dc:title>
  <dc:subject>Cybersecurity asset discovery planning, inventory and validation</dc:subject>
  <dc:creator>FEMTECH Cybersecurity</dc:creator>
  <cp:keywords>asset discovery, asset inventory, cybersecurity, attack surface, CMDB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