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7070" w14:textId="77777777" w:rsidR="00D072A1" w:rsidRPr="001A5166" w:rsidRDefault="00B14249" w:rsidP="005D3D7B">
      <w:pPr>
        <w:spacing w:after="40"/>
        <w:jc w:val="center"/>
        <w:rPr>
          <w:rFonts w:ascii="Times New Roman" w:hAnsi="Times New Roman" w:cs="Times New Roman"/>
          <w:b/>
          <w:color w:val="auto"/>
          <w:sz w:val="24"/>
          <w:szCs w:val="24"/>
        </w:rPr>
      </w:pPr>
      <w:r>
        <w:rPr>
          <w:rFonts w:ascii="Times New Roman" w:hAnsi="Times New Roman" w:cs="Times New Roman"/>
          <w:b/>
          <w:bCs/>
          <w:color w:val="auto"/>
          <w:sz w:val="24"/>
          <w:szCs w:val="24"/>
        </w:rPr>
        <w:t>GENERATIVE ARTIFICIAL INTELLIGENCE POLICY</w:t>
      </w:r>
    </w:p>
    <w:p w14:paraId="2DDF2E86" w14:textId="77777777" w:rsidR="00BF7CD9" w:rsidRDefault="00D32411" w:rsidP="005D3D7B">
      <w:pPr>
        <w:spacing w:after="4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Version 2.0 </w:t>
      </w:r>
    </w:p>
    <w:p w14:paraId="0A90639D" w14:textId="6BB22FC3" w:rsidR="004C6492" w:rsidRPr="001A5166" w:rsidRDefault="004C6492" w:rsidP="005D3D7B">
      <w:pPr>
        <w:spacing w:after="40"/>
        <w:jc w:val="center"/>
        <w:rPr>
          <w:rFonts w:ascii="Times New Roman" w:hAnsi="Times New Roman" w:cs="Times New Roman"/>
          <w:color w:val="auto"/>
          <w:sz w:val="24"/>
          <w:szCs w:val="24"/>
        </w:rPr>
      </w:pPr>
      <w:r>
        <w:rPr>
          <w:rFonts w:ascii="Times New Roman" w:hAnsi="Times New Roman" w:cs="Times New Roman"/>
          <w:b/>
          <w:bCs/>
          <w:color w:val="auto"/>
          <w:sz w:val="24"/>
          <w:szCs w:val="24"/>
        </w:rPr>
        <w:t xml:space="preserve">Effective as of June </w:t>
      </w:r>
      <w:r w:rsidR="00994B07">
        <w:rPr>
          <w:rFonts w:ascii="Times New Roman" w:hAnsi="Times New Roman" w:cs="Times New Roman"/>
          <w:b/>
          <w:bCs/>
          <w:color w:val="auto"/>
          <w:sz w:val="24"/>
          <w:szCs w:val="24"/>
        </w:rPr>
        <w:t>1</w:t>
      </w:r>
      <w:r>
        <w:rPr>
          <w:rFonts w:ascii="Times New Roman" w:hAnsi="Times New Roman" w:cs="Times New Roman"/>
          <w:b/>
          <w:bCs/>
          <w:color w:val="auto"/>
          <w:sz w:val="24"/>
          <w:szCs w:val="24"/>
        </w:rPr>
        <w:t>8, 2026</w:t>
      </w:r>
    </w:p>
    <w:p w14:paraId="49607EA1" w14:textId="2FA7E377" w:rsidR="0041164B" w:rsidRPr="001E79C5" w:rsidRDefault="0041164B"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Purpose and Scope</w:t>
      </w:r>
    </w:p>
    <w:p w14:paraId="1A8252F2" w14:textId="7F7B138B" w:rsidR="00D072A1" w:rsidRPr="001A5166" w:rsidRDefault="00B14249" w:rsidP="00525007">
      <w:pPr>
        <w:spacing w:after="24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Falcon Rappaport &amp; Berkman LLP (the “Firm”) recognizes that generative AI tools (“AI Tools”) can enhance legal services but also present risks to attorney-client privilege, confidentiality, data security, accuracy, and professional ethics. This Generative Artificial Intelligence Policy (the “Policy”) establishes mandatory requirements for the responsible use of AI Tools by all Firm partners, attorneys, paralegals, staff, independent contractors, and other personnel (together, “Personnel”) and is designed to ensure compliance with applicable professional conduct rules in all jurisdictions in which the Firm practices. Except where a provision specifies otherwise, references in this Policy to AI Tools also encompass Background AI, AI Notetakers, and Agentic AI Tools, </w:t>
      </w:r>
      <w:proofErr w:type="gramStart"/>
      <w:r>
        <w:rPr>
          <w:rFonts w:ascii="Times New Roman" w:hAnsi="Times New Roman" w:cs="Times New Roman"/>
          <w:color w:val="auto"/>
          <w:sz w:val="24"/>
          <w:szCs w:val="24"/>
        </w:rPr>
        <w:t>whether or not</w:t>
      </w:r>
      <w:proofErr w:type="gramEnd"/>
      <w:r>
        <w:rPr>
          <w:rFonts w:ascii="Times New Roman" w:hAnsi="Times New Roman" w:cs="Times New Roman"/>
          <w:color w:val="auto"/>
          <w:sz w:val="24"/>
          <w:szCs w:val="24"/>
        </w:rPr>
        <w:t xml:space="preserve"> they are generative. You must agree to this Policy to maintain access to Firm-provided AI Tools.</w:t>
      </w:r>
    </w:p>
    <w:p w14:paraId="14B4BE78" w14:textId="02E75369" w:rsidR="00A3545E" w:rsidRPr="001A5166" w:rsidRDefault="00A3545E" w:rsidP="00525007">
      <w:pPr>
        <w:spacing w:after="24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This Policy applies to all Firm-related activities, whether performed on Firm premises, remotely, or on personal devices. The Firm has attorneys in various jurisdictions, and all Personnel must comply with jurisdiction-specific obligations (see </w:t>
      </w:r>
      <w:r>
        <w:rPr>
          <w:rFonts w:ascii="Times New Roman" w:hAnsi="Times New Roman" w:cs="Times New Roman"/>
          <w:b/>
          <w:bCs/>
          <w:color w:val="auto"/>
          <w:sz w:val="24"/>
          <w:szCs w:val="24"/>
        </w:rPr>
        <w:t>Appendix B</w:t>
      </w:r>
      <w:r>
        <w:rPr>
          <w:rFonts w:ascii="Times New Roman" w:hAnsi="Times New Roman" w:cs="Times New Roman"/>
          <w:color w:val="auto"/>
          <w:sz w:val="24"/>
          <w:szCs w:val="24"/>
        </w:rPr>
        <w:t>). If you are unsure of your obligations generally, or in a specific jurisdiction, please contact the Administrator of this Policy.</w:t>
      </w:r>
    </w:p>
    <w:p w14:paraId="4A88420D" w14:textId="56CE1057" w:rsidR="0041164B" w:rsidRPr="001E79C5" w:rsidRDefault="0041164B"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Definitions</w:t>
      </w:r>
    </w:p>
    <w:p w14:paraId="7B6916A6" w14:textId="447DAF11" w:rsidR="009737C0" w:rsidRPr="001A5166" w:rsidRDefault="00A3545E" w:rsidP="00843F88">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“Administrator”:</w:t>
      </w:r>
      <w:r>
        <w:rPr>
          <w:rFonts w:ascii="Times New Roman" w:hAnsi="Times New Roman" w:cs="Times New Roman"/>
          <w:color w:val="auto"/>
          <w:sz w:val="24"/>
          <w:szCs w:val="24"/>
        </w:rPr>
        <w:t xml:space="preserve"> the administrator of this Policy is Moish Peltz, the Co-Managing Partner of the Firm, and may be contacted at </w:t>
      </w:r>
      <w:hyperlink r:id="rId10" w:history="1">
        <w:r>
          <w:rPr>
            <w:rStyle w:val="Hyperlink"/>
            <w:rFonts w:ascii="Times New Roman" w:hAnsi="Times New Roman" w:cs="Times New Roman"/>
            <w:sz w:val="24"/>
            <w:szCs w:val="24"/>
          </w:rPr>
          <w:t>mpeltz@frblaw.com</w:t>
        </w:r>
      </w:hyperlink>
      <w:r>
        <w:rPr>
          <w:rFonts w:ascii="Times New Roman" w:hAnsi="Times New Roman" w:cs="Times New Roman"/>
          <w:color w:val="auto"/>
          <w:sz w:val="24"/>
          <w:szCs w:val="24"/>
        </w:rPr>
        <w:t>.</w:t>
      </w:r>
    </w:p>
    <w:p w14:paraId="0996EACD" w14:textId="77777777" w:rsidR="00A3545E" w:rsidRPr="001A5166" w:rsidRDefault="00A3545E" w:rsidP="00843F88">
      <w:pPr>
        <w:pStyle w:val="ListParagraph"/>
        <w:numPr>
          <w:ilvl w:val="0"/>
          <w:numId w:val="3"/>
        </w:numPr>
        <w:jc w:val="both"/>
        <w:rPr>
          <w:rFonts w:ascii="Times New Roman" w:hAnsi="Times New Roman" w:cs="Times New Roman"/>
          <w:b/>
          <w:bCs/>
          <w:color w:val="auto"/>
          <w:sz w:val="24"/>
          <w:szCs w:val="24"/>
        </w:rPr>
      </w:pPr>
      <w:r>
        <w:rPr>
          <w:rFonts w:ascii="Times New Roman" w:hAnsi="Times New Roman" w:cs="Times New Roman"/>
          <w:b/>
          <w:bCs/>
          <w:sz w:val="24"/>
          <w:szCs w:val="24"/>
        </w:rPr>
        <w:t>“Agentic AI Tools”:</w:t>
      </w:r>
      <w:r>
        <w:rPr>
          <w:rFonts w:ascii="Times New Roman" w:hAnsi="Times New Roman" w:cs="Times New Roman"/>
          <w:sz w:val="24"/>
          <w:szCs w:val="24"/>
        </w:rPr>
        <w:t xml:space="preserve"> AI Tools capable of performing multi-step tasks, making autonomous decisions, or taking actions without direct human intervention for each step.</w:t>
      </w:r>
    </w:p>
    <w:p w14:paraId="71ABF0E2" w14:textId="1997F359" w:rsidR="00466652" w:rsidRPr="001A5166" w:rsidRDefault="00B14249" w:rsidP="00146EB9">
      <w:pPr>
        <w:pStyle w:val="ListParagraph"/>
        <w:numPr>
          <w:ilvl w:val="0"/>
          <w:numId w:val="3"/>
        </w:numPr>
        <w:jc w:val="both"/>
        <w:rPr>
          <w:rFonts w:ascii="Times New Roman" w:hAnsi="Times New Roman" w:cs="Times New Roman"/>
          <w:sz w:val="24"/>
          <w:szCs w:val="24"/>
        </w:rPr>
      </w:pPr>
      <w:r>
        <w:rPr>
          <w:rFonts w:ascii="Times New Roman" w:hAnsi="Times New Roman" w:cs="Times New Roman"/>
          <w:b/>
          <w:bCs/>
          <w:color w:val="auto"/>
          <w:sz w:val="24"/>
          <w:szCs w:val="24"/>
        </w:rPr>
        <w:t>“Approved AI Tools”:</w:t>
      </w:r>
      <w:r>
        <w:rPr>
          <w:rFonts w:ascii="Times New Roman" w:hAnsi="Times New Roman" w:cs="Times New Roman"/>
          <w:color w:val="auto"/>
          <w:sz w:val="24"/>
          <w:szCs w:val="24"/>
        </w:rPr>
        <w:t xml:space="preserve"> AI Tools specifically vetted and approved by the Firm, as listed in </w:t>
      </w:r>
      <w:r>
        <w:rPr>
          <w:rFonts w:ascii="Times New Roman" w:hAnsi="Times New Roman" w:cs="Times New Roman"/>
          <w:b/>
          <w:color w:val="auto"/>
          <w:sz w:val="24"/>
          <w:szCs w:val="24"/>
        </w:rPr>
        <w:t>Appendix A</w:t>
      </w:r>
      <w:r>
        <w:rPr>
          <w:rFonts w:ascii="Times New Roman" w:hAnsi="Times New Roman" w:cs="Times New Roman"/>
          <w:color w:val="auto"/>
          <w:sz w:val="24"/>
          <w:szCs w:val="24"/>
        </w:rPr>
        <w:t>. For Firm attorneys and staff, this is primarily Harvey</w:t>
      </w:r>
      <w:r>
        <w:rPr>
          <w:rFonts w:ascii="Times New Roman" w:hAnsi="Times New Roman" w:cs="Times New Roman"/>
          <w:color w:val="auto"/>
          <w:sz w:val="24"/>
          <w:szCs w:val="24"/>
          <w:lang w:bidi="he-IL"/>
        </w:rPr>
        <w:t xml:space="preserve">. </w:t>
      </w:r>
      <w:r>
        <w:rPr>
          <w:rFonts w:ascii="Times New Roman" w:hAnsi="Times New Roman" w:cs="Times New Roman"/>
          <w:color w:val="auto"/>
          <w:sz w:val="24"/>
          <w:szCs w:val="24"/>
        </w:rPr>
        <w:t xml:space="preserve">Only Firm-issued enterprise licenses may be used. If you are granted access by the Administrator to a tool not included on </w:t>
      </w:r>
      <w:r>
        <w:rPr>
          <w:rFonts w:ascii="Times New Roman" w:hAnsi="Times New Roman" w:cs="Times New Roman"/>
          <w:b/>
          <w:color w:val="auto"/>
          <w:sz w:val="24"/>
          <w:szCs w:val="24"/>
        </w:rPr>
        <w:t>Appendix A</w:t>
      </w:r>
      <w:r>
        <w:rPr>
          <w:rFonts w:ascii="Times New Roman" w:hAnsi="Times New Roman" w:cs="Times New Roman"/>
          <w:color w:val="auto"/>
          <w:sz w:val="24"/>
          <w:szCs w:val="24"/>
        </w:rPr>
        <w:t>, the tool is deemed approved for use in connection with Firm business once that approval is confirmed in writing, subject to this Policy.</w:t>
      </w:r>
    </w:p>
    <w:p w14:paraId="6C44EF6E" w14:textId="3B4E62B1" w:rsidR="00D072A1" w:rsidRPr="001A5166" w:rsidRDefault="00B14249" w:rsidP="00BE6874">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“Harvey”:</w:t>
      </w:r>
      <w:r>
        <w:rPr>
          <w:rFonts w:ascii="Times New Roman" w:hAnsi="Times New Roman" w:cs="Times New Roman"/>
          <w:color w:val="auto"/>
          <w:sz w:val="24"/>
          <w:szCs w:val="24"/>
        </w:rPr>
        <w:t xml:space="preserve"> Counsel AI Corporation’s legal AI platform for drafting and analysis. Approved for use with Client Confidential Information, subject to client consent.</w:t>
      </w:r>
    </w:p>
    <w:p w14:paraId="2BA24D5E" w14:textId="14E555C8" w:rsidR="00D072A1" w:rsidRPr="001A5166" w:rsidRDefault="00B14249" w:rsidP="00BE6874">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“Background AI”</w:t>
      </w:r>
      <w:r>
        <w:rPr>
          <w:rFonts w:ascii="Times New Roman" w:hAnsi="Times New Roman" w:cs="Times New Roman"/>
          <w:b/>
          <w:color w:val="auto"/>
          <w:sz w:val="24"/>
          <w:szCs w:val="24"/>
        </w:rPr>
        <w:t>:</w:t>
      </w:r>
      <w:r>
        <w:rPr>
          <w:rFonts w:ascii="Times New Roman" w:hAnsi="Times New Roman" w:cs="Times New Roman"/>
          <w:color w:val="auto"/>
          <w:sz w:val="24"/>
          <w:szCs w:val="24"/>
        </w:rPr>
        <w:t xml:space="preserve"> Software used by the Firm that incidentally includes AI features, as identified in the non-exhaustive list set forth in </w:t>
      </w:r>
      <w:r>
        <w:rPr>
          <w:rFonts w:ascii="Times New Roman" w:hAnsi="Times New Roman" w:cs="Times New Roman"/>
          <w:b/>
          <w:bCs/>
          <w:color w:val="auto"/>
          <w:sz w:val="24"/>
          <w:szCs w:val="24"/>
        </w:rPr>
        <w:t>Appendix A</w:t>
      </w:r>
      <w:r>
        <w:rPr>
          <w:rFonts w:ascii="Times New Roman" w:hAnsi="Times New Roman" w:cs="Times New Roman"/>
          <w:color w:val="auto"/>
          <w:sz w:val="24"/>
          <w:szCs w:val="24"/>
        </w:rPr>
        <w:t>. These platforms do not train on customer data without explicit consent. All Background AI output must be reviewed for accuracy.</w:t>
      </w:r>
    </w:p>
    <w:p w14:paraId="0C7ED31D" w14:textId="6D267161" w:rsidR="00D072A1" w:rsidRPr="001A5166" w:rsidRDefault="00B14249" w:rsidP="00BE6874">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“Client Confidential Information”:</w:t>
      </w:r>
      <w:r>
        <w:rPr>
          <w:rFonts w:ascii="Times New Roman" w:hAnsi="Times New Roman" w:cs="Times New Roman"/>
          <w:color w:val="auto"/>
          <w:sz w:val="24"/>
          <w:szCs w:val="24"/>
        </w:rPr>
        <w:t xml:space="preserve"> All information relating to client representation, including client identity, legal advice, privileged communications, work product, case strategy, case details, and financial records.</w:t>
      </w:r>
    </w:p>
    <w:p w14:paraId="7875A958" w14:textId="77777777" w:rsidR="00A3545E" w:rsidRPr="001A5166" w:rsidRDefault="00A3545E" w:rsidP="00BE6874">
      <w:pPr>
        <w:pStyle w:val="ListParagrap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“Inputs”:</w:t>
      </w:r>
      <w:r>
        <w:rPr>
          <w:rFonts w:ascii="Times New Roman" w:hAnsi="Times New Roman" w:cs="Times New Roman"/>
          <w:sz w:val="24"/>
          <w:szCs w:val="24"/>
        </w:rPr>
        <w:t xml:space="preserve"> All data, information, prompts, documents, or other content submitted to an AI Tool by Personnel.</w:t>
      </w:r>
    </w:p>
    <w:p w14:paraId="54EE7C72" w14:textId="77777777" w:rsidR="00A3545E" w:rsidRPr="001A5166" w:rsidRDefault="00A3545E" w:rsidP="00BE6874">
      <w:pPr>
        <w:pStyle w:val="ListParagraph"/>
        <w:numPr>
          <w:ilvl w:val="0"/>
          <w:numId w:val="3"/>
        </w:numPr>
        <w:jc w:val="both"/>
        <w:rPr>
          <w:rFonts w:ascii="Times New Roman" w:hAnsi="Times New Roman" w:cs="Times New Roman"/>
          <w:b/>
          <w:bCs/>
          <w:color w:val="auto"/>
          <w:sz w:val="24"/>
          <w:szCs w:val="24"/>
        </w:rPr>
      </w:pPr>
      <w:r>
        <w:rPr>
          <w:rFonts w:ascii="Times New Roman" w:hAnsi="Times New Roman" w:cs="Times New Roman"/>
          <w:b/>
          <w:bCs/>
          <w:sz w:val="24"/>
          <w:szCs w:val="24"/>
        </w:rPr>
        <w:lastRenderedPageBreak/>
        <w:t>“Outputs”:</w:t>
      </w:r>
      <w:r>
        <w:rPr>
          <w:rFonts w:ascii="Times New Roman" w:hAnsi="Times New Roman" w:cs="Times New Roman"/>
          <w:sz w:val="24"/>
          <w:szCs w:val="24"/>
        </w:rPr>
        <w:t xml:space="preserve"> All results, responses, content, or materials generated by an AI Tool in response to Inputs.</w:t>
      </w:r>
    </w:p>
    <w:p w14:paraId="5C28F568" w14:textId="77777777" w:rsidR="00D072A1" w:rsidRPr="001A5166" w:rsidRDefault="00B14249" w:rsidP="00BE6874">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“Sensitive Information”:</w:t>
      </w:r>
      <w:r>
        <w:rPr>
          <w:rFonts w:ascii="Times New Roman" w:hAnsi="Times New Roman" w:cs="Times New Roman"/>
          <w:color w:val="auto"/>
          <w:sz w:val="24"/>
          <w:szCs w:val="24"/>
        </w:rPr>
        <w:t xml:space="preserve"> Client Confidential Information, Firm proprietary information, personal data, Material Nonpublic Information (“MNPI”), and any information subject to privilege or work product protection.</w:t>
      </w:r>
    </w:p>
    <w:p w14:paraId="2A5B8860" w14:textId="77777777" w:rsidR="00D072A1" w:rsidRPr="001A5166" w:rsidRDefault="00B14249" w:rsidP="00BE6874">
      <w:pPr>
        <w:pStyle w:val="ListParagraph"/>
        <w:numPr>
          <w:ilvl w:val="0"/>
          <w:numId w:val="3"/>
        </w:numPr>
        <w:jc w:val="both"/>
        <w:rPr>
          <w:rFonts w:ascii="Times New Roman" w:hAnsi="Times New Roman" w:cs="Times New Roman"/>
          <w:color w:val="auto"/>
          <w:sz w:val="24"/>
          <w:szCs w:val="24"/>
        </w:rPr>
      </w:pPr>
      <w:r>
        <w:rPr>
          <w:rFonts w:ascii="Times New Roman" w:hAnsi="Times New Roman" w:cs="Times New Roman"/>
          <w:b/>
          <w:bCs/>
          <w:color w:val="auto"/>
          <w:sz w:val="24"/>
          <w:szCs w:val="24"/>
        </w:rPr>
        <w:t>“Work Product”:</w:t>
      </w:r>
      <w:r>
        <w:rPr>
          <w:rFonts w:ascii="Times New Roman" w:hAnsi="Times New Roman" w:cs="Times New Roman"/>
          <w:color w:val="auto"/>
          <w:sz w:val="24"/>
          <w:szCs w:val="24"/>
        </w:rPr>
        <w:t xml:space="preserve"> Materials created by Firm Personnel in providing legal services, including documents reflecting legal analysis, opinions, advice, or strategy.</w:t>
      </w:r>
    </w:p>
    <w:p w14:paraId="7C507ACD" w14:textId="3A55B7B7" w:rsidR="0041164B" w:rsidRPr="001E79C5" w:rsidRDefault="0041164B"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Core Principles</w:t>
      </w:r>
    </w:p>
    <w:p w14:paraId="5963CF80" w14:textId="0575C6B8" w:rsidR="0041164B" w:rsidRPr="001A5166" w:rsidRDefault="0041164B"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Ethical and Professional Compliance</w:t>
      </w:r>
    </w:p>
    <w:p w14:paraId="767EF6FB" w14:textId="58CC0949" w:rsidR="001E7645" w:rsidRPr="001A5166" w:rsidRDefault="001E7645" w:rsidP="001E7645">
      <w:p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All AI use must comply with applicable laws, regulations, court rules, and Rules of Professional Conduct. Personnel must maintain competence in AI technology (ABA Rule 1.1), protect client confidentiality (Rule 1.6), supervise subordinates’ AI use (Rules 5.1, 5.3), exercise candor to tribunals (Rule 3.3), communicate with clients about AI use when relevant (Rule 1.4), and bill appropriately while using AI tools (Rule 1.5). Attorneys must stay current with jurisdiction-specific rules, including local court rules for any tribunal in which Work Product will be submitted. For detailed jurisdiction-specific ethics guidance applicable to each state in which the Firm practices, see </w:t>
      </w:r>
      <w:r>
        <w:rPr>
          <w:rFonts w:ascii="Times New Roman" w:hAnsi="Times New Roman" w:cs="Times New Roman"/>
          <w:b/>
          <w:bCs/>
          <w:color w:val="auto"/>
          <w:sz w:val="24"/>
          <w:szCs w:val="24"/>
        </w:rPr>
        <w:t>Appendix B</w:t>
      </w:r>
      <w:r>
        <w:rPr>
          <w:rFonts w:ascii="Times New Roman" w:hAnsi="Times New Roman" w:cs="Times New Roman"/>
          <w:color w:val="auto"/>
          <w:sz w:val="24"/>
          <w:szCs w:val="24"/>
        </w:rPr>
        <w:t>.</w:t>
      </w:r>
    </w:p>
    <w:p w14:paraId="79F3C765" w14:textId="12552F27" w:rsidR="0041164B" w:rsidRPr="001A5166" w:rsidRDefault="0041164B"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Client Consent and Engagement Letters</w:t>
      </w:r>
    </w:p>
    <w:p w14:paraId="4C6AD58C" w14:textId="58EDF0B1" w:rsidR="00A3545E" w:rsidRPr="001A5166" w:rsidRDefault="00A3545E" w:rsidP="000363AA">
      <w:pPr>
        <w:jc w:val="both"/>
        <w:rPr>
          <w:rFonts w:ascii="Times New Roman" w:hAnsi="Times New Roman" w:cs="Times New Roman"/>
          <w:color w:val="auto"/>
          <w:sz w:val="24"/>
          <w:szCs w:val="24"/>
        </w:rPr>
      </w:pPr>
      <w:r>
        <w:rPr>
          <w:rFonts w:ascii="Times New Roman" w:hAnsi="Times New Roman" w:cs="Times New Roman"/>
          <w:color w:val="auto"/>
          <w:sz w:val="24"/>
          <w:szCs w:val="24"/>
        </w:rPr>
        <w:t>The Firm has endeavored to ensure that all Firm clients have engagement letters that include default AI disclosure and informed consent language. In our representation of clients, Firm Personnel must ensure that the Firm uses AI responsibly in the course of representation and must use reasonable efforts to advise clients regarding the responsible use of AI, including a prohibition on the Firm’s use of public AI chatbots or other services that train on client or Firm data or that would waive client confidentiality or privilege.</w:t>
      </w:r>
    </w:p>
    <w:p w14:paraId="587A0DBC" w14:textId="77777777" w:rsidR="0041164B" w:rsidRPr="001A5166" w:rsidRDefault="0041164B"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Data Security and Privacy</w:t>
      </w:r>
    </w:p>
    <w:p w14:paraId="441D7BF1" w14:textId="79D1F978" w:rsidR="00F40641" w:rsidRPr="001A5166" w:rsidRDefault="00F40641" w:rsidP="000363AA">
      <w:pPr>
        <w:spacing w:after="40"/>
        <w:jc w:val="both"/>
        <w:rPr>
          <w:rFonts w:ascii="Times New Roman" w:hAnsi="Times New Roman" w:cs="Times New Roman"/>
          <w:sz w:val="24"/>
          <w:szCs w:val="24"/>
        </w:rPr>
      </w:pPr>
      <w:r>
        <w:rPr>
          <w:rFonts w:ascii="Times New Roman" w:hAnsi="Times New Roman" w:cs="Times New Roman"/>
          <w:color w:val="auto"/>
          <w:sz w:val="24"/>
          <w:szCs w:val="24"/>
        </w:rPr>
        <w:t xml:space="preserve">Firm Personnel should comply with all Firm policies and use appropriate safeguards (encryption, secure passwords, multi-factor authentication) consistent with the Firm’s data security policies. Personnel should use AI Tools responsibly, including by adhering to the following: use reasonable judgment in inputting only the minimum information necessary, including using de-identified, redacted, or hypothetical data where feasible; avoid inputting </w:t>
      </w:r>
      <w:r w:rsidR="00607C7D">
        <w:rPr>
          <w:rFonts w:ascii="Times New Roman" w:hAnsi="Times New Roman" w:cs="Times New Roman"/>
          <w:color w:val="auto"/>
          <w:sz w:val="24"/>
          <w:szCs w:val="24"/>
        </w:rPr>
        <w:t>Sensitive Information</w:t>
      </w:r>
      <w:r>
        <w:rPr>
          <w:rFonts w:ascii="Times New Roman" w:hAnsi="Times New Roman" w:cs="Times New Roman"/>
          <w:sz w:val="24"/>
          <w:szCs w:val="24"/>
        </w:rPr>
        <w:t xml:space="preserve"> into AI Tools</w:t>
      </w:r>
      <w:r>
        <w:rPr>
          <w:rFonts w:ascii="Times New Roman" w:hAnsi="Times New Roman" w:cs="Times New Roman"/>
          <w:color w:val="auto"/>
          <w:sz w:val="24"/>
          <w:szCs w:val="24"/>
        </w:rPr>
        <w:t>, as such data is subject to heightened regulatory protections and poses elevated security risks</w:t>
      </w:r>
      <w:r>
        <w:rPr>
          <w:rFonts w:ascii="Times New Roman" w:hAnsi="Times New Roman" w:cs="Times New Roman"/>
          <w:sz w:val="24"/>
          <w:szCs w:val="24"/>
        </w:rPr>
        <w:t>.</w:t>
      </w:r>
    </w:p>
    <w:p w14:paraId="1D7CD978" w14:textId="68FEA862" w:rsidR="0041164B" w:rsidRPr="001A5166" w:rsidRDefault="0041164B"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Approved Tools Only</w:t>
      </w:r>
    </w:p>
    <w:p w14:paraId="47303D38" w14:textId="6189BC41" w:rsidR="00A3545E" w:rsidRPr="001A5166" w:rsidRDefault="00A3545E" w:rsidP="000363AA">
      <w:pPr>
        <w:jc w:val="both"/>
        <w:rPr>
          <w:rFonts w:ascii="Times New Roman" w:hAnsi="Times New Roman" w:cs="Times New Roman"/>
          <w:color w:val="auto"/>
          <w:sz w:val="24"/>
          <w:szCs w:val="24"/>
        </w:rPr>
      </w:pPr>
      <w:r>
        <w:rPr>
          <w:rFonts w:ascii="Times New Roman" w:hAnsi="Times New Roman" w:cs="Times New Roman"/>
          <w:color w:val="auto"/>
          <w:sz w:val="24"/>
          <w:szCs w:val="24"/>
        </w:rPr>
        <w:t>The Firm permits AI Tool usage exclusively through Firm-approved enterprise accounts. The use of non-approved AI tools, personal AI accounts, free-tier AI chatbots, AI tools which train on customer data, or consumer-tier subscriptions for ANY client work or Firm business is strictly prohibited and is grounds for termination of employment or engagement. To request an exception or evaluation of a new AI Tool, contact the Administrator.</w:t>
      </w:r>
    </w:p>
    <w:p w14:paraId="268FF0E1" w14:textId="0C8EA0CE" w:rsidR="0041164B" w:rsidRPr="001E79C5" w:rsidRDefault="0041164B"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 xml:space="preserve">Mandatory Verification of Citations and </w:t>
      </w:r>
      <w:proofErr w:type="gramStart"/>
      <w:r w:rsidRPr="001E79C5">
        <w:rPr>
          <w:rFonts w:ascii="Times New Roman" w:hAnsi="Times New Roman" w:cs="Times New Roman"/>
          <w:color w:val="auto"/>
          <w:sz w:val="24"/>
          <w:szCs w:val="24"/>
        </w:rPr>
        <w:t>Fact-Checking</w:t>
      </w:r>
      <w:proofErr w:type="gramEnd"/>
    </w:p>
    <w:p w14:paraId="20552BD0" w14:textId="77777777" w:rsidR="00E5687E" w:rsidRPr="001A5166" w:rsidRDefault="00E5687E" w:rsidP="00E5687E">
      <w:pPr>
        <w:spacing w:after="6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All Personnel must independently fact-check and verify everything generated by AI Tools before submitting it to any supervisor, partner, client, court, or other recipient. This includes all case citations, </w:t>
      </w:r>
      <w:r>
        <w:rPr>
          <w:rFonts w:ascii="Times New Roman" w:hAnsi="Times New Roman" w:cs="Times New Roman"/>
          <w:color w:val="auto"/>
          <w:sz w:val="24"/>
          <w:szCs w:val="24"/>
        </w:rPr>
        <w:lastRenderedPageBreak/>
        <w:t>statutes, regulations, factual assertions, dates, names, and quotations. AI Tools, including Harvey, can generate fabricated (“hallucinated”) citations (of both law and facts) that appear legitimate but are fictitious. While Harvey hallucinates at a lower rate than non-legal-specific tools, all output must be meticulously verified.</w:t>
      </w:r>
    </w:p>
    <w:p w14:paraId="7E7E9C28" w14:textId="472B5E1A" w:rsidR="00E5687E" w:rsidRPr="001A5166" w:rsidRDefault="00E5687E" w:rsidP="00972769">
      <w:pPr>
        <w:spacing w:after="60"/>
        <w:jc w:val="both"/>
        <w:rPr>
          <w:rFonts w:ascii="Times New Roman" w:hAnsi="Times New Roman" w:cs="Times New Roman"/>
          <w:color w:val="auto"/>
          <w:sz w:val="24"/>
          <w:szCs w:val="24"/>
        </w:rPr>
      </w:pPr>
      <w:r>
        <w:rPr>
          <w:rFonts w:ascii="Times New Roman" w:hAnsi="Times New Roman" w:cs="Times New Roman"/>
          <w:b/>
          <w:bCs/>
          <w:color w:val="auto"/>
          <w:sz w:val="24"/>
          <w:szCs w:val="24"/>
        </w:rPr>
        <w:t>Failure to verify AI-generated Work Product before submission is grounds for termination of employment or engagement. In each instance</w:t>
      </w:r>
    </w:p>
    <w:p w14:paraId="5A39A350" w14:textId="79065C8A" w:rsidR="00D072A1" w:rsidRPr="001A5166" w:rsidRDefault="00B14249" w:rsidP="00972769">
      <w:pPr>
        <w:pStyle w:val="ListParagraph"/>
        <w:numPr>
          <w:ilvl w:val="0"/>
          <w:numId w:val="2"/>
        </w:numPr>
        <w:spacing w:after="4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Verify all citations through the appropriate reporter or legal research database. KeyCite every case to confirm existence, holding, and validity. </w:t>
      </w:r>
    </w:p>
    <w:p w14:paraId="703B2CC5" w14:textId="77777777" w:rsidR="00A3545E" w:rsidRPr="001A5166" w:rsidRDefault="00A3545E" w:rsidP="00972769">
      <w:pPr>
        <w:pStyle w:val="ListParagraph"/>
        <w:numPr>
          <w:ilvl w:val="0"/>
          <w:numId w:val="2"/>
        </w:numPr>
        <w:spacing w:after="40"/>
        <w:jc w:val="both"/>
        <w:rPr>
          <w:rFonts w:ascii="Times New Roman" w:hAnsi="Times New Roman" w:cs="Times New Roman"/>
          <w:color w:val="auto"/>
          <w:sz w:val="24"/>
          <w:szCs w:val="24"/>
        </w:rPr>
      </w:pPr>
      <w:r>
        <w:rPr>
          <w:rFonts w:ascii="Times New Roman" w:hAnsi="Times New Roman" w:cs="Times New Roman"/>
          <w:color w:val="auto"/>
          <w:sz w:val="24"/>
          <w:szCs w:val="24"/>
        </w:rPr>
        <w:t>Use Westlaw’s Quick Check tool to confirm accuracy of all citations and quoted text.</w:t>
      </w:r>
    </w:p>
    <w:p w14:paraId="2931734F" w14:textId="77777777" w:rsidR="00D072A1" w:rsidRPr="001A5166" w:rsidRDefault="00B14249" w:rsidP="00972769">
      <w:pPr>
        <w:pStyle w:val="ListParagraph"/>
        <w:numPr>
          <w:ilvl w:val="0"/>
          <w:numId w:val="2"/>
        </w:numPr>
        <w:spacing w:after="40"/>
        <w:jc w:val="both"/>
        <w:rPr>
          <w:rFonts w:ascii="Times New Roman" w:hAnsi="Times New Roman" w:cs="Times New Roman"/>
          <w:color w:val="auto"/>
          <w:sz w:val="24"/>
          <w:szCs w:val="24"/>
        </w:rPr>
      </w:pPr>
      <w:r>
        <w:rPr>
          <w:rFonts w:ascii="Times New Roman" w:hAnsi="Times New Roman" w:cs="Times New Roman"/>
          <w:color w:val="auto"/>
          <w:sz w:val="24"/>
          <w:szCs w:val="24"/>
        </w:rPr>
        <w:t>Verify all factual assertions against primary sources.</w:t>
      </w:r>
    </w:p>
    <w:p w14:paraId="69216D59" w14:textId="2D9AE0E3" w:rsidR="00D072A1" w:rsidRPr="001A5166" w:rsidRDefault="00B14249" w:rsidP="00972769">
      <w:pPr>
        <w:pStyle w:val="ListParagraph"/>
        <w:numPr>
          <w:ilvl w:val="0"/>
          <w:numId w:val="2"/>
        </w:numPr>
        <w:spacing w:after="40"/>
        <w:jc w:val="both"/>
        <w:rPr>
          <w:rFonts w:ascii="Times New Roman" w:hAnsi="Times New Roman" w:cs="Times New Roman"/>
          <w:color w:val="auto"/>
          <w:sz w:val="24"/>
          <w:szCs w:val="24"/>
        </w:rPr>
      </w:pPr>
      <w:r>
        <w:rPr>
          <w:rFonts w:ascii="Times New Roman" w:hAnsi="Times New Roman" w:cs="Times New Roman"/>
          <w:color w:val="auto"/>
          <w:sz w:val="24"/>
          <w:szCs w:val="24"/>
        </w:rPr>
        <w:t>Do not present AI-generated content as original Work Product without human review. Where a client agreement, court rule, or standing order requires disclosure of AI use, include an appropriate AI-use disclaimer in the form approved by the Administrator or supervisor, as appropriate.</w:t>
      </w:r>
    </w:p>
    <w:p w14:paraId="426CCC65" w14:textId="77777777" w:rsidR="00D072A1" w:rsidRPr="001A5166" w:rsidRDefault="00B14783" w:rsidP="00972769">
      <w:pPr>
        <w:pStyle w:val="ListParagraph"/>
        <w:numPr>
          <w:ilvl w:val="0"/>
          <w:numId w:val="2"/>
        </w:numPr>
        <w:spacing w:after="40"/>
        <w:jc w:val="both"/>
        <w:rPr>
          <w:rFonts w:ascii="Times New Roman" w:hAnsi="Times New Roman" w:cs="Times New Roman"/>
          <w:color w:val="auto"/>
          <w:sz w:val="24"/>
          <w:szCs w:val="24"/>
        </w:rPr>
      </w:pPr>
      <w:r>
        <w:rPr>
          <w:rFonts w:ascii="Times New Roman" w:hAnsi="Times New Roman" w:cs="Times New Roman"/>
          <w:color w:val="auto"/>
          <w:sz w:val="24"/>
          <w:szCs w:val="24"/>
        </w:rPr>
        <w:t>Comply with all applicable court rules, standing orders, and individual judge rules governing the disclosure of AI use in filings in any tribunal in which Work Product will be submitted. Confirm the requirements applicable to the assigned judge and forum before each filing.</w:t>
      </w:r>
    </w:p>
    <w:p w14:paraId="62EA0918" w14:textId="1E4459C7" w:rsidR="00466652" w:rsidRPr="001A5166" w:rsidRDefault="00466652">
      <w:pPr>
        <w:rPr>
          <w:rFonts w:ascii="Times New Roman" w:hAnsi="Times New Roman" w:cs="Times New Roman"/>
          <w:sz w:val="24"/>
          <w:szCs w:val="24"/>
        </w:rPr>
      </w:pPr>
    </w:p>
    <w:p w14:paraId="379B6C30" w14:textId="56BBB336" w:rsidR="0041164B" w:rsidRPr="001E79C5" w:rsidRDefault="0041164B" w:rsidP="006956A9">
      <w:pPr>
        <w:pStyle w:val="Heading1"/>
        <w:numPr>
          <w:ilvl w:val="0"/>
          <w:numId w:val="13"/>
        </w:numPr>
        <w:jc w:val="both"/>
        <w:rPr>
          <w:rFonts w:ascii="Times New Roman" w:hAnsi="Times New Roman" w:cs="Times New Roman"/>
          <w:sz w:val="24"/>
          <w:szCs w:val="24"/>
        </w:rPr>
      </w:pPr>
      <w:r w:rsidRPr="001E79C5">
        <w:rPr>
          <w:rFonts w:ascii="Times New Roman" w:hAnsi="Times New Roman" w:cs="Times New Roman"/>
          <w:color w:val="auto"/>
          <w:sz w:val="24"/>
          <w:szCs w:val="24"/>
        </w:rPr>
        <w:t>Tool-Specific Usage Guidelines</w:t>
      </w:r>
    </w:p>
    <w:p w14:paraId="014D1CC6" w14:textId="79D6F72E" w:rsidR="00807B0A" w:rsidRPr="001A5166" w:rsidRDefault="00807B0A" w:rsidP="006956A9">
      <w:pPr>
        <w:pStyle w:val="Heading2"/>
        <w:numPr>
          <w:ilvl w:val="1"/>
          <w:numId w:val="13"/>
        </w:numPr>
        <w:jc w:val="both"/>
        <w:rPr>
          <w:rFonts w:ascii="Times New Roman" w:hAnsi="Times New Roman" w:cs="Times New Roman"/>
          <w:color w:val="auto"/>
        </w:rPr>
      </w:pPr>
      <w:r w:rsidRPr="006956A9">
        <w:rPr>
          <w:rFonts w:ascii="Times New Roman" w:hAnsi="Times New Roman" w:cs="Times New Roman"/>
          <w:b w:val="0"/>
          <w:bCs w:val="0"/>
          <w:color w:val="auto"/>
        </w:rPr>
        <w:t>Non-Enterprise Tools</w:t>
      </w:r>
    </w:p>
    <w:p w14:paraId="18996C7D" w14:textId="5E25B1D0" w:rsidR="00A3545E" w:rsidRPr="001A5166" w:rsidRDefault="00A3545E" w:rsidP="00972769">
      <w:pPr>
        <w:jc w:val="both"/>
        <w:rPr>
          <w:rFonts w:ascii="Times New Roman" w:hAnsi="Times New Roman" w:cs="Times New Roman"/>
          <w:color w:val="auto"/>
          <w:sz w:val="24"/>
          <w:szCs w:val="24"/>
        </w:rPr>
      </w:pPr>
      <w:r>
        <w:rPr>
          <w:rFonts w:ascii="Times New Roman" w:hAnsi="Times New Roman" w:cs="Times New Roman"/>
          <w:color w:val="auto"/>
          <w:sz w:val="24"/>
          <w:szCs w:val="24"/>
        </w:rPr>
        <w:t>The Firm regularly vets and provisions enterprise AI tools for Firm Personnel and requires that Firm Personnel only use Firm enterprise tools for Firm business and Work Product. Accordingly, Firm Personnel are prohibited from using personal or unapproved non-enterprise AI tools for any Firm business or Work Product without the Administrator’s approval. At minimum, for personal non-Firm work, we strongly recommend that all Personnel use a paid account with training disabled. If there are any tools that you would like the Firm to provision as an enterprise tool, please contact the Administrator.</w:t>
      </w:r>
    </w:p>
    <w:p w14:paraId="58CA4578" w14:textId="46D59460" w:rsidR="00807B0A" w:rsidRPr="001A5166" w:rsidRDefault="00807B0A" w:rsidP="006956A9">
      <w:pPr>
        <w:pStyle w:val="Heading2"/>
        <w:numPr>
          <w:ilvl w:val="1"/>
          <w:numId w:val="13"/>
        </w:numPr>
        <w:jc w:val="both"/>
        <w:rPr>
          <w:rFonts w:ascii="Times New Roman" w:hAnsi="Times New Roman" w:cs="Times New Roman"/>
          <w:color w:val="auto"/>
        </w:rPr>
      </w:pPr>
      <w:r w:rsidRPr="006956A9">
        <w:rPr>
          <w:rFonts w:ascii="Times New Roman" w:hAnsi="Times New Roman" w:cs="Times New Roman"/>
          <w:b w:val="0"/>
          <w:bCs w:val="0"/>
          <w:color w:val="auto"/>
        </w:rPr>
        <w:t>Enterprise AI Workspaces (e.g., Foundational LLMs)</w:t>
      </w:r>
    </w:p>
    <w:p w14:paraId="4C3EB42F" w14:textId="73229E84" w:rsidR="00D072A1" w:rsidRPr="001A5166" w:rsidRDefault="00B14249" w:rsidP="00D83241">
      <w:pPr>
        <w:spacing w:after="240"/>
        <w:jc w:val="both"/>
        <w:rPr>
          <w:rFonts w:ascii="Times New Roman" w:hAnsi="Times New Roman" w:cs="Times New Roman"/>
          <w:color w:val="auto"/>
          <w:sz w:val="24"/>
          <w:szCs w:val="24"/>
        </w:rPr>
      </w:pPr>
      <w:r>
        <w:rPr>
          <w:rFonts w:ascii="Times New Roman" w:hAnsi="Times New Roman" w:cs="Times New Roman"/>
          <w:b/>
          <w:bCs/>
          <w:color w:val="auto"/>
          <w:sz w:val="24"/>
          <w:szCs w:val="24"/>
        </w:rPr>
        <w:t>Permissible uses:</w:t>
      </w:r>
      <w:r>
        <w:rPr>
          <w:rFonts w:ascii="Times New Roman" w:hAnsi="Times New Roman" w:cs="Times New Roman"/>
          <w:color w:val="auto"/>
          <w:sz w:val="24"/>
          <w:szCs w:val="24"/>
        </w:rPr>
        <w:t xml:space="preserve"> General-purpose enterprise AI workspaces (e.g., foundational LLMs like ChatGPT and Claude) are primarily intended for drafting non-confidential communications unrelated to a client of the Firm, marketing or business development, non-client-facing content, summarizing publicly available information, brainstorming, and internal administrative documents or workflows. Approved AI Tools that are cleared for client-confidential use in Appendix A may be used for Client Confidential Information and Work Product subject to the conditions in Appendix A and this Section 5.2.</w:t>
      </w:r>
    </w:p>
    <w:p w14:paraId="1C934DB6" w14:textId="77777777" w:rsidR="00771D1E" w:rsidRPr="001A5166" w:rsidRDefault="00771D1E" w:rsidP="00D83241">
      <w:pPr>
        <w:spacing w:after="24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Specific Workspace Use Cases:</w:t>
      </w:r>
    </w:p>
    <w:p w14:paraId="5A190267" w14:textId="77777777" w:rsidR="00A3545E" w:rsidRPr="001A5166" w:rsidRDefault="00A3545E" w:rsidP="00972769">
      <w:pPr>
        <w:pStyle w:val="ListParagraph"/>
        <w:numPr>
          <w:ilvl w:val="0"/>
          <w:numId w:val="11"/>
        </w:numPr>
        <w:spacing w:after="24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Claude Cowork or other on-device or agentic use cases:</w:t>
      </w:r>
      <w:r>
        <w:rPr>
          <w:rFonts w:ascii="Times New Roman" w:hAnsi="Times New Roman" w:cs="Times New Roman"/>
          <w:color w:val="auto"/>
          <w:sz w:val="24"/>
          <w:szCs w:val="24"/>
        </w:rPr>
        <w:t xml:space="preserve"> To enable these use cases, please contact the Administrator. Firm Personnel may be required to undertake additional training to access such features.</w:t>
      </w:r>
    </w:p>
    <w:p w14:paraId="0C7E079B" w14:textId="77777777" w:rsidR="00A3545E" w:rsidRPr="001A5166" w:rsidRDefault="00A3545E" w:rsidP="00972769">
      <w:pPr>
        <w:pStyle w:val="ListParagraph"/>
        <w:numPr>
          <w:ilvl w:val="0"/>
          <w:numId w:val="11"/>
        </w:numPr>
        <w:spacing w:after="24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Connectors:</w:t>
      </w:r>
      <w:r>
        <w:rPr>
          <w:rFonts w:ascii="Times New Roman" w:hAnsi="Times New Roman" w:cs="Times New Roman"/>
          <w:color w:val="auto"/>
          <w:sz w:val="24"/>
          <w:szCs w:val="24"/>
        </w:rPr>
        <w:t xml:space="preserve"> Firm Personnel may request that the Administrator enable Connectors to other Firm enterprise tools.</w:t>
      </w:r>
    </w:p>
    <w:p w14:paraId="59F68525" w14:textId="44275492" w:rsidR="00A3545E" w:rsidRPr="001A5166" w:rsidRDefault="00A3545E" w:rsidP="00972769">
      <w:pPr>
        <w:pStyle w:val="ListParagraph"/>
        <w:numPr>
          <w:ilvl w:val="0"/>
          <w:numId w:val="11"/>
        </w:numPr>
        <w:spacing w:after="240"/>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Harvey:</w:t>
      </w:r>
      <w:r>
        <w:rPr>
          <w:rFonts w:ascii="Times New Roman" w:hAnsi="Times New Roman" w:cs="Times New Roman"/>
          <w:color w:val="auto"/>
          <w:sz w:val="24"/>
          <w:szCs w:val="24"/>
        </w:rPr>
        <w:t xml:space="preserve"> The Firm recommends that all Personnel use Harvey for Client Work Product, including (without limitation) drafting, contract analysis, substantive legal research, pleading preparation, and legal analysis involving Client Confidential Information.</w:t>
      </w:r>
    </w:p>
    <w:p w14:paraId="615ED35A" w14:textId="32B6E33D" w:rsidR="00A3545E" w:rsidRPr="001A5166" w:rsidRDefault="00A3545E" w:rsidP="00972769">
      <w:pPr>
        <w:pStyle w:val="ListParagraph"/>
        <w:numPr>
          <w:ilvl w:val="0"/>
          <w:numId w:val="11"/>
        </w:numPr>
        <w:spacing w:after="240"/>
        <w:jc w:val="both"/>
        <w:rPr>
          <w:rFonts w:ascii="Times New Roman" w:hAnsi="Times New Roman" w:cs="Times New Roman"/>
          <w:color w:val="auto"/>
          <w:sz w:val="24"/>
          <w:szCs w:val="24"/>
        </w:rPr>
      </w:pPr>
      <w:r>
        <w:rPr>
          <w:rFonts w:ascii="Times New Roman" w:hAnsi="Times New Roman" w:cs="Times New Roman"/>
          <w:b/>
          <w:bCs/>
          <w:color w:val="auto"/>
          <w:sz w:val="24"/>
          <w:szCs w:val="24"/>
        </w:rPr>
        <w:t>Harvey Vaults:</w:t>
      </w:r>
      <w:r>
        <w:rPr>
          <w:rFonts w:ascii="Times New Roman" w:hAnsi="Times New Roman" w:cs="Times New Roman"/>
          <w:color w:val="auto"/>
          <w:sz w:val="24"/>
          <w:szCs w:val="24"/>
        </w:rPr>
        <w:t xml:space="preserve"> Personnel can use Harvey Vaults to create and store Work Product but should ensure that any material documents are saved to the Firm’s document management system (NetDocuments).</w:t>
      </w:r>
    </w:p>
    <w:p w14:paraId="0DDF07A7" w14:textId="77777777" w:rsidR="00A3545E" w:rsidRPr="001A5166" w:rsidRDefault="00A3545E" w:rsidP="00972769">
      <w:pPr>
        <w:pStyle w:val="ListParagraph"/>
        <w:numPr>
          <w:ilvl w:val="0"/>
          <w:numId w:val="11"/>
        </w:numPr>
        <w:spacing w:after="240"/>
        <w:jc w:val="both"/>
        <w:rPr>
          <w:rFonts w:ascii="Times New Roman" w:hAnsi="Times New Roman" w:cs="Times New Roman"/>
          <w:color w:val="auto"/>
          <w:sz w:val="24"/>
          <w:szCs w:val="24"/>
        </w:rPr>
      </w:pPr>
      <w:r>
        <w:rPr>
          <w:rFonts w:ascii="Times New Roman" w:hAnsi="Times New Roman" w:cs="Times New Roman"/>
          <w:b/>
          <w:bCs/>
          <w:color w:val="auto"/>
          <w:sz w:val="24"/>
          <w:szCs w:val="24"/>
        </w:rPr>
        <w:t>Harvey Shared Spaces:</w:t>
      </w:r>
      <w:r>
        <w:rPr>
          <w:rFonts w:ascii="Times New Roman" w:hAnsi="Times New Roman" w:cs="Times New Roman"/>
          <w:color w:val="auto"/>
          <w:sz w:val="24"/>
          <w:szCs w:val="24"/>
        </w:rPr>
        <w:t xml:space="preserve"> May be enabled on a client-by-client basis, with the approval of the Administrator.</w:t>
      </w:r>
    </w:p>
    <w:p w14:paraId="15A86BB9" w14:textId="0AA9F9AD"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Background AI</w:t>
      </w:r>
    </w:p>
    <w:p w14:paraId="587099AE" w14:textId="77777777" w:rsidR="00A3545E" w:rsidRPr="001A5166" w:rsidRDefault="00A3545E" w:rsidP="00275645">
      <w:p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Background AI platforms (i.e., software that runs passively or incidentally includes AI features as part of broader functionality, such as legal research, productivity, communications, document management, scheduling, marketing, or workflow tools) may be used consistent with this Policy. A non-exhaustive list of </w:t>
      </w:r>
      <w:proofErr w:type="gramStart"/>
      <w:r>
        <w:rPr>
          <w:rFonts w:ascii="Times New Roman" w:hAnsi="Times New Roman" w:cs="Times New Roman"/>
          <w:color w:val="auto"/>
          <w:sz w:val="24"/>
          <w:szCs w:val="24"/>
        </w:rPr>
        <w:t>currently-used</w:t>
      </w:r>
      <w:proofErr w:type="gramEnd"/>
      <w:r>
        <w:rPr>
          <w:rFonts w:ascii="Times New Roman" w:hAnsi="Times New Roman" w:cs="Times New Roman"/>
          <w:color w:val="auto"/>
          <w:sz w:val="24"/>
          <w:szCs w:val="24"/>
        </w:rPr>
        <w:t xml:space="preserve"> Background AI platforms is set forth in </w:t>
      </w:r>
      <w:r>
        <w:rPr>
          <w:rFonts w:ascii="Times New Roman" w:hAnsi="Times New Roman" w:cs="Times New Roman"/>
          <w:b/>
          <w:bCs/>
          <w:color w:val="auto"/>
          <w:sz w:val="24"/>
          <w:szCs w:val="24"/>
        </w:rPr>
        <w:t>Appendix A</w:t>
      </w:r>
      <w:r>
        <w:rPr>
          <w:rFonts w:ascii="Times New Roman" w:hAnsi="Times New Roman" w:cs="Times New Roman"/>
          <w:color w:val="auto"/>
          <w:sz w:val="24"/>
          <w:szCs w:val="24"/>
        </w:rPr>
        <w:t>. All AI-generated content must be reviewed for accuracy.</w:t>
      </w:r>
    </w:p>
    <w:p w14:paraId="528CC715" w14:textId="35DC0A4F"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Client Use of AI</w:t>
      </w:r>
    </w:p>
    <w:p w14:paraId="4108915B" w14:textId="1DE94FB6" w:rsidR="00466652" w:rsidRPr="001A5166" w:rsidRDefault="00B02E58" w:rsidP="008A700E">
      <w:pPr>
        <w:jc w:val="both"/>
        <w:rPr>
          <w:rFonts w:ascii="Times New Roman" w:hAnsi="Times New Roman" w:cs="Times New Roman"/>
          <w:sz w:val="24"/>
          <w:szCs w:val="24"/>
        </w:rPr>
      </w:pPr>
      <w:r>
        <w:rPr>
          <w:rFonts w:ascii="Times New Roman" w:hAnsi="Times New Roman" w:cs="Times New Roman"/>
          <w:sz w:val="24"/>
          <w:szCs w:val="24"/>
        </w:rPr>
        <w:t>Notify all clients that using personal AI tools in connection with legal matters is not confidential and may waive attorney-client privilege and work product protections. Advise clients not to input attorney-client communications or work product into public AI tools, as such inputs and corresponding outputs may be discoverable in current or future litigation. Document this notification in the client file.</w:t>
      </w:r>
    </w:p>
    <w:p w14:paraId="7E24EC79" w14:textId="558455D6" w:rsidR="00807B0A" w:rsidRPr="001E79C5" w:rsidRDefault="00807B0A" w:rsidP="006956A9">
      <w:pPr>
        <w:pStyle w:val="Heading1"/>
        <w:numPr>
          <w:ilvl w:val="0"/>
          <w:numId w:val="13"/>
        </w:numPr>
        <w:jc w:val="both"/>
        <w:rPr>
          <w:rFonts w:ascii="Times New Roman" w:hAnsi="Times New Roman" w:cs="Times New Roman"/>
          <w:color w:val="auto"/>
          <w:sz w:val="24"/>
          <w:szCs w:val="24"/>
        </w:rPr>
      </w:pPr>
      <w:r w:rsidRPr="001E79C5">
        <w:rPr>
          <w:rFonts w:ascii="Times New Roman" w:hAnsi="Times New Roman" w:cs="Times New Roman"/>
          <w:color w:val="auto"/>
          <w:sz w:val="24"/>
          <w:szCs w:val="24"/>
        </w:rPr>
        <w:t>AI Notetakers and Transcription Tools</w:t>
      </w:r>
    </w:p>
    <w:p w14:paraId="74CC24EA" w14:textId="6E21434A" w:rsidR="00FE2F2C" w:rsidRPr="001A5166" w:rsidRDefault="00E340F6" w:rsidP="00FE2F2C">
      <w:pPr>
        <w:jc w:val="both"/>
        <w:rPr>
          <w:rFonts w:ascii="Times New Roman" w:hAnsi="Times New Roman" w:cs="Times New Roman"/>
          <w:color w:val="auto"/>
          <w:sz w:val="24"/>
          <w:szCs w:val="24"/>
        </w:rPr>
      </w:pPr>
      <w:r>
        <w:rPr>
          <w:rFonts w:ascii="Times New Roman" w:hAnsi="Times New Roman" w:cs="Times New Roman"/>
          <w:color w:val="auto"/>
          <w:sz w:val="24"/>
          <w:szCs w:val="24"/>
        </w:rPr>
        <w:t>AI-powered notetaking and transcription tools (“AI Notetakers”) pose risks to privilege, confidentiality, and wiretap law compliance. These tools process audio through third-party servers, creating permanent records that may be discoverable and potentially waive privilege. Accordingly, Firm Personnel may not use AI Notetakers not provisioned by the Firm.</w:t>
      </w:r>
    </w:p>
    <w:p w14:paraId="5E4E53AA" w14:textId="50DDC41D" w:rsidR="00807B0A" w:rsidRPr="001A5166" w:rsidRDefault="00807B0A" w:rsidP="006956A9">
      <w:pPr>
        <w:pStyle w:val="Heading2"/>
        <w:numPr>
          <w:ilvl w:val="1"/>
          <w:numId w:val="13"/>
        </w:numPr>
        <w:jc w:val="both"/>
        <w:rPr>
          <w:rFonts w:ascii="Times New Roman" w:hAnsi="Times New Roman" w:cs="Times New Roman"/>
          <w:color w:val="auto"/>
        </w:rPr>
      </w:pPr>
      <w:r w:rsidRPr="006956A9">
        <w:rPr>
          <w:rFonts w:ascii="Times New Roman" w:hAnsi="Times New Roman" w:cs="Times New Roman"/>
          <w:b w:val="0"/>
          <w:bCs w:val="0"/>
          <w:color w:val="auto"/>
        </w:rPr>
        <w:t>Consent Requirements</w:t>
      </w:r>
    </w:p>
    <w:p w14:paraId="60A3574E" w14:textId="1EF98AC7" w:rsidR="00E340F6" w:rsidRPr="001A5166" w:rsidRDefault="002E693D" w:rsidP="00871156">
      <w:p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Obtain informed, affirmative consent from all participants before activating any AI Notetaker, regardless of the jurisdiction in which any participant is located and regardless of whether applicable wiretap law would require single-party or all-party consent. Many </w:t>
      </w:r>
      <w:proofErr w:type="gramStart"/>
      <w:r>
        <w:rPr>
          <w:rFonts w:ascii="Times New Roman" w:hAnsi="Times New Roman" w:cs="Times New Roman"/>
          <w:color w:val="auto"/>
          <w:sz w:val="24"/>
          <w:szCs w:val="24"/>
        </w:rPr>
        <w:t>AI</w:t>
      </w:r>
      <w:proofErr w:type="gramEnd"/>
      <w:r>
        <w:rPr>
          <w:rFonts w:ascii="Times New Roman" w:hAnsi="Times New Roman" w:cs="Times New Roman"/>
          <w:color w:val="auto"/>
          <w:sz w:val="24"/>
          <w:szCs w:val="24"/>
        </w:rPr>
        <w:t xml:space="preserve"> Notetakers announce their presence automatically; that announcement alone is not sufficient, and silence does not constitute consent. For client communications, disclose the intended use in advance and explain the recording and third-party processing risks before obtaining consent. For communications with opposing counsel, co-counsel, or third parties, provide verbal notice and obtain affirmative consent. Treat all resulting recordings, transcripts, and </w:t>
      </w:r>
      <w:r w:rsidR="00471C31">
        <w:rPr>
          <w:rFonts w:ascii="Times New Roman" w:hAnsi="Times New Roman" w:cs="Times New Roman"/>
          <w:color w:val="auto"/>
          <w:sz w:val="24"/>
          <w:szCs w:val="24"/>
        </w:rPr>
        <w:t>derivations thereof</w:t>
      </w:r>
      <w:r>
        <w:rPr>
          <w:rFonts w:ascii="Times New Roman" w:hAnsi="Times New Roman" w:cs="Times New Roman"/>
          <w:color w:val="auto"/>
          <w:sz w:val="24"/>
          <w:szCs w:val="24"/>
        </w:rPr>
        <w:t xml:space="preserve"> as privileged and confidential to the same extent as the underlying communication, and store, transmit, and dispose of them in accordance with the Firm's privilege and data-security protocols. The Firm adopts this all-party consent standard as a matter of policy, which may be stricter than the consent required by applicable law.</w:t>
      </w:r>
    </w:p>
    <w:p w14:paraId="6EC5F6EB" w14:textId="66B9706A" w:rsidR="00807B0A" w:rsidRPr="001A5166" w:rsidRDefault="00807B0A" w:rsidP="006956A9">
      <w:pPr>
        <w:pStyle w:val="Heading2"/>
        <w:numPr>
          <w:ilvl w:val="1"/>
          <w:numId w:val="13"/>
        </w:numPr>
        <w:jc w:val="both"/>
        <w:rPr>
          <w:rFonts w:ascii="Times New Roman" w:hAnsi="Times New Roman" w:cs="Times New Roman"/>
          <w:color w:val="auto"/>
        </w:rPr>
      </w:pPr>
      <w:r w:rsidRPr="006956A9">
        <w:rPr>
          <w:rFonts w:ascii="Times New Roman" w:hAnsi="Times New Roman" w:cs="Times New Roman"/>
          <w:b w:val="0"/>
          <w:bCs w:val="0"/>
          <w:color w:val="auto"/>
        </w:rPr>
        <w:t>Data Security and Approved Tools</w:t>
      </w:r>
    </w:p>
    <w:p w14:paraId="78F9953F" w14:textId="77777777" w:rsidR="006D31B5" w:rsidRPr="001A5166" w:rsidRDefault="006D31B5" w:rsidP="00871156">
      <w:p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Use only Firm-approved AI Notetakers, as identified in Appendix A. Personal accounts, free-tier services, and any other third-party or consumer-grade notetaking or transcription tools are prohibited </w:t>
      </w:r>
      <w:r>
        <w:rPr>
          <w:rFonts w:ascii="Times New Roman" w:hAnsi="Times New Roman" w:cs="Times New Roman"/>
          <w:color w:val="auto"/>
          <w:sz w:val="24"/>
          <w:szCs w:val="24"/>
        </w:rPr>
        <w:lastRenderedPageBreak/>
        <w:t>for client communications. For client communications, Zoom Workplace AI is the only approved AI Notetaker and may be used only after advance disclosure to, and consent from, the client in accordance with Section 6.1. Personnel must review, correct, and approve any summaries, minutes, or action items generated by AI Notetakers before internal or external circulation or archiving. Transcripts, recordings, and any derived work product generated from client communications must remain at all times within the Firm’s controlled environment: store them in the Firm’s document management system, disable automatic cloud storage and third-party integrations, and do not export, forward, sync, or otherwise transmit them to any vendor cloud, personal device, personal account, or external service. Third-party integrations that would transmit these materials outside the Firm’s enterprise environment must remain disabled.</w:t>
      </w:r>
    </w:p>
    <w:p w14:paraId="5D6BE3B4" w14:textId="731A7137" w:rsidR="00807B0A" w:rsidRPr="001A5166" w:rsidRDefault="00807B0A" w:rsidP="006956A9">
      <w:pPr>
        <w:pStyle w:val="Heading2"/>
        <w:numPr>
          <w:ilvl w:val="1"/>
          <w:numId w:val="13"/>
        </w:numPr>
        <w:jc w:val="both"/>
        <w:rPr>
          <w:rFonts w:ascii="Times New Roman" w:hAnsi="Times New Roman" w:cs="Times New Roman"/>
          <w:color w:val="auto"/>
        </w:rPr>
      </w:pPr>
      <w:r w:rsidRPr="006956A9">
        <w:rPr>
          <w:rFonts w:ascii="Times New Roman" w:hAnsi="Times New Roman" w:cs="Times New Roman"/>
          <w:b w:val="0"/>
          <w:bCs w:val="0"/>
          <w:color w:val="auto"/>
        </w:rPr>
        <w:t>Client Use of AI Notetakers</w:t>
      </w:r>
    </w:p>
    <w:p w14:paraId="32307FE1" w14:textId="77777777" w:rsidR="00E340F6" w:rsidRPr="001A5166" w:rsidRDefault="00E340F6" w:rsidP="00871156">
      <w:pPr>
        <w:jc w:val="both"/>
        <w:rPr>
          <w:rFonts w:ascii="Times New Roman" w:hAnsi="Times New Roman" w:cs="Times New Roman"/>
          <w:color w:val="auto"/>
          <w:sz w:val="24"/>
          <w:szCs w:val="24"/>
        </w:rPr>
      </w:pPr>
      <w:r>
        <w:rPr>
          <w:rFonts w:ascii="Times New Roman" w:hAnsi="Times New Roman" w:cs="Times New Roman"/>
          <w:color w:val="auto"/>
          <w:sz w:val="24"/>
          <w:szCs w:val="24"/>
        </w:rPr>
        <w:t>Client-generated transcripts of attorney-client communications may not be privileged and may be discoverable. At the outset of each engagement, advise clients that using personal AI Notetakers may waive privilege, particularly if the tool transmits data externally. Request that clients not record attorney-client communications with AI tools; if a client insists, document the Firm’s risk advisement in writing and in the client file.</w:t>
      </w:r>
    </w:p>
    <w:p w14:paraId="315D0D63" w14:textId="4AD936B8" w:rsidR="00807B0A" w:rsidRPr="001E79C5" w:rsidRDefault="00807B0A"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Agentic AI Tools</w:t>
      </w:r>
    </w:p>
    <w:p w14:paraId="57B2EE3E" w14:textId="76CECADA" w:rsidR="00ED1142" w:rsidRPr="001A5166" w:rsidRDefault="00ED1142" w:rsidP="00B91171">
      <w:pPr>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Obtain prior written consent from the Administrator before using any Agentic AI Tools. Agentic AI Tools must be configured to request human confirmation before executing state-changing actions; an Agentic AI Tool that cannot be configured to require such human confirmation may not be used for state-changing actions absent a specific written exception from the Administrator. Prohibited uses </w:t>
      </w:r>
      <w:proofErr w:type="gramStart"/>
      <w:r>
        <w:rPr>
          <w:rFonts w:ascii="Times New Roman" w:hAnsi="Times New Roman" w:cs="Times New Roman"/>
          <w:color w:val="auto"/>
          <w:sz w:val="24"/>
          <w:szCs w:val="24"/>
        </w:rPr>
        <w:t>include:</w:t>
      </w:r>
      <w:proofErr w:type="gramEnd"/>
      <w:r>
        <w:rPr>
          <w:rFonts w:ascii="Times New Roman" w:hAnsi="Times New Roman" w:cs="Times New Roman"/>
          <w:color w:val="auto"/>
          <w:sz w:val="24"/>
          <w:szCs w:val="24"/>
        </w:rPr>
        <w:t xml:space="preserve"> autonomous access to Sensitive Information without authorization; unattended tasks involving client data unless Firm-approved and configured to halt on error; and chaining multiple Agentic AI Tools without written approval. If an Agentic AI Tool takes unauthorized action, immediately cease use and report to the Administrator.</w:t>
      </w:r>
    </w:p>
    <w:p w14:paraId="5C1366B6" w14:textId="0A151E64" w:rsidR="00807B0A" w:rsidRPr="001E79C5" w:rsidRDefault="00807B0A" w:rsidP="006956A9">
      <w:pPr>
        <w:pStyle w:val="Heading1"/>
        <w:numPr>
          <w:ilvl w:val="0"/>
          <w:numId w:val="13"/>
        </w:numPr>
        <w:rPr>
          <w:rFonts w:ascii="Times New Roman" w:hAnsi="Times New Roman" w:cs="Times New Roman"/>
          <w:color w:val="auto"/>
          <w:sz w:val="24"/>
          <w:szCs w:val="24"/>
        </w:rPr>
      </w:pPr>
      <w:r w:rsidRPr="001E79C5">
        <w:rPr>
          <w:rFonts w:ascii="Times New Roman" w:hAnsi="Times New Roman" w:cs="Times New Roman"/>
          <w:color w:val="auto"/>
          <w:sz w:val="24"/>
          <w:szCs w:val="24"/>
        </w:rPr>
        <w:t>Prohibition on AI Use in Firm Employment Decisions</w:t>
      </w:r>
    </w:p>
    <w:p w14:paraId="3E9ED064" w14:textId="5A98F01D" w:rsidR="00466652" w:rsidRPr="001A5166" w:rsidRDefault="001A5166" w:rsidP="001A5166">
      <w:pPr>
        <w:jc w:val="both"/>
        <w:rPr>
          <w:rFonts w:ascii="Times New Roman" w:hAnsi="Times New Roman" w:cs="Times New Roman"/>
          <w:color w:val="auto"/>
          <w:sz w:val="24"/>
          <w:szCs w:val="24"/>
        </w:rPr>
      </w:pPr>
      <w:r>
        <w:rPr>
          <w:rFonts w:ascii="Times New Roman" w:hAnsi="Times New Roman" w:cs="Times New Roman"/>
          <w:color w:val="auto"/>
          <w:sz w:val="24"/>
          <w:szCs w:val="24"/>
        </w:rPr>
        <w:t>AI Tools may not be used in connection with any Firm employment decision, including any activity subject to NYC Local Law 144’s requirements for bias audits, public disclosure, and advance notice to candidates. As a best practice, and consistent with the standards set forth in the EU AI Act (Regulation (EU) 2024/1689, Annex III, point 4), this prohibition also extends to any AI use that would be classified as high-risk in the employment context. This prohibition covers recruiting, selecting, or evaluating candidates, as well as decisions affecting promotion, compensation, performance evaluation, discipline, termination, or task allocation based on individual behavior or traits. Permitted administrative uses, such as drafting job descriptions, scheduling, or generating HR templates, are allowed only if the AI output does not inform or contribute to an employment decision.</w:t>
      </w:r>
    </w:p>
    <w:p w14:paraId="56DA2092" w14:textId="673BAB3B" w:rsidR="00807B0A" w:rsidRPr="001E79C5" w:rsidRDefault="00807B0A" w:rsidP="006956A9">
      <w:pPr>
        <w:pStyle w:val="Heading1"/>
        <w:numPr>
          <w:ilvl w:val="0"/>
          <w:numId w:val="13"/>
        </w:numPr>
        <w:jc w:val="both"/>
        <w:rPr>
          <w:rFonts w:ascii="Times New Roman" w:hAnsi="Times New Roman" w:cs="Times New Roman"/>
          <w:color w:val="auto"/>
          <w:sz w:val="24"/>
          <w:szCs w:val="24"/>
        </w:rPr>
      </w:pPr>
      <w:r w:rsidRPr="001E79C5">
        <w:rPr>
          <w:rFonts w:ascii="Times New Roman" w:hAnsi="Times New Roman" w:cs="Times New Roman"/>
          <w:color w:val="auto"/>
          <w:sz w:val="24"/>
          <w:szCs w:val="24"/>
        </w:rPr>
        <w:t>Oversight, Enforcement, and Administration</w:t>
      </w:r>
    </w:p>
    <w:p w14:paraId="6DDAEBFE" w14:textId="7724EC84"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AI Governance Committee and Contacts</w:t>
      </w:r>
    </w:p>
    <w:p w14:paraId="07121427" w14:textId="77777777" w:rsidR="00B75AEA" w:rsidRPr="001A5166" w:rsidRDefault="00B14249" w:rsidP="008259FB">
      <w:pPr>
        <w:jc w:val="both"/>
        <w:rPr>
          <w:rFonts w:ascii="Times New Roman" w:hAnsi="Times New Roman" w:cs="Times New Roman"/>
          <w:color w:val="auto"/>
          <w:sz w:val="24"/>
          <w:szCs w:val="24"/>
        </w:rPr>
      </w:pPr>
      <w:r>
        <w:rPr>
          <w:rFonts w:ascii="Times New Roman" w:hAnsi="Times New Roman" w:cs="Times New Roman"/>
          <w:color w:val="auto"/>
          <w:sz w:val="24"/>
          <w:szCs w:val="24"/>
        </w:rPr>
        <w:t>The Firm’s AI Governance Committee (“AIGC”), chaired by the Administrator, oversees AI policies, compliance, tool evaluation, and training.</w:t>
      </w:r>
    </w:p>
    <w:p w14:paraId="178B415F" w14:textId="5E928E58"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Monitoring, Security, and Incident Response</w:t>
      </w:r>
    </w:p>
    <w:p w14:paraId="0473D35E" w14:textId="2747993F" w:rsidR="00333E9D" w:rsidRPr="001A5166" w:rsidRDefault="00B14249" w:rsidP="008259FB">
      <w:pPr>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The Firm reserves the right to monitor and audit all use of Firm systems, Firm accounts, and Firm-provisioned AI Tools, including prompts, Inputs, and Outputs. Only authorized Personnel with proper credentials may access AI Tools; do not share credentials. AI access will be revoked upon termination. Report any AI incident (violation of this Policy, security breaches, material errors, or disclosure of privileged information) immediately to the Administrator.</w:t>
      </w:r>
    </w:p>
    <w:p w14:paraId="6A14CC0C" w14:textId="376BB2B1"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Disciplinary Action</w:t>
      </w:r>
    </w:p>
    <w:p w14:paraId="5A5F7376" w14:textId="4E3A26EB" w:rsidR="00CA34BF" w:rsidRPr="001A5166" w:rsidRDefault="00CA34BF" w:rsidP="00CA34BF">
      <w:pPr>
        <w:spacing w:after="60"/>
        <w:rPr>
          <w:rFonts w:ascii="Times New Roman" w:hAnsi="Times New Roman" w:cs="Times New Roman"/>
          <w:color w:val="auto"/>
          <w:sz w:val="24"/>
          <w:szCs w:val="24"/>
        </w:rPr>
      </w:pPr>
      <w:r>
        <w:rPr>
          <w:rFonts w:ascii="Times New Roman" w:hAnsi="Times New Roman" w:cs="Times New Roman"/>
          <w:b/>
          <w:bCs/>
          <w:color w:val="auto"/>
          <w:sz w:val="24"/>
          <w:szCs w:val="24"/>
        </w:rPr>
        <w:t>The following violations are grounds for termination of employment or engagement:</w:t>
      </w:r>
    </w:p>
    <w:p w14:paraId="1ADD6883" w14:textId="77777777" w:rsidR="00CA34BF" w:rsidRPr="001A5166" w:rsidRDefault="00CA34BF" w:rsidP="00CA34BF">
      <w:pPr>
        <w:numPr>
          <w:ilvl w:val="0"/>
          <w:numId w:val="2"/>
        </w:numPr>
        <w:spacing w:after="60"/>
        <w:rPr>
          <w:rFonts w:ascii="Times New Roman" w:hAnsi="Times New Roman" w:cs="Times New Roman"/>
          <w:color w:val="auto"/>
          <w:sz w:val="24"/>
          <w:szCs w:val="24"/>
        </w:rPr>
      </w:pPr>
      <w:r>
        <w:rPr>
          <w:rFonts w:ascii="Times New Roman" w:hAnsi="Times New Roman" w:cs="Times New Roman"/>
          <w:color w:val="auto"/>
          <w:sz w:val="24"/>
          <w:szCs w:val="24"/>
        </w:rPr>
        <w:t>Use of any non-approved AI tool, personal AI account, or consumer-tier subscription for client work or Firm business;</w:t>
      </w:r>
    </w:p>
    <w:p w14:paraId="3AFF199F" w14:textId="77777777" w:rsidR="002035A9" w:rsidRPr="001A5166" w:rsidRDefault="00CA34BF" w:rsidP="00CA34BF">
      <w:pPr>
        <w:numPr>
          <w:ilvl w:val="0"/>
          <w:numId w:val="2"/>
        </w:numPr>
        <w:spacing w:after="60"/>
        <w:rPr>
          <w:rFonts w:ascii="Times New Roman" w:hAnsi="Times New Roman" w:cs="Times New Roman"/>
          <w:color w:val="auto"/>
          <w:sz w:val="24"/>
          <w:szCs w:val="24"/>
        </w:rPr>
      </w:pPr>
      <w:r>
        <w:rPr>
          <w:rFonts w:ascii="Times New Roman" w:hAnsi="Times New Roman" w:cs="Times New Roman"/>
          <w:color w:val="auto"/>
          <w:sz w:val="24"/>
          <w:szCs w:val="24"/>
        </w:rPr>
        <w:t>Failure to fact-check and verify AI-generated Work Product (including all citations) before submission to any recipient or tribunal;</w:t>
      </w:r>
    </w:p>
    <w:p w14:paraId="6786ACCB" w14:textId="77777777" w:rsidR="00D072A1" w:rsidRPr="001A5166" w:rsidRDefault="00CA34BF" w:rsidP="00CA34BF">
      <w:pPr>
        <w:numPr>
          <w:ilvl w:val="0"/>
          <w:numId w:val="2"/>
        </w:numPr>
        <w:spacing w:after="60"/>
        <w:rPr>
          <w:rFonts w:ascii="Times New Roman" w:hAnsi="Times New Roman" w:cs="Times New Roman"/>
          <w:color w:val="auto"/>
          <w:sz w:val="24"/>
          <w:szCs w:val="24"/>
        </w:rPr>
      </w:pPr>
      <w:r>
        <w:rPr>
          <w:rFonts w:ascii="Times New Roman" w:hAnsi="Times New Roman" w:cs="Times New Roman"/>
          <w:color w:val="auto"/>
          <w:sz w:val="24"/>
          <w:szCs w:val="24"/>
        </w:rPr>
        <w:t>Inputting Client Confidential Information into any non-approved AI Tool; and</w:t>
      </w:r>
    </w:p>
    <w:p w14:paraId="349FE541" w14:textId="77777777" w:rsidR="00952AD1" w:rsidRPr="001A5166" w:rsidRDefault="00952AD1" w:rsidP="00CA34BF">
      <w:pPr>
        <w:numPr>
          <w:ilvl w:val="0"/>
          <w:numId w:val="2"/>
        </w:numPr>
        <w:spacing w:after="60"/>
        <w:rPr>
          <w:rFonts w:ascii="Times New Roman" w:hAnsi="Times New Roman" w:cs="Times New Roman"/>
          <w:color w:val="auto"/>
          <w:sz w:val="24"/>
          <w:szCs w:val="24"/>
        </w:rPr>
      </w:pPr>
      <w:r>
        <w:rPr>
          <w:rFonts w:ascii="Times New Roman" w:hAnsi="Times New Roman" w:cs="Times New Roman"/>
          <w:color w:val="auto"/>
          <w:sz w:val="24"/>
          <w:szCs w:val="24"/>
        </w:rPr>
        <w:t>Misuse of Firm AI Tools for non-Firm business.</w:t>
      </w:r>
    </w:p>
    <w:p w14:paraId="752AAB9A" w14:textId="77777777" w:rsidR="00D072A1" w:rsidRPr="001A5166" w:rsidRDefault="00B14249">
      <w:pPr>
        <w:rPr>
          <w:rFonts w:ascii="Times New Roman" w:hAnsi="Times New Roman" w:cs="Times New Roman"/>
          <w:color w:val="auto"/>
          <w:sz w:val="24"/>
          <w:szCs w:val="24"/>
        </w:rPr>
      </w:pPr>
      <w:r>
        <w:rPr>
          <w:rFonts w:ascii="Times New Roman" w:hAnsi="Times New Roman" w:cs="Times New Roman"/>
          <w:color w:val="auto"/>
          <w:sz w:val="24"/>
          <w:szCs w:val="24"/>
        </w:rPr>
        <w:t xml:space="preserve">Other violations may result in disciplinary action up to and including termination of employment or engagement. </w:t>
      </w:r>
    </w:p>
    <w:p w14:paraId="33EC9CD6" w14:textId="39B2F948" w:rsidR="00807B0A" w:rsidRPr="001A5166" w:rsidRDefault="00807B0A" w:rsidP="006956A9">
      <w:pPr>
        <w:pStyle w:val="Heading2"/>
        <w:numPr>
          <w:ilvl w:val="1"/>
          <w:numId w:val="13"/>
        </w:numPr>
        <w:rPr>
          <w:rFonts w:ascii="Times New Roman" w:hAnsi="Times New Roman" w:cs="Times New Roman"/>
          <w:color w:val="auto"/>
        </w:rPr>
      </w:pPr>
      <w:r w:rsidRPr="006956A9">
        <w:rPr>
          <w:rFonts w:ascii="Times New Roman" w:hAnsi="Times New Roman" w:cs="Times New Roman"/>
          <w:b w:val="0"/>
          <w:bCs w:val="0"/>
          <w:color w:val="auto"/>
        </w:rPr>
        <w:t>Billing, Training, and Policy Administration</w:t>
      </w:r>
    </w:p>
    <w:p w14:paraId="6510541F" w14:textId="77777777" w:rsidR="00D072A1" w:rsidRPr="001A5166" w:rsidRDefault="003835F1" w:rsidP="00966263">
      <w:pPr>
        <w:jc w:val="both"/>
        <w:rPr>
          <w:rFonts w:ascii="Times New Roman" w:hAnsi="Times New Roman" w:cs="Times New Roman"/>
          <w:color w:val="auto"/>
          <w:sz w:val="24"/>
          <w:szCs w:val="24"/>
        </w:rPr>
      </w:pPr>
      <w:r>
        <w:rPr>
          <w:rFonts w:ascii="Times New Roman" w:hAnsi="Times New Roman" w:cs="Times New Roman"/>
          <w:color w:val="auto"/>
          <w:sz w:val="24"/>
          <w:szCs w:val="24"/>
        </w:rPr>
        <w:t>Consistent with ABA Model Rule 1.5 and its state-law analogs, when AI reduces time on a task, billing must reflect actual time and effort; do not bill for time saved. AI subscription costs not attributable to a specific client are Firm overhead. Personnel must complete the required AI training before being granted access, covering ethical obligations, data security, hallucination risks, jurisdiction-specific requirements, and tool-specific guidance. This Policy will be reviewed periodically and updated as necessary. The Firm reserves the right to modify this Policy at any time with or without notice.</w:t>
      </w:r>
    </w:p>
    <w:p w14:paraId="3E7807AC" w14:textId="77777777" w:rsidR="00D072A1" w:rsidRPr="001A5166" w:rsidRDefault="00B14249">
      <w:pPr>
        <w:pStyle w:val="Heading1"/>
        <w:rPr>
          <w:rFonts w:ascii="Times New Roman" w:hAnsi="Times New Roman" w:cs="Times New Roman"/>
          <w:color w:val="auto"/>
          <w:sz w:val="24"/>
          <w:szCs w:val="24"/>
        </w:rPr>
      </w:pPr>
      <w:r>
        <w:rPr>
          <w:rFonts w:ascii="Times New Roman" w:hAnsi="Times New Roman" w:cs="Times New Roman"/>
          <w:color w:val="auto"/>
          <w:sz w:val="24"/>
          <w:szCs w:val="24"/>
        </w:rPr>
        <w:t>Acknowledgment</w:t>
      </w:r>
    </w:p>
    <w:p w14:paraId="1DCB31B2" w14:textId="34C03BA2" w:rsidR="003F2E3D" w:rsidRPr="001A5166" w:rsidRDefault="003F2E3D" w:rsidP="00817C5B">
      <w:pPr>
        <w:rPr>
          <w:rFonts w:ascii="Times New Roman" w:hAnsi="Times New Roman" w:cs="Times New Roman"/>
          <w:color w:val="auto"/>
          <w:sz w:val="24"/>
          <w:szCs w:val="24"/>
        </w:rPr>
      </w:pPr>
      <w:r>
        <w:rPr>
          <w:rFonts w:ascii="Times New Roman" w:hAnsi="Times New Roman" w:cs="Times New Roman"/>
          <w:color w:val="auto"/>
          <w:sz w:val="24"/>
          <w:szCs w:val="24"/>
        </w:rPr>
        <w:t>I acknowledge that I have received, read, understood, and agree to comply with this Generative Artificial Intelligence Policy. I understand that: (1) the Firm owns all Inputs and Outputs, and all such Inputs and Outputs are Firm records subject to the Firm’s legal holds, discovery obligations, and regulatory requests, except that this provision does not alter the client’s ownership of, or right to, client files, client property, and Work Product belonging to the client under applicable rules of professional conduct; (2) use of non-approved AI tools for client work or Firm business is grounds for termination of employment or engagement; (3) I must independently fact-check and verify all AI-generated Work Product before submission, and failure to do so is grounds for termination of employment or engagement; and (4) violations may result in disciplinary action, including termination, bar referral, and personal liability.</w:t>
      </w:r>
    </w:p>
    <w:p w14:paraId="173E35D6" w14:textId="77777777" w:rsidR="008B191C" w:rsidRPr="001A5166" w:rsidRDefault="008B191C" w:rsidP="00817C5B">
      <w:pPr>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4FFE" w:rsidRPr="001A5166" w14:paraId="2BE0807B" w14:textId="77777777">
        <w:tc>
          <w:tcPr>
            <w:tcW w:w="4680" w:type="dxa"/>
            <w:tcMar>
              <w:top w:w="80" w:type="dxa"/>
              <w:left w:w="120" w:type="dxa"/>
              <w:bottom w:w="80" w:type="dxa"/>
              <w:right w:w="120" w:type="dxa"/>
            </w:tcMar>
          </w:tcPr>
          <w:p w14:paraId="48A400BF" w14:textId="77777777" w:rsidR="00D072A1" w:rsidRPr="001A5166" w:rsidRDefault="00D072A1">
            <w:pPr>
              <w:pBdr>
                <w:bottom w:val="single" w:sz="1" w:space="1" w:color="333333"/>
              </w:pBdr>
              <w:spacing w:after="40"/>
              <w:rPr>
                <w:rFonts w:ascii="Times New Roman" w:hAnsi="Times New Roman" w:cs="Times New Roman"/>
                <w:color w:val="auto"/>
                <w:sz w:val="24"/>
                <w:szCs w:val="24"/>
              </w:rPr>
            </w:pPr>
          </w:p>
          <w:p w14:paraId="56BD8D75" w14:textId="77777777" w:rsidR="00D072A1" w:rsidRPr="001A5166" w:rsidRDefault="00B14249">
            <w:pPr>
              <w:rPr>
                <w:rFonts w:ascii="Times New Roman" w:hAnsi="Times New Roman" w:cs="Times New Roman"/>
                <w:color w:val="auto"/>
                <w:sz w:val="24"/>
                <w:szCs w:val="24"/>
              </w:rPr>
            </w:pPr>
            <w:r>
              <w:rPr>
                <w:rFonts w:ascii="Times New Roman" w:hAnsi="Times New Roman" w:cs="Times New Roman"/>
                <w:color w:val="auto"/>
                <w:sz w:val="24"/>
                <w:szCs w:val="24"/>
              </w:rPr>
              <w:t>Signature</w:t>
            </w:r>
          </w:p>
        </w:tc>
        <w:tc>
          <w:tcPr>
            <w:tcW w:w="4680" w:type="dxa"/>
            <w:tcMar>
              <w:top w:w="80" w:type="dxa"/>
              <w:left w:w="120" w:type="dxa"/>
              <w:bottom w:w="80" w:type="dxa"/>
              <w:right w:w="120" w:type="dxa"/>
            </w:tcMar>
          </w:tcPr>
          <w:p w14:paraId="40E894D3" w14:textId="77777777" w:rsidR="00D072A1" w:rsidRPr="001A5166" w:rsidRDefault="00D072A1">
            <w:pPr>
              <w:pBdr>
                <w:bottom w:val="single" w:sz="1" w:space="1" w:color="333333"/>
              </w:pBdr>
              <w:spacing w:after="40"/>
              <w:rPr>
                <w:rFonts w:ascii="Times New Roman" w:hAnsi="Times New Roman" w:cs="Times New Roman"/>
                <w:color w:val="auto"/>
                <w:sz w:val="24"/>
                <w:szCs w:val="24"/>
              </w:rPr>
            </w:pPr>
          </w:p>
          <w:p w14:paraId="35A23BE5" w14:textId="77777777" w:rsidR="00D072A1" w:rsidRPr="001A5166" w:rsidRDefault="00B14249">
            <w:pPr>
              <w:rPr>
                <w:rFonts w:ascii="Times New Roman" w:hAnsi="Times New Roman" w:cs="Times New Roman"/>
                <w:color w:val="auto"/>
                <w:sz w:val="24"/>
                <w:szCs w:val="24"/>
              </w:rPr>
            </w:pPr>
            <w:r>
              <w:rPr>
                <w:rFonts w:ascii="Times New Roman" w:hAnsi="Times New Roman" w:cs="Times New Roman"/>
                <w:color w:val="auto"/>
                <w:sz w:val="24"/>
                <w:szCs w:val="24"/>
              </w:rPr>
              <w:t>Date</w:t>
            </w:r>
          </w:p>
        </w:tc>
      </w:tr>
      <w:tr w:rsidR="00E84FFE" w:rsidRPr="001A5166" w14:paraId="36A14F51" w14:textId="77777777">
        <w:tc>
          <w:tcPr>
            <w:tcW w:w="4680" w:type="dxa"/>
            <w:tcMar>
              <w:top w:w="200" w:type="dxa"/>
              <w:left w:w="120" w:type="dxa"/>
              <w:bottom w:w="80" w:type="dxa"/>
              <w:right w:w="120" w:type="dxa"/>
            </w:tcMar>
          </w:tcPr>
          <w:p w14:paraId="5EADC2AD" w14:textId="77777777" w:rsidR="00D072A1" w:rsidRPr="001A5166" w:rsidRDefault="00D072A1">
            <w:pPr>
              <w:pBdr>
                <w:bottom w:val="single" w:sz="1" w:space="1" w:color="333333"/>
              </w:pBdr>
              <w:spacing w:after="40"/>
              <w:rPr>
                <w:rFonts w:ascii="Times New Roman" w:hAnsi="Times New Roman" w:cs="Times New Roman"/>
                <w:color w:val="auto"/>
                <w:sz w:val="24"/>
                <w:szCs w:val="24"/>
              </w:rPr>
            </w:pPr>
          </w:p>
          <w:p w14:paraId="4B125870" w14:textId="77777777" w:rsidR="00D072A1" w:rsidRPr="001A5166" w:rsidRDefault="00B14249">
            <w:pPr>
              <w:rPr>
                <w:rFonts w:ascii="Times New Roman" w:hAnsi="Times New Roman" w:cs="Times New Roman"/>
                <w:color w:val="auto"/>
                <w:sz w:val="24"/>
                <w:szCs w:val="24"/>
              </w:rPr>
            </w:pPr>
            <w:r>
              <w:rPr>
                <w:rFonts w:ascii="Times New Roman" w:hAnsi="Times New Roman" w:cs="Times New Roman"/>
                <w:color w:val="auto"/>
                <w:sz w:val="24"/>
                <w:szCs w:val="24"/>
              </w:rPr>
              <w:t>Printed Name</w:t>
            </w:r>
          </w:p>
        </w:tc>
        <w:tc>
          <w:tcPr>
            <w:tcW w:w="4680" w:type="dxa"/>
            <w:tcMar>
              <w:top w:w="200" w:type="dxa"/>
              <w:left w:w="120" w:type="dxa"/>
              <w:bottom w:w="80" w:type="dxa"/>
              <w:right w:w="120" w:type="dxa"/>
            </w:tcMar>
          </w:tcPr>
          <w:p w14:paraId="19D7A89E" w14:textId="77777777" w:rsidR="00D072A1" w:rsidRPr="001A5166" w:rsidRDefault="00D072A1">
            <w:pPr>
              <w:pBdr>
                <w:bottom w:val="single" w:sz="1" w:space="1" w:color="333333"/>
              </w:pBdr>
              <w:spacing w:after="40"/>
              <w:rPr>
                <w:rFonts w:ascii="Times New Roman" w:hAnsi="Times New Roman" w:cs="Times New Roman"/>
                <w:color w:val="auto"/>
                <w:sz w:val="24"/>
                <w:szCs w:val="24"/>
              </w:rPr>
            </w:pPr>
          </w:p>
          <w:p w14:paraId="016C6668" w14:textId="77777777" w:rsidR="00D072A1" w:rsidRPr="001A5166" w:rsidRDefault="00B14249">
            <w:pPr>
              <w:rPr>
                <w:rFonts w:ascii="Times New Roman" w:hAnsi="Times New Roman" w:cs="Times New Roman"/>
                <w:color w:val="auto"/>
                <w:sz w:val="24"/>
                <w:szCs w:val="24"/>
              </w:rPr>
            </w:pPr>
            <w:r>
              <w:rPr>
                <w:rFonts w:ascii="Times New Roman" w:hAnsi="Times New Roman" w:cs="Times New Roman"/>
                <w:color w:val="auto"/>
                <w:sz w:val="24"/>
                <w:szCs w:val="24"/>
              </w:rPr>
              <w:t>Title / Position</w:t>
            </w:r>
          </w:p>
        </w:tc>
      </w:tr>
    </w:tbl>
    <w:p w14:paraId="054D54C7" w14:textId="1375E914" w:rsidR="00D072A1" w:rsidRPr="001A5166" w:rsidRDefault="00B14249" w:rsidP="00DC11C0">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Appendix A: Approved AI Tools and Background AI Platforms</w:t>
      </w:r>
    </w:p>
    <w:p w14:paraId="02BA16A9" w14:textId="3472F172" w:rsidR="00D072A1" w:rsidRPr="001A5166" w:rsidRDefault="00B14249" w:rsidP="00DC11C0">
      <w:pPr>
        <w:jc w:val="center"/>
        <w:rPr>
          <w:rFonts w:ascii="Times New Roman" w:hAnsi="Times New Roman" w:cs="Times New Roman"/>
          <w:color w:val="auto"/>
          <w:sz w:val="24"/>
          <w:szCs w:val="24"/>
        </w:rPr>
      </w:pPr>
      <w:r>
        <w:rPr>
          <w:rFonts w:ascii="Times New Roman" w:hAnsi="Times New Roman" w:cs="Times New Roman"/>
          <w:i/>
          <w:iCs/>
          <w:color w:val="auto"/>
          <w:sz w:val="24"/>
          <w:szCs w:val="24"/>
        </w:rPr>
        <w:t xml:space="preserve">Effective as of June </w:t>
      </w:r>
      <w:r w:rsidR="005A0DB3">
        <w:rPr>
          <w:rFonts w:ascii="Times New Roman" w:hAnsi="Times New Roman" w:cs="Times New Roman"/>
          <w:i/>
          <w:iCs/>
          <w:color w:val="auto"/>
          <w:sz w:val="24"/>
          <w:szCs w:val="24"/>
        </w:rPr>
        <w:t>1</w:t>
      </w:r>
      <w:r>
        <w:rPr>
          <w:rFonts w:ascii="Times New Roman" w:hAnsi="Times New Roman" w:cs="Times New Roman"/>
          <w:i/>
          <w:iCs/>
          <w:color w:val="auto"/>
          <w:sz w:val="24"/>
          <w:szCs w:val="24"/>
        </w:rPr>
        <w:t>8, 2026.</w:t>
      </w:r>
    </w:p>
    <w:p w14:paraId="0D66CEC0" w14:textId="77777777" w:rsidR="00D072A1" w:rsidRPr="001E79C5" w:rsidRDefault="00B14249" w:rsidP="00637214">
      <w:pPr>
        <w:pStyle w:val="Heading2"/>
        <w:rPr>
          <w:rFonts w:ascii="Times New Roman" w:hAnsi="Times New Roman" w:cs="Times New Roman"/>
          <w:color w:val="auto"/>
          <w:sz w:val="22"/>
          <w:szCs w:val="22"/>
        </w:rPr>
      </w:pPr>
      <w:r w:rsidRPr="001E79C5">
        <w:rPr>
          <w:rFonts w:ascii="Times New Roman" w:hAnsi="Times New Roman" w:cs="Times New Roman"/>
          <w:color w:val="auto"/>
          <w:sz w:val="22"/>
          <w:szCs w:val="22"/>
        </w:rPr>
        <w:t>Approved AI Tools</w:t>
      </w:r>
    </w:p>
    <w:p w14:paraId="3EC7B74B" w14:textId="77777777" w:rsidR="00C77843" w:rsidRPr="001E79C5" w:rsidRDefault="00B14249" w:rsidP="004A7EEB">
      <w:p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 xml:space="preserve">ChatGPT (Enterprise Plan) — OpenAI. </w:t>
      </w:r>
      <w:r w:rsidRPr="001E79C5">
        <w:rPr>
          <w:rFonts w:ascii="Times New Roman" w:hAnsi="Times New Roman" w:cs="Times New Roman"/>
          <w:color w:val="auto"/>
          <w:sz w:val="22"/>
          <w:szCs w:val="22"/>
        </w:rPr>
        <w:t xml:space="preserve">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 </w:t>
      </w:r>
      <w:r w:rsidRPr="001E79C5">
        <w:rPr>
          <w:rFonts w:ascii="Times New Roman" w:hAnsi="Times New Roman" w:cs="Times New Roman"/>
          <w:b/>
          <w:bCs/>
          <w:color w:val="auto"/>
          <w:sz w:val="22"/>
          <w:szCs w:val="22"/>
        </w:rPr>
        <w:t>ChatGPT accounts which are not part of the Firm’s Enterprise plan may not be used.</w:t>
      </w:r>
    </w:p>
    <w:p w14:paraId="0ECF9CBA" w14:textId="77777777" w:rsidR="001F047C" w:rsidRPr="001E79C5" w:rsidRDefault="00507D2E" w:rsidP="004A7EEB">
      <w:pPr>
        <w:rPr>
          <w:rFonts w:ascii="Times New Roman" w:hAnsi="Times New Roman" w:cs="Times New Roman"/>
          <w:color w:val="auto"/>
          <w:sz w:val="22"/>
          <w:szCs w:val="22"/>
        </w:rPr>
      </w:pPr>
      <w:r w:rsidRPr="001E79C5">
        <w:rPr>
          <w:rFonts w:ascii="Times New Roman" w:hAnsi="Times New Roman" w:cs="Times New Roman"/>
          <w:b/>
          <w:color w:val="auto"/>
          <w:sz w:val="22"/>
          <w:szCs w:val="22"/>
        </w:rPr>
        <w:t>Claude (Enterprise Plan) — Anthropic.</w:t>
      </w:r>
      <w:r w:rsidRPr="001E79C5">
        <w:rPr>
          <w:rFonts w:ascii="Times New Roman" w:hAnsi="Times New Roman" w:cs="Times New Roman"/>
          <w:color w:val="auto"/>
          <w:sz w:val="22"/>
          <w:szCs w:val="22"/>
        </w:rPr>
        <w:t xml:space="preserve"> 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 </w:t>
      </w:r>
      <w:r w:rsidRPr="001E79C5">
        <w:rPr>
          <w:rFonts w:ascii="Times New Roman" w:hAnsi="Times New Roman" w:cs="Times New Roman"/>
          <w:b/>
          <w:bCs/>
          <w:color w:val="auto"/>
          <w:sz w:val="22"/>
          <w:szCs w:val="22"/>
        </w:rPr>
        <w:t>Claude accounts which are not part of the Firm’s Enterprise plan may not be used.</w:t>
      </w:r>
    </w:p>
    <w:p w14:paraId="73708CAC" w14:textId="77777777" w:rsidR="0080487F" w:rsidRPr="001E79C5" w:rsidRDefault="00B14249">
      <w:p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 xml:space="preserve">Harvey — Counsel AI Corporation. </w:t>
      </w:r>
      <w:r w:rsidRPr="001E79C5">
        <w:rPr>
          <w:rFonts w:ascii="Times New Roman" w:hAnsi="Times New Roman" w:cs="Times New Roman"/>
          <w:color w:val="auto"/>
          <w:sz w:val="22"/>
          <w:szCs w:val="22"/>
        </w:rPr>
        <w:t>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w:t>
      </w:r>
    </w:p>
    <w:p w14:paraId="4DBC554D" w14:textId="3839D899" w:rsidR="00D072A1" w:rsidRPr="001E79C5" w:rsidRDefault="0080487F">
      <w:pPr>
        <w:rPr>
          <w:rFonts w:ascii="Times New Roman" w:hAnsi="Times New Roman" w:cs="Times New Roman"/>
          <w:color w:val="auto"/>
          <w:sz w:val="22"/>
          <w:szCs w:val="22"/>
        </w:rPr>
      </w:pPr>
      <w:r w:rsidRPr="001E79C5">
        <w:rPr>
          <w:rFonts w:ascii="Times New Roman" w:hAnsi="Times New Roman" w:cs="Times New Roman"/>
          <w:b/>
          <w:bCs/>
          <w:sz w:val="22"/>
          <w:szCs w:val="22"/>
        </w:rPr>
        <w:t>Microsoft Copilot — Microsoft.</w:t>
      </w:r>
      <w:r w:rsidRPr="001E79C5">
        <w:rPr>
          <w:rFonts w:ascii="Times New Roman" w:hAnsi="Times New Roman" w:cs="Times New Roman"/>
          <w:sz w:val="22"/>
          <w:szCs w:val="22"/>
        </w:rPr>
        <w:t xml:space="preserve"> Approved for legal drafting, analysis, and client-specific work, including contracts, pleadings, and substantive research, when enabled by the Administrator on a per-user basis. May be used with Client Confidential Information subject to: (</w:t>
      </w:r>
      <w:proofErr w:type="spellStart"/>
      <w:r w:rsidRPr="001E79C5">
        <w:rPr>
          <w:rFonts w:ascii="Times New Roman" w:hAnsi="Times New Roman" w:cs="Times New Roman"/>
          <w:sz w:val="22"/>
          <w:szCs w:val="22"/>
        </w:rPr>
        <w:t>i</w:t>
      </w:r>
      <w:proofErr w:type="spellEnd"/>
      <w:r w:rsidRPr="001E79C5">
        <w:rPr>
          <w:rFonts w:ascii="Times New Roman" w:hAnsi="Times New Roman" w:cs="Times New Roman"/>
          <w:sz w:val="22"/>
          <w:szCs w:val="22"/>
        </w:rPr>
        <w:t xml:space="preserve">) supervising attorney approval; (ii) client consent via engagement letter or documented informed consent; and (iii) compliance with Section 5.2 of the Policy. All citations must be independently verified. </w:t>
      </w:r>
      <w:r w:rsidRPr="001E79C5">
        <w:rPr>
          <w:rFonts w:ascii="Times New Roman" w:hAnsi="Times New Roman" w:cs="Times New Roman"/>
          <w:b/>
          <w:bCs/>
          <w:sz w:val="22"/>
          <w:szCs w:val="22"/>
        </w:rPr>
        <w:t>Access requires Administrator enablement; contact the Administrator to request access.</w:t>
      </w:r>
    </w:p>
    <w:p w14:paraId="2675A19D" w14:textId="77777777" w:rsidR="006F1AB6" w:rsidRPr="001E79C5" w:rsidRDefault="006F1AB6">
      <w:pPr>
        <w:rPr>
          <w:rFonts w:ascii="Times New Roman" w:hAnsi="Times New Roman" w:cs="Times New Roman"/>
          <w:color w:val="auto"/>
          <w:sz w:val="22"/>
          <w:szCs w:val="22"/>
        </w:rPr>
      </w:pPr>
    </w:p>
    <w:p w14:paraId="4D213A9F" w14:textId="77777777" w:rsidR="00466652" w:rsidRPr="001E79C5" w:rsidRDefault="00130A46">
      <w:pPr>
        <w:pStyle w:val="Heading2"/>
        <w:rPr>
          <w:rFonts w:ascii="Times New Roman" w:hAnsi="Times New Roman" w:cs="Times New Roman"/>
          <w:color w:val="auto"/>
          <w:sz w:val="22"/>
          <w:szCs w:val="22"/>
        </w:rPr>
      </w:pPr>
      <w:r w:rsidRPr="001E79C5">
        <w:rPr>
          <w:rFonts w:ascii="Times New Roman" w:hAnsi="Times New Roman" w:cs="Times New Roman"/>
          <w:color w:val="auto"/>
          <w:sz w:val="22"/>
          <w:szCs w:val="22"/>
        </w:rPr>
        <w:t>Approved AI Notetakers</w:t>
      </w:r>
    </w:p>
    <w:p w14:paraId="5A536F89" w14:textId="0D0ACA8E" w:rsidR="006F1AB6" w:rsidRPr="001E79C5" w:rsidRDefault="00130A46">
      <w:pPr>
        <w:rPr>
          <w:rFonts w:ascii="Times New Roman" w:hAnsi="Times New Roman" w:cs="Times New Roman"/>
          <w:sz w:val="22"/>
          <w:szCs w:val="22"/>
        </w:rPr>
      </w:pPr>
      <w:r w:rsidRPr="001E79C5">
        <w:rPr>
          <w:rFonts w:ascii="Times New Roman" w:hAnsi="Times New Roman" w:cs="Times New Roman"/>
          <w:b/>
          <w:bCs/>
          <w:sz w:val="22"/>
          <w:szCs w:val="22"/>
        </w:rPr>
        <w:t xml:space="preserve">Zoom Workplace AI </w:t>
      </w:r>
      <w:r w:rsidRPr="001E79C5">
        <w:rPr>
          <w:rFonts w:ascii="Times New Roman" w:hAnsi="Times New Roman" w:cs="Times New Roman"/>
          <w:sz w:val="22"/>
          <w:szCs w:val="22"/>
        </w:rPr>
        <w:t xml:space="preserve">— </w:t>
      </w:r>
      <w:r w:rsidR="00DF636E" w:rsidRPr="001E79C5">
        <w:rPr>
          <w:rFonts w:ascii="Times New Roman" w:hAnsi="Times New Roman" w:cs="Times New Roman"/>
          <w:sz w:val="22"/>
          <w:szCs w:val="22"/>
        </w:rPr>
        <w:t>approved as an</w:t>
      </w:r>
      <w:r w:rsidRPr="001E79C5">
        <w:rPr>
          <w:rFonts w:ascii="Times New Roman" w:hAnsi="Times New Roman" w:cs="Times New Roman"/>
          <w:sz w:val="22"/>
          <w:szCs w:val="22"/>
        </w:rPr>
        <w:t xml:space="preserve"> AI Notetaker for </w:t>
      </w:r>
      <w:r w:rsidR="006F1AB6" w:rsidRPr="001E79C5">
        <w:rPr>
          <w:rFonts w:ascii="Times New Roman" w:hAnsi="Times New Roman" w:cs="Times New Roman"/>
          <w:sz w:val="22"/>
          <w:szCs w:val="22"/>
        </w:rPr>
        <w:t xml:space="preserve">internal and </w:t>
      </w:r>
      <w:r w:rsidRPr="001E79C5">
        <w:rPr>
          <w:rFonts w:ascii="Times New Roman" w:hAnsi="Times New Roman" w:cs="Times New Roman"/>
          <w:sz w:val="22"/>
          <w:szCs w:val="22"/>
        </w:rPr>
        <w:t>client communications, subject to the consent and data-handling requirements of Section 6.</w:t>
      </w:r>
    </w:p>
    <w:p w14:paraId="0ED2C2D3" w14:textId="6915528F" w:rsidR="00466652" w:rsidRPr="001E79C5" w:rsidRDefault="006F1AB6">
      <w:pPr>
        <w:rPr>
          <w:rFonts w:ascii="Times New Roman" w:hAnsi="Times New Roman" w:cs="Times New Roman"/>
          <w:sz w:val="22"/>
          <w:szCs w:val="22"/>
        </w:rPr>
      </w:pPr>
      <w:r w:rsidRPr="001E79C5">
        <w:rPr>
          <w:rFonts w:ascii="Times New Roman" w:hAnsi="Times New Roman" w:cs="Times New Roman"/>
          <w:b/>
          <w:bCs/>
          <w:sz w:val="22"/>
          <w:szCs w:val="22"/>
        </w:rPr>
        <w:t>Microsoft Copilot</w:t>
      </w:r>
      <w:r w:rsidRPr="001E79C5">
        <w:rPr>
          <w:rFonts w:ascii="Times New Roman" w:hAnsi="Times New Roman" w:cs="Times New Roman"/>
          <w:sz w:val="22"/>
          <w:szCs w:val="22"/>
        </w:rPr>
        <w:t xml:space="preserve"> — approved as an AI Notetaker for internal and client communications, subject to the consent and data-handling requirements of Section 6.</w:t>
      </w:r>
    </w:p>
    <w:p w14:paraId="6254780B" w14:textId="77777777" w:rsidR="00DF636E" w:rsidRPr="001E79C5" w:rsidRDefault="00DF636E">
      <w:pPr>
        <w:rPr>
          <w:rFonts w:ascii="Times New Roman" w:hAnsi="Times New Roman" w:cs="Times New Roman"/>
          <w:sz w:val="22"/>
          <w:szCs w:val="22"/>
        </w:rPr>
      </w:pPr>
    </w:p>
    <w:p w14:paraId="4688E30E" w14:textId="77777777" w:rsidR="00D072A1" w:rsidRPr="001E79C5" w:rsidRDefault="00B14249">
      <w:pPr>
        <w:pStyle w:val="Heading2"/>
        <w:rPr>
          <w:rFonts w:ascii="Times New Roman" w:hAnsi="Times New Roman" w:cs="Times New Roman"/>
          <w:color w:val="auto"/>
          <w:sz w:val="22"/>
          <w:szCs w:val="22"/>
        </w:rPr>
      </w:pPr>
      <w:r w:rsidRPr="001E79C5">
        <w:rPr>
          <w:rFonts w:ascii="Times New Roman" w:hAnsi="Times New Roman" w:cs="Times New Roman"/>
          <w:color w:val="auto"/>
          <w:sz w:val="22"/>
          <w:szCs w:val="22"/>
        </w:rPr>
        <w:t>Background AI Platforms</w:t>
      </w:r>
    </w:p>
    <w:p w14:paraId="0C7B7817" w14:textId="0C87AC61" w:rsidR="00D072A1" w:rsidRPr="001E79C5" w:rsidRDefault="00B14249">
      <w:pPr>
        <w:rPr>
          <w:rFonts w:ascii="Times New Roman" w:hAnsi="Times New Roman" w:cs="Times New Roman"/>
          <w:color w:val="auto"/>
          <w:sz w:val="22"/>
          <w:szCs w:val="22"/>
        </w:rPr>
      </w:pPr>
      <w:r w:rsidRPr="001E79C5">
        <w:rPr>
          <w:rFonts w:ascii="Times New Roman" w:hAnsi="Times New Roman" w:cs="Times New Roman"/>
          <w:color w:val="auto"/>
          <w:sz w:val="22"/>
          <w:szCs w:val="22"/>
        </w:rPr>
        <w:t>The following platforms incidentally include AI features and may be used consistent with the Policy. All AI-generated output must be reviewed for accuracy:</w:t>
      </w:r>
    </w:p>
    <w:p w14:paraId="77BAC253" w14:textId="77777777" w:rsidR="00D072A1"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Westlaw — AI-powered case briefs, precedent identification, and legal concept summaries</w:t>
      </w:r>
    </w:p>
    <w:p w14:paraId="52BDDE4A" w14:textId="77777777" w:rsidR="00D072A1"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Zoom Workplace AI — AI Companion meeting summarization, action item capture, and smart scheduling</w:t>
      </w:r>
    </w:p>
    <w:p w14:paraId="5905ABB3" w14:textId="77777777" w:rsidR="00D072A1"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Microsoft 365 / Copilot — AI-powered content generation, suggestions, and task automation</w:t>
      </w:r>
    </w:p>
    <w:p w14:paraId="4998E4AB" w14:textId="77777777" w:rsidR="00A3545E"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ClickUp — AI-powered task summarization, task creation, and writing assistance</w:t>
      </w:r>
    </w:p>
    <w:p w14:paraId="09894A84" w14:textId="77777777" w:rsidR="00D072A1" w:rsidRPr="001E79C5" w:rsidRDefault="00A3545E">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sz w:val="22"/>
          <w:szCs w:val="22"/>
        </w:rPr>
        <w:t>Laurel — AI-powered timekeeping and time entry automation</w:t>
      </w:r>
    </w:p>
    <w:p w14:paraId="72FC6DFC" w14:textId="77777777" w:rsidR="00D072A1"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HubSpot — Breeze AI features for marketing, sales, and customer service</w:t>
      </w:r>
    </w:p>
    <w:p w14:paraId="59145A0D" w14:textId="77777777" w:rsidR="00D072A1" w:rsidRPr="001E79C5" w:rsidRDefault="00B14249">
      <w:pPr>
        <w:pStyle w:val="ListParagraph"/>
        <w:numPr>
          <w:ilvl w:val="0"/>
          <w:numId w:val="2"/>
        </w:numPr>
        <w:spacing w:after="40"/>
        <w:rPr>
          <w:rFonts w:ascii="Times New Roman" w:hAnsi="Times New Roman" w:cs="Times New Roman"/>
          <w:color w:val="auto"/>
          <w:sz w:val="22"/>
          <w:szCs w:val="22"/>
        </w:rPr>
      </w:pPr>
      <w:r w:rsidRPr="001E79C5">
        <w:rPr>
          <w:rFonts w:ascii="Times New Roman" w:hAnsi="Times New Roman" w:cs="Times New Roman"/>
          <w:color w:val="auto"/>
          <w:sz w:val="22"/>
          <w:szCs w:val="22"/>
        </w:rPr>
        <w:t>PandaDoc — AI-enhanced document creation and workflow management</w:t>
      </w:r>
    </w:p>
    <w:p w14:paraId="7CCF8826" w14:textId="77777777" w:rsidR="00D072A1" w:rsidRPr="001E79C5" w:rsidRDefault="00D072A1">
      <w:pPr>
        <w:spacing w:after="60"/>
        <w:rPr>
          <w:rFonts w:ascii="Times New Roman" w:hAnsi="Times New Roman" w:cs="Times New Roman"/>
          <w:color w:val="auto"/>
          <w:sz w:val="22"/>
          <w:szCs w:val="22"/>
        </w:rPr>
      </w:pPr>
    </w:p>
    <w:p w14:paraId="489F1546" w14:textId="7836B110" w:rsidR="00E84FFE" w:rsidRPr="001E79C5" w:rsidRDefault="006722A8" w:rsidP="001E79C5">
      <w:pPr>
        <w:jc w:val="center"/>
        <w:rPr>
          <w:rFonts w:ascii="Times New Roman" w:hAnsi="Times New Roman" w:cs="Times New Roman"/>
          <w:b/>
          <w:bCs/>
          <w:color w:val="auto"/>
          <w:sz w:val="24"/>
          <w:szCs w:val="24"/>
        </w:rPr>
      </w:pPr>
      <w:r>
        <w:rPr>
          <w:rFonts w:ascii="Times New Roman" w:hAnsi="Times New Roman" w:cs="Times New Roman"/>
          <w:color w:val="auto"/>
          <w:sz w:val="24"/>
          <w:szCs w:val="24"/>
        </w:rPr>
        <w:br w:type="page"/>
      </w:r>
      <w:r w:rsidR="00E84FFE" w:rsidRPr="001E79C5">
        <w:rPr>
          <w:rFonts w:ascii="Times New Roman" w:hAnsi="Times New Roman" w:cs="Times New Roman"/>
          <w:b/>
          <w:bCs/>
          <w:color w:val="auto"/>
          <w:sz w:val="24"/>
          <w:szCs w:val="24"/>
        </w:rPr>
        <w:lastRenderedPageBreak/>
        <w:t>Appendix B: Jurisdiction-Specific Ethics Obligations</w:t>
      </w:r>
    </w:p>
    <w:p w14:paraId="3D6400BD" w14:textId="168B64D9" w:rsidR="001A5166" w:rsidRPr="001A5166" w:rsidRDefault="001A5166" w:rsidP="001A5166">
      <w:pPr>
        <w:jc w:val="center"/>
        <w:rPr>
          <w:rFonts w:ascii="Times New Roman" w:hAnsi="Times New Roman" w:cs="Times New Roman"/>
          <w:color w:val="auto"/>
          <w:sz w:val="24"/>
          <w:szCs w:val="24"/>
        </w:rPr>
      </w:pPr>
      <w:r>
        <w:rPr>
          <w:rFonts w:ascii="Times New Roman" w:hAnsi="Times New Roman" w:cs="Times New Roman"/>
          <w:i/>
          <w:iCs/>
          <w:color w:val="auto"/>
          <w:sz w:val="24"/>
          <w:szCs w:val="24"/>
        </w:rPr>
        <w:t xml:space="preserve">Effective as of June </w:t>
      </w:r>
      <w:r w:rsidR="006D50C7">
        <w:rPr>
          <w:rFonts w:ascii="Times New Roman" w:hAnsi="Times New Roman" w:cs="Times New Roman"/>
          <w:i/>
          <w:iCs/>
          <w:color w:val="auto"/>
          <w:sz w:val="24"/>
          <w:szCs w:val="24"/>
        </w:rPr>
        <w:t>1</w:t>
      </w:r>
      <w:r>
        <w:rPr>
          <w:rFonts w:ascii="Times New Roman" w:hAnsi="Times New Roman" w:cs="Times New Roman"/>
          <w:i/>
          <w:iCs/>
          <w:color w:val="auto"/>
          <w:sz w:val="24"/>
          <w:szCs w:val="24"/>
        </w:rPr>
        <w:t>8, 2026.</w:t>
      </w:r>
    </w:p>
    <w:p w14:paraId="090FC778" w14:textId="77777777" w:rsidR="001A5166" w:rsidRPr="001A5166" w:rsidRDefault="001A5166" w:rsidP="001A5166">
      <w:pPr>
        <w:pStyle w:val="Heading1"/>
        <w:jc w:val="center"/>
        <w:rPr>
          <w:rFonts w:ascii="Times New Roman" w:hAnsi="Times New Roman" w:cs="Times New Roman"/>
          <w:color w:val="auto"/>
          <w:sz w:val="24"/>
          <w:szCs w:val="24"/>
        </w:rPr>
      </w:pPr>
    </w:p>
    <w:p w14:paraId="19FFF4C0" w14:textId="77777777" w:rsidR="00E84FFE" w:rsidRPr="001E79C5" w:rsidRDefault="00E84FFE">
      <w:pPr>
        <w:rPr>
          <w:rFonts w:ascii="Times New Roman" w:hAnsi="Times New Roman" w:cs="Times New Roman"/>
          <w:color w:val="auto"/>
          <w:sz w:val="22"/>
          <w:szCs w:val="22"/>
        </w:rPr>
      </w:pPr>
      <w:r w:rsidRPr="001E79C5">
        <w:rPr>
          <w:rFonts w:ascii="Times New Roman" w:hAnsi="Times New Roman" w:cs="Times New Roman"/>
          <w:color w:val="auto"/>
          <w:sz w:val="22"/>
          <w:szCs w:val="22"/>
        </w:rPr>
        <w:t>In addition to ABA Formal Opinion 512 (2024), Personnel must comply with the following jurisdiction-specific guidance when using AI Tools. This list reflects the jurisdictions in which the Firm currently practices and is not exhaustive; Personnel who are unsure of their obligations in any jurisdiction should contact the Administrator:</w:t>
      </w:r>
    </w:p>
    <w:p w14:paraId="0B5D26D2" w14:textId="77777777" w:rsidR="00E84FFE" w:rsidRPr="001E79C5" w:rsidRDefault="00E84FFE" w:rsidP="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New York</w:t>
      </w:r>
      <w:r w:rsidRPr="001E79C5">
        <w:rPr>
          <w:rFonts w:ascii="Times New Roman" w:hAnsi="Times New Roman" w:cs="Times New Roman"/>
          <w:color w:val="auto"/>
          <w:sz w:val="22"/>
          <w:szCs w:val="22"/>
        </w:rPr>
        <w:t>: NYC Bar Formal Opinion 2024-5 (August 2024) (comprehensive AI ethics guidance, implicating NY Rules 1.1–8.4); NYC Bar Formal Opinion 2025-6 (December 22, 2025) (AI recording/transcription of client conversations); NYSBA Task Force Report (April 2024); NY UCS Interim AI Policy (October 10, 2025); 22 NYCRR Part 161 (effective June 1, 2026) (attorney certification against AI-fabricated content in court filings; individual judges retain discretion to require disclosure of AI use). Monitor all applicable court disclosure requirements.</w:t>
      </w:r>
    </w:p>
    <w:p w14:paraId="0FA6FB31" w14:textId="77777777" w:rsidR="00E84FFE" w:rsidRPr="001E79C5" w:rsidRDefault="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New Jersey</w:t>
      </w:r>
      <w:r w:rsidRPr="001E79C5">
        <w:rPr>
          <w:rFonts w:ascii="Times New Roman" w:hAnsi="Times New Roman" w:cs="Times New Roman"/>
          <w:color w:val="auto"/>
          <w:sz w:val="22"/>
          <w:szCs w:val="22"/>
        </w:rPr>
        <w:t>: NJ Supreme Court Preliminary Guidelines on AI (January 2024, emphasizing RPC 3.1, 4.1(a)(1), 8.4(c), 1.6, 5.1–5.3); NJSBA Task Force Report (May 2024); CLE technology credit requirement (April 2025).</w:t>
      </w:r>
    </w:p>
    <w:p w14:paraId="13FF436C" w14:textId="77777777" w:rsidR="00E84FFE" w:rsidRPr="001E79C5" w:rsidRDefault="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Connecticut</w:t>
      </w:r>
      <w:r w:rsidRPr="001E79C5">
        <w:rPr>
          <w:rFonts w:ascii="Times New Roman" w:hAnsi="Times New Roman" w:cs="Times New Roman"/>
          <w:color w:val="auto"/>
          <w:sz w:val="22"/>
          <w:szCs w:val="22"/>
        </w:rPr>
        <w:t>: CT Rule 1.1, Comment [8] (duty of technology competence); CT Judicial Branch Committee on AI (monitoring ongoing). Apply ABA Formal Opinion 512 and peer jurisdiction guidance pending CT-specific opinions.</w:t>
      </w:r>
    </w:p>
    <w:p w14:paraId="42CA37B0" w14:textId="77777777" w:rsidR="00E84FFE" w:rsidRPr="001E79C5" w:rsidRDefault="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Florida</w:t>
      </w:r>
      <w:r w:rsidRPr="001E79C5">
        <w:rPr>
          <w:rFonts w:ascii="Times New Roman" w:hAnsi="Times New Roman" w:cs="Times New Roman"/>
          <w:color w:val="auto"/>
          <w:sz w:val="22"/>
          <w:szCs w:val="22"/>
        </w:rPr>
        <w:t>: Florida Bar Advisory Ethics Opinion 24-1 (January 2024): Confidentiality (Rule 4-1.6), competence (Rule 4-1.1), billing (Rule 4-1.5), advertising (Rule 4-7.13), and supervision of AI as nonlawyer assistant (Rule 4-5.3(a)).</w:t>
      </w:r>
    </w:p>
    <w:p w14:paraId="62C73047" w14:textId="77777777" w:rsidR="00E84FFE" w:rsidRPr="001E79C5" w:rsidRDefault="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California</w:t>
      </w:r>
      <w:r w:rsidRPr="001E79C5">
        <w:rPr>
          <w:rFonts w:ascii="Times New Roman" w:hAnsi="Times New Roman" w:cs="Times New Roman"/>
          <w:color w:val="auto"/>
          <w:sz w:val="22"/>
          <w:szCs w:val="22"/>
        </w:rPr>
        <w:t>: State Bar Practical Guidance for Use of Generative AI (November 2023): Confidentiality (Rules 1.6, 1.8.2), competence (Rules 1.1, 1.3), candor, supervision (Rules 5.1–5.3), non-discrimination (Rule 8.4.1), and AI billing practices.</w:t>
      </w:r>
    </w:p>
    <w:p w14:paraId="0E940FBA" w14:textId="77777777" w:rsidR="00E84FFE" w:rsidRPr="001E79C5" w:rsidRDefault="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Texas</w:t>
      </w:r>
      <w:r w:rsidRPr="001E79C5">
        <w:rPr>
          <w:rFonts w:ascii="Times New Roman" w:hAnsi="Times New Roman" w:cs="Times New Roman"/>
          <w:color w:val="auto"/>
          <w:sz w:val="22"/>
          <w:szCs w:val="22"/>
        </w:rPr>
        <w:t>: Professional Ethics Committee Opinion No. 705 (February 2025): Competence (TDRPC Rule 1.01), confidentiality (Rule 1.05), verification/candor, and fair billing. Monitor N.D. Tex. LR 7.2(f) and S.D. Tex. General Order 2025-04 on use of generative AI in court filings.</w:t>
      </w:r>
    </w:p>
    <w:p w14:paraId="612C16AE" w14:textId="2B5CD997" w:rsidR="00E84FFE" w:rsidRPr="001E79C5" w:rsidRDefault="00E84FFE" w:rsidP="00E84FFE">
      <w:pPr>
        <w:pStyle w:val="ListParagraph"/>
        <w:numPr>
          <w:ilvl w:val="0"/>
          <w:numId w:val="4"/>
        </w:numPr>
        <w:rPr>
          <w:rFonts w:ascii="Times New Roman" w:hAnsi="Times New Roman" w:cs="Times New Roman"/>
          <w:color w:val="auto"/>
          <w:sz w:val="22"/>
          <w:szCs w:val="22"/>
        </w:rPr>
      </w:pPr>
      <w:r w:rsidRPr="001E79C5">
        <w:rPr>
          <w:rFonts w:ascii="Times New Roman" w:hAnsi="Times New Roman" w:cs="Times New Roman"/>
          <w:b/>
          <w:bCs/>
          <w:color w:val="auto"/>
          <w:sz w:val="22"/>
          <w:szCs w:val="22"/>
        </w:rPr>
        <w:t>Washington, D.C.</w:t>
      </w:r>
      <w:r w:rsidRPr="001E79C5">
        <w:rPr>
          <w:rFonts w:ascii="Times New Roman" w:hAnsi="Times New Roman" w:cs="Times New Roman"/>
          <w:color w:val="auto"/>
          <w:sz w:val="22"/>
          <w:szCs w:val="22"/>
        </w:rPr>
        <w:t>: D.C. Bar Ethics Opinion 388 (April 2024): Competence (Rule 1.1), confidentiality (Rule 1.6(f)), supervision (Rules 5.1, 5.3), candor (Rules 3.3, 3.4), fees (Rule 1.5), and client file obligations (Rule 1.16(d)). D.C. adopted formal duty of technology competence in 2025.</w:t>
      </w:r>
    </w:p>
    <w:p w14:paraId="351A4C42" w14:textId="77777777" w:rsidR="006722A8" w:rsidRDefault="006722A8" w:rsidP="006722A8">
      <w:pPr>
        <w:rPr>
          <w:rFonts w:ascii="Times New Roman" w:hAnsi="Times New Roman" w:cs="Times New Roman"/>
          <w:color w:val="auto"/>
          <w:sz w:val="24"/>
          <w:szCs w:val="24"/>
        </w:rPr>
      </w:pPr>
    </w:p>
    <w:p w14:paraId="55A52148" w14:textId="7A9F8680" w:rsidR="006722A8" w:rsidRPr="006722A8" w:rsidRDefault="006722A8" w:rsidP="006722A8">
      <w:pPr>
        <w:rPr>
          <w:rFonts w:ascii="Times New Roman" w:hAnsi="Times New Roman" w:cs="Times New Roman"/>
          <w:color w:val="auto"/>
          <w:sz w:val="24"/>
          <w:szCs w:val="24"/>
        </w:rPr>
      </w:pPr>
    </w:p>
    <w:sectPr w:rsidR="006722A8" w:rsidRPr="006722A8">
      <w:headerReference w:type="even" r:id="rId11"/>
      <w:headerReference w:type="default" r:id="rId12"/>
      <w:footerReference w:type="even" r:id="rId13"/>
      <w:footerReference w:type="default" r:id="rId14"/>
      <w:headerReference w:type="first" r:id="rId15"/>
      <w:footerReference w:type="firs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30FF" w14:textId="77777777" w:rsidR="00D73C28" w:rsidRDefault="00D73C28">
      <w:pPr>
        <w:spacing w:after="0" w:line="240" w:lineRule="auto"/>
      </w:pPr>
      <w:r>
        <w:separator/>
      </w:r>
    </w:p>
  </w:endnote>
  <w:endnote w:type="continuationSeparator" w:id="0">
    <w:p w14:paraId="6E62C8A9" w14:textId="77777777" w:rsidR="00D73C28" w:rsidRDefault="00D7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4027847"/>
      <w:docPartObj>
        <w:docPartGallery w:val="Page Numbers (Bottom of Page)"/>
        <w:docPartUnique/>
      </w:docPartObj>
    </w:sdtPr>
    <w:sdtContent>
      <w:p w14:paraId="5ED91352" w14:textId="19C113B4" w:rsidR="00D65D02" w:rsidRDefault="00D65D02" w:rsidP="000F2C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58EE4C" w14:textId="77777777" w:rsidR="00EB362E" w:rsidRDefault="00EB3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523014020"/>
      <w:docPartObj>
        <w:docPartGallery w:val="Page Numbers (Bottom of Page)"/>
        <w:docPartUnique/>
      </w:docPartObj>
    </w:sdtPr>
    <w:sdtContent>
      <w:p w14:paraId="5C6DECC1" w14:textId="41D99F67" w:rsidR="00D65D02" w:rsidRPr="003F5ABE" w:rsidRDefault="00D65D02" w:rsidP="000F2C66">
        <w:pPr>
          <w:pStyle w:val="Footer"/>
          <w:framePr w:wrap="none" w:vAnchor="text" w:hAnchor="margin" w:xAlign="center" w:y="1"/>
          <w:rPr>
            <w:rStyle w:val="PageNumber"/>
            <w:rFonts w:ascii="Times New Roman" w:hAnsi="Times New Roman" w:cs="Times New Roman"/>
            <w:sz w:val="24"/>
            <w:szCs w:val="24"/>
          </w:rPr>
        </w:pPr>
        <w:r w:rsidRPr="003F5ABE">
          <w:rPr>
            <w:rStyle w:val="PageNumber"/>
            <w:rFonts w:ascii="Times New Roman" w:hAnsi="Times New Roman" w:cs="Times New Roman"/>
            <w:sz w:val="24"/>
            <w:szCs w:val="24"/>
          </w:rPr>
          <w:fldChar w:fldCharType="begin"/>
        </w:r>
        <w:r w:rsidRPr="003F5ABE">
          <w:rPr>
            <w:rStyle w:val="PageNumber"/>
            <w:rFonts w:ascii="Times New Roman" w:hAnsi="Times New Roman" w:cs="Times New Roman"/>
            <w:sz w:val="24"/>
            <w:szCs w:val="24"/>
          </w:rPr>
          <w:instrText xml:space="preserve"> PAGE </w:instrText>
        </w:r>
        <w:r w:rsidRPr="003F5ABE">
          <w:rPr>
            <w:rStyle w:val="PageNumber"/>
            <w:rFonts w:ascii="Times New Roman" w:hAnsi="Times New Roman" w:cs="Times New Roman"/>
            <w:sz w:val="24"/>
            <w:szCs w:val="24"/>
          </w:rPr>
          <w:fldChar w:fldCharType="separate"/>
        </w:r>
        <w:r w:rsidRPr="003F5ABE">
          <w:rPr>
            <w:rStyle w:val="PageNumber"/>
            <w:rFonts w:ascii="Times New Roman" w:hAnsi="Times New Roman" w:cs="Times New Roman"/>
            <w:noProof/>
            <w:sz w:val="24"/>
            <w:szCs w:val="24"/>
          </w:rPr>
          <w:t>1</w:t>
        </w:r>
        <w:r w:rsidRPr="003F5ABE">
          <w:rPr>
            <w:rStyle w:val="PageNumber"/>
            <w:rFonts w:ascii="Times New Roman" w:hAnsi="Times New Roman" w:cs="Times New Roman"/>
            <w:sz w:val="24"/>
            <w:szCs w:val="24"/>
          </w:rPr>
          <w:fldChar w:fldCharType="end"/>
        </w:r>
      </w:p>
    </w:sdtContent>
  </w:sdt>
  <w:p w14:paraId="4D66D846" w14:textId="77777777" w:rsidR="00D072A1" w:rsidRPr="003F5ABE" w:rsidRDefault="00D072A1" w:rsidP="00D65D02">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7597" w14:textId="77777777" w:rsidR="00EB362E" w:rsidRDefault="00EB3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7B09" w14:textId="77777777" w:rsidR="00D73C28" w:rsidRDefault="00D73C28">
      <w:pPr>
        <w:spacing w:after="0" w:line="240" w:lineRule="auto"/>
      </w:pPr>
      <w:r>
        <w:separator/>
      </w:r>
    </w:p>
  </w:footnote>
  <w:footnote w:type="continuationSeparator" w:id="0">
    <w:p w14:paraId="12524BAC" w14:textId="77777777" w:rsidR="00D73C28" w:rsidRDefault="00D73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3BCF" w14:textId="77777777" w:rsidR="00EB362E" w:rsidRDefault="00EB3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40C3" w14:textId="77777777" w:rsidR="00EB362E" w:rsidRDefault="00EB3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AC8D" w14:textId="77777777" w:rsidR="00EB362E" w:rsidRDefault="00EB3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072A"/>
    <w:multiLevelType w:val="hybridMultilevel"/>
    <w:tmpl w:val="2232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64581"/>
    <w:multiLevelType w:val="hybridMultilevel"/>
    <w:tmpl w:val="2B8E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C2A1E"/>
    <w:multiLevelType w:val="multilevel"/>
    <w:tmpl w:val="066A8754"/>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73469C"/>
    <w:multiLevelType w:val="hybridMultilevel"/>
    <w:tmpl w:val="25BA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84202B"/>
    <w:multiLevelType w:val="multilevel"/>
    <w:tmpl w:val="8690DB6A"/>
    <w:lvl w:ilvl="0">
      <w:start w:val="1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81272C4"/>
    <w:multiLevelType w:val="hybridMultilevel"/>
    <w:tmpl w:val="F1724324"/>
    <w:lvl w:ilvl="0" w:tplc="0EC4E91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8E1A62"/>
    <w:multiLevelType w:val="hybridMultilevel"/>
    <w:tmpl w:val="A8B23020"/>
    <w:lvl w:ilvl="0" w:tplc="CB18CE56">
      <w:start w:val="1"/>
      <w:numFmt w:val="bullet"/>
      <w:lvlText w:val="●"/>
      <w:lvlJc w:val="left"/>
      <w:pPr>
        <w:ind w:left="720" w:hanging="360"/>
      </w:pPr>
    </w:lvl>
    <w:lvl w:ilvl="1" w:tplc="4F525DCE">
      <w:start w:val="1"/>
      <w:numFmt w:val="bullet"/>
      <w:lvlText w:val="○"/>
      <w:lvlJc w:val="left"/>
      <w:pPr>
        <w:ind w:left="1440" w:hanging="360"/>
      </w:pPr>
    </w:lvl>
    <w:lvl w:ilvl="2" w:tplc="4148CC1C">
      <w:start w:val="1"/>
      <w:numFmt w:val="bullet"/>
      <w:lvlText w:val="■"/>
      <w:lvlJc w:val="left"/>
      <w:pPr>
        <w:ind w:left="2160" w:hanging="360"/>
      </w:pPr>
    </w:lvl>
    <w:lvl w:ilvl="3" w:tplc="D502272A">
      <w:start w:val="1"/>
      <w:numFmt w:val="bullet"/>
      <w:lvlText w:val="●"/>
      <w:lvlJc w:val="left"/>
      <w:pPr>
        <w:ind w:left="2880" w:hanging="360"/>
      </w:pPr>
    </w:lvl>
    <w:lvl w:ilvl="4" w:tplc="DF2C56A8">
      <w:start w:val="1"/>
      <w:numFmt w:val="bullet"/>
      <w:lvlText w:val="○"/>
      <w:lvlJc w:val="left"/>
      <w:pPr>
        <w:ind w:left="3600" w:hanging="360"/>
      </w:pPr>
    </w:lvl>
    <w:lvl w:ilvl="5" w:tplc="C64E128E">
      <w:start w:val="1"/>
      <w:numFmt w:val="bullet"/>
      <w:lvlText w:val="■"/>
      <w:lvlJc w:val="left"/>
      <w:pPr>
        <w:ind w:left="4320" w:hanging="360"/>
      </w:pPr>
    </w:lvl>
    <w:lvl w:ilvl="6" w:tplc="28A819BC">
      <w:start w:val="1"/>
      <w:numFmt w:val="bullet"/>
      <w:lvlText w:val="●"/>
      <w:lvlJc w:val="left"/>
      <w:pPr>
        <w:ind w:left="5040" w:hanging="360"/>
      </w:pPr>
    </w:lvl>
    <w:lvl w:ilvl="7" w:tplc="802A3940">
      <w:start w:val="1"/>
      <w:numFmt w:val="bullet"/>
      <w:lvlText w:val="●"/>
      <w:lvlJc w:val="left"/>
      <w:pPr>
        <w:ind w:left="5760" w:hanging="360"/>
      </w:pPr>
    </w:lvl>
    <w:lvl w:ilvl="8" w:tplc="BEDC88E2">
      <w:start w:val="1"/>
      <w:numFmt w:val="bullet"/>
      <w:lvlText w:val="●"/>
      <w:lvlJc w:val="left"/>
      <w:pPr>
        <w:ind w:left="6480" w:hanging="360"/>
      </w:pPr>
    </w:lvl>
  </w:abstractNum>
  <w:abstractNum w:abstractNumId="7" w15:restartNumberingAfterBreak="0">
    <w:nsid w:val="5A7C13A7"/>
    <w:multiLevelType w:val="multilevel"/>
    <w:tmpl w:val="46DA70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5B076630"/>
    <w:multiLevelType w:val="multilevel"/>
    <w:tmpl w:val="29FE7E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632B4493"/>
    <w:multiLevelType w:val="hybridMultilevel"/>
    <w:tmpl w:val="1A3E21E4"/>
    <w:lvl w:ilvl="0" w:tplc="70BC3C10">
      <w:start w:val="1"/>
      <w:numFmt w:val="bullet"/>
      <w:lvlText w:val="•"/>
      <w:lvlJc w:val="left"/>
      <w:pPr>
        <w:ind w:left="540" w:hanging="270"/>
      </w:pPr>
    </w:lvl>
    <w:lvl w:ilvl="1" w:tplc="B128FCEC">
      <w:start w:val="1"/>
      <w:numFmt w:val="bullet"/>
      <w:lvlText w:val="◦"/>
      <w:lvlJc w:val="left"/>
      <w:pPr>
        <w:ind w:left="1080" w:hanging="270"/>
      </w:pPr>
    </w:lvl>
    <w:lvl w:ilvl="2" w:tplc="76C6013E">
      <w:numFmt w:val="decimal"/>
      <w:lvlText w:val=""/>
      <w:lvlJc w:val="left"/>
    </w:lvl>
    <w:lvl w:ilvl="3" w:tplc="058AE1E0">
      <w:numFmt w:val="decimal"/>
      <w:lvlText w:val=""/>
      <w:lvlJc w:val="left"/>
    </w:lvl>
    <w:lvl w:ilvl="4" w:tplc="1434720C">
      <w:numFmt w:val="decimal"/>
      <w:lvlText w:val=""/>
      <w:lvlJc w:val="left"/>
    </w:lvl>
    <w:lvl w:ilvl="5" w:tplc="AAB6A96C">
      <w:numFmt w:val="decimal"/>
      <w:lvlText w:val=""/>
      <w:lvlJc w:val="left"/>
    </w:lvl>
    <w:lvl w:ilvl="6" w:tplc="1E62E7A8">
      <w:numFmt w:val="decimal"/>
      <w:lvlText w:val=""/>
      <w:lvlJc w:val="left"/>
    </w:lvl>
    <w:lvl w:ilvl="7" w:tplc="A29E3852">
      <w:numFmt w:val="decimal"/>
      <w:lvlText w:val=""/>
      <w:lvlJc w:val="left"/>
    </w:lvl>
    <w:lvl w:ilvl="8" w:tplc="29609D3A">
      <w:numFmt w:val="decimal"/>
      <w:lvlText w:val=""/>
      <w:lvlJc w:val="left"/>
    </w:lvl>
  </w:abstractNum>
  <w:abstractNum w:abstractNumId="10" w15:restartNumberingAfterBreak="0">
    <w:nsid w:val="678E0769"/>
    <w:multiLevelType w:val="hybridMultilevel"/>
    <w:tmpl w:val="CD7C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1F11E5"/>
    <w:multiLevelType w:val="multilevel"/>
    <w:tmpl w:val="48983E2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79C6CAB"/>
    <w:multiLevelType w:val="multilevel"/>
    <w:tmpl w:val="E9DAFFF0"/>
    <w:lvl w:ilvl="0">
      <w:start w:val="1"/>
      <w:numFmt w:val="decimal"/>
      <w:lvlText w:val="%1."/>
      <w:lvlJc w:val="left"/>
      <w:pPr>
        <w:ind w:left="720" w:hanging="360"/>
      </w:pPr>
      <w:rPr>
        <w:rFonts w:hint="default"/>
        <w:b/>
        <w:bCs/>
      </w:rPr>
    </w:lvl>
    <w:lvl w:ilvl="1">
      <w:start w:val="1"/>
      <w:numFmt w:val="decimal"/>
      <w:lvlText w:val="%1.%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4663537">
    <w:abstractNumId w:val="6"/>
    <w:lvlOverride w:ilvl="0">
      <w:startOverride w:val="1"/>
    </w:lvlOverride>
  </w:num>
  <w:num w:numId="2" w16cid:durableId="588074990">
    <w:abstractNumId w:val="9"/>
    <w:lvlOverride w:ilvl="0">
      <w:startOverride w:val="1"/>
    </w:lvlOverride>
  </w:num>
  <w:num w:numId="3" w16cid:durableId="1801722501">
    <w:abstractNumId w:val="0"/>
  </w:num>
  <w:num w:numId="4" w16cid:durableId="1706829281">
    <w:abstractNumId w:val="8"/>
  </w:num>
  <w:num w:numId="5" w16cid:durableId="1524981464">
    <w:abstractNumId w:val="3"/>
  </w:num>
  <w:num w:numId="6" w16cid:durableId="447967627">
    <w:abstractNumId w:val="1"/>
  </w:num>
  <w:num w:numId="7" w16cid:durableId="1075905962">
    <w:abstractNumId w:val="10"/>
  </w:num>
  <w:num w:numId="8" w16cid:durableId="5717024">
    <w:abstractNumId w:val="7"/>
  </w:num>
  <w:num w:numId="9" w16cid:durableId="2097241565">
    <w:abstractNumId w:val="2"/>
  </w:num>
  <w:num w:numId="10" w16cid:durableId="30693644">
    <w:abstractNumId w:val="4"/>
  </w:num>
  <w:num w:numId="11" w16cid:durableId="893547591">
    <w:abstractNumId w:val="5"/>
  </w:num>
  <w:num w:numId="12" w16cid:durableId="1074820406">
    <w:abstractNumId w:val="11"/>
  </w:num>
  <w:num w:numId="13" w16cid:durableId="3999821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A1"/>
    <w:rsid w:val="000047AF"/>
    <w:rsid w:val="00005D50"/>
    <w:rsid w:val="000064F2"/>
    <w:rsid w:val="00022B75"/>
    <w:rsid w:val="000243DD"/>
    <w:rsid w:val="000344ED"/>
    <w:rsid w:val="00035501"/>
    <w:rsid w:val="000363AA"/>
    <w:rsid w:val="00036A30"/>
    <w:rsid w:val="00042D55"/>
    <w:rsid w:val="00043BC4"/>
    <w:rsid w:val="00047124"/>
    <w:rsid w:val="000655E6"/>
    <w:rsid w:val="00070B8D"/>
    <w:rsid w:val="0007718B"/>
    <w:rsid w:val="00080F80"/>
    <w:rsid w:val="00084F11"/>
    <w:rsid w:val="000853FC"/>
    <w:rsid w:val="00086820"/>
    <w:rsid w:val="000919A6"/>
    <w:rsid w:val="0009597C"/>
    <w:rsid w:val="00096E58"/>
    <w:rsid w:val="000978BE"/>
    <w:rsid w:val="000A07D5"/>
    <w:rsid w:val="000A2744"/>
    <w:rsid w:val="000A591A"/>
    <w:rsid w:val="000B554A"/>
    <w:rsid w:val="000C1ACC"/>
    <w:rsid w:val="000C6C3A"/>
    <w:rsid w:val="000D1A71"/>
    <w:rsid w:val="000E2793"/>
    <w:rsid w:val="000F1AC9"/>
    <w:rsid w:val="000F1EC6"/>
    <w:rsid w:val="000F28AD"/>
    <w:rsid w:val="00100567"/>
    <w:rsid w:val="001104D9"/>
    <w:rsid w:val="001113E7"/>
    <w:rsid w:val="00117905"/>
    <w:rsid w:val="0012115E"/>
    <w:rsid w:val="00130A46"/>
    <w:rsid w:val="001338D3"/>
    <w:rsid w:val="00143328"/>
    <w:rsid w:val="00146EB9"/>
    <w:rsid w:val="00160A83"/>
    <w:rsid w:val="00164893"/>
    <w:rsid w:val="00167FE8"/>
    <w:rsid w:val="00170975"/>
    <w:rsid w:val="001713F4"/>
    <w:rsid w:val="00180F17"/>
    <w:rsid w:val="00181C77"/>
    <w:rsid w:val="00195525"/>
    <w:rsid w:val="00196EF1"/>
    <w:rsid w:val="001A5166"/>
    <w:rsid w:val="001B2EE4"/>
    <w:rsid w:val="001B7279"/>
    <w:rsid w:val="001C2981"/>
    <w:rsid w:val="001C305A"/>
    <w:rsid w:val="001C36CA"/>
    <w:rsid w:val="001D715A"/>
    <w:rsid w:val="001E1118"/>
    <w:rsid w:val="001E4464"/>
    <w:rsid w:val="001E586A"/>
    <w:rsid w:val="001E7645"/>
    <w:rsid w:val="001E79C5"/>
    <w:rsid w:val="001E7F4A"/>
    <w:rsid w:val="001F047C"/>
    <w:rsid w:val="001F44A9"/>
    <w:rsid w:val="00202BD6"/>
    <w:rsid w:val="002035A9"/>
    <w:rsid w:val="00211FA2"/>
    <w:rsid w:val="00212AD7"/>
    <w:rsid w:val="00220E65"/>
    <w:rsid w:val="002215F1"/>
    <w:rsid w:val="00222B52"/>
    <w:rsid w:val="00231853"/>
    <w:rsid w:val="002322DB"/>
    <w:rsid w:val="002355A4"/>
    <w:rsid w:val="0023589C"/>
    <w:rsid w:val="00237DFF"/>
    <w:rsid w:val="0024281C"/>
    <w:rsid w:val="00243D0E"/>
    <w:rsid w:val="00245B5A"/>
    <w:rsid w:val="00246341"/>
    <w:rsid w:val="0025091C"/>
    <w:rsid w:val="00253545"/>
    <w:rsid w:val="00264BFB"/>
    <w:rsid w:val="00265529"/>
    <w:rsid w:val="00266BB9"/>
    <w:rsid w:val="002716D8"/>
    <w:rsid w:val="00273172"/>
    <w:rsid w:val="00274FEA"/>
    <w:rsid w:val="00275645"/>
    <w:rsid w:val="0028285A"/>
    <w:rsid w:val="00282D96"/>
    <w:rsid w:val="002855A7"/>
    <w:rsid w:val="00290833"/>
    <w:rsid w:val="00290F9A"/>
    <w:rsid w:val="002B100A"/>
    <w:rsid w:val="002B5D67"/>
    <w:rsid w:val="002C4ED4"/>
    <w:rsid w:val="002C4F67"/>
    <w:rsid w:val="002C5CA7"/>
    <w:rsid w:val="002D4936"/>
    <w:rsid w:val="002D50A4"/>
    <w:rsid w:val="002E0B95"/>
    <w:rsid w:val="002E340D"/>
    <w:rsid w:val="002E693D"/>
    <w:rsid w:val="002F6B55"/>
    <w:rsid w:val="002F7A6B"/>
    <w:rsid w:val="0030547E"/>
    <w:rsid w:val="0030794E"/>
    <w:rsid w:val="00312F72"/>
    <w:rsid w:val="003244E2"/>
    <w:rsid w:val="00330A62"/>
    <w:rsid w:val="00333E9D"/>
    <w:rsid w:val="00343572"/>
    <w:rsid w:val="0035186E"/>
    <w:rsid w:val="0037063D"/>
    <w:rsid w:val="00371BD8"/>
    <w:rsid w:val="003776CE"/>
    <w:rsid w:val="00380B69"/>
    <w:rsid w:val="003835F1"/>
    <w:rsid w:val="003854BC"/>
    <w:rsid w:val="00386763"/>
    <w:rsid w:val="003941DB"/>
    <w:rsid w:val="003A047D"/>
    <w:rsid w:val="003A44FD"/>
    <w:rsid w:val="003A6F1B"/>
    <w:rsid w:val="003A70C3"/>
    <w:rsid w:val="003B1DC0"/>
    <w:rsid w:val="003B2367"/>
    <w:rsid w:val="003B7A8D"/>
    <w:rsid w:val="003C35F1"/>
    <w:rsid w:val="003C3763"/>
    <w:rsid w:val="003C4BA4"/>
    <w:rsid w:val="003D1516"/>
    <w:rsid w:val="003E003C"/>
    <w:rsid w:val="003E4683"/>
    <w:rsid w:val="003F2E3D"/>
    <w:rsid w:val="003F5ABE"/>
    <w:rsid w:val="003F5BF3"/>
    <w:rsid w:val="003F5CAD"/>
    <w:rsid w:val="00400F57"/>
    <w:rsid w:val="0040162E"/>
    <w:rsid w:val="00404801"/>
    <w:rsid w:val="0041164B"/>
    <w:rsid w:val="0042040D"/>
    <w:rsid w:val="00424CDE"/>
    <w:rsid w:val="00431F58"/>
    <w:rsid w:val="0044016E"/>
    <w:rsid w:val="00440EFE"/>
    <w:rsid w:val="00441258"/>
    <w:rsid w:val="00441688"/>
    <w:rsid w:val="00445A97"/>
    <w:rsid w:val="004478D1"/>
    <w:rsid w:val="004507EB"/>
    <w:rsid w:val="00454FEB"/>
    <w:rsid w:val="004647BB"/>
    <w:rsid w:val="00465163"/>
    <w:rsid w:val="00466652"/>
    <w:rsid w:val="00470772"/>
    <w:rsid w:val="00471C31"/>
    <w:rsid w:val="00480E70"/>
    <w:rsid w:val="00493656"/>
    <w:rsid w:val="004949BE"/>
    <w:rsid w:val="004A28A2"/>
    <w:rsid w:val="004A3743"/>
    <w:rsid w:val="004A7EEB"/>
    <w:rsid w:val="004B11DB"/>
    <w:rsid w:val="004B1AD7"/>
    <w:rsid w:val="004B5487"/>
    <w:rsid w:val="004C071E"/>
    <w:rsid w:val="004C2546"/>
    <w:rsid w:val="004C28FE"/>
    <w:rsid w:val="004C6492"/>
    <w:rsid w:val="004E1AA3"/>
    <w:rsid w:val="004F10B8"/>
    <w:rsid w:val="004F65AF"/>
    <w:rsid w:val="00504B35"/>
    <w:rsid w:val="00506779"/>
    <w:rsid w:val="00507D2E"/>
    <w:rsid w:val="00517481"/>
    <w:rsid w:val="00520BA2"/>
    <w:rsid w:val="005223FF"/>
    <w:rsid w:val="00525007"/>
    <w:rsid w:val="00525595"/>
    <w:rsid w:val="00531D6A"/>
    <w:rsid w:val="0053328B"/>
    <w:rsid w:val="00533ED3"/>
    <w:rsid w:val="0053412A"/>
    <w:rsid w:val="00537DF5"/>
    <w:rsid w:val="00540932"/>
    <w:rsid w:val="00543F0C"/>
    <w:rsid w:val="00546649"/>
    <w:rsid w:val="00546B86"/>
    <w:rsid w:val="00550C21"/>
    <w:rsid w:val="00555B1A"/>
    <w:rsid w:val="0056025A"/>
    <w:rsid w:val="005818FC"/>
    <w:rsid w:val="00582AF4"/>
    <w:rsid w:val="00590E71"/>
    <w:rsid w:val="00591E20"/>
    <w:rsid w:val="00592C3F"/>
    <w:rsid w:val="005A0DB3"/>
    <w:rsid w:val="005B50C4"/>
    <w:rsid w:val="005C133E"/>
    <w:rsid w:val="005C20A7"/>
    <w:rsid w:val="005C3EA0"/>
    <w:rsid w:val="005C504E"/>
    <w:rsid w:val="005D0EA7"/>
    <w:rsid w:val="005D2A6B"/>
    <w:rsid w:val="005D32D4"/>
    <w:rsid w:val="005D3D7B"/>
    <w:rsid w:val="005D5B66"/>
    <w:rsid w:val="005E21AD"/>
    <w:rsid w:val="005E3D84"/>
    <w:rsid w:val="005E53EC"/>
    <w:rsid w:val="005E575B"/>
    <w:rsid w:val="005F0E3D"/>
    <w:rsid w:val="005F6176"/>
    <w:rsid w:val="005F7158"/>
    <w:rsid w:val="00602F8A"/>
    <w:rsid w:val="00603E5C"/>
    <w:rsid w:val="00604D44"/>
    <w:rsid w:val="00606AE2"/>
    <w:rsid w:val="00607C7D"/>
    <w:rsid w:val="0061592A"/>
    <w:rsid w:val="006161BA"/>
    <w:rsid w:val="0061643A"/>
    <w:rsid w:val="0062079E"/>
    <w:rsid w:val="00620A02"/>
    <w:rsid w:val="00626F07"/>
    <w:rsid w:val="0063421E"/>
    <w:rsid w:val="00634D2A"/>
    <w:rsid w:val="006360F9"/>
    <w:rsid w:val="00636563"/>
    <w:rsid w:val="00637214"/>
    <w:rsid w:val="00651A93"/>
    <w:rsid w:val="006536A1"/>
    <w:rsid w:val="006544EB"/>
    <w:rsid w:val="00660644"/>
    <w:rsid w:val="00665BD8"/>
    <w:rsid w:val="0067011F"/>
    <w:rsid w:val="006722A8"/>
    <w:rsid w:val="0067285D"/>
    <w:rsid w:val="00673245"/>
    <w:rsid w:val="00683424"/>
    <w:rsid w:val="006834C0"/>
    <w:rsid w:val="006863F3"/>
    <w:rsid w:val="006875F1"/>
    <w:rsid w:val="00687D3A"/>
    <w:rsid w:val="006956A9"/>
    <w:rsid w:val="00695BF6"/>
    <w:rsid w:val="006A4E22"/>
    <w:rsid w:val="006B1398"/>
    <w:rsid w:val="006B4939"/>
    <w:rsid w:val="006C4C45"/>
    <w:rsid w:val="006D31B5"/>
    <w:rsid w:val="006D50C7"/>
    <w:rsid w:val="006F1127"/>
    <w:rsid w:val="006F1AB6"/>
    <w:rsid w:val="006F5D8B"/>
    <w:rsid w:val="00701A74"/>
    <w:rsid w:val="00702CD0"/>
    <w:rsid w:val="00704FC9"/>
    <w:rsid w:val="00706FFB"/>
    <w:rsid w:val="00724C67"/>
    <w:rsid w:val="00733AC6"/>
    <w:rsid w:val="007348A1"/>
    <w:rsid w:val="007367BE"/>
    <w:rsid w:val="0073775D"/>
    <w:rsid w:val="00741067"/>
    <w:rsid w:val="00741C54"/>
    <w:rsid w:val="00743276"/>
    <w:rsid w:val="007515BF"/>
    <w:rsid w:val="007622E9"/>
    <w:rsid w:val="0076415E"/>
    <w:rsid w:val="00766389"/>
    <w:rsid w:val="00771D1E"/>
    <w:rsid w:val="007741EF"/>
    <w:rsid w:val="00782047"/>
    <w:rsid w:val="00783FF3"/>
    <w:rsid w:val="00785737"/>
    <w:rsid w:val="00791517"/>
    <w:rsid w:val="00793DA8"/>
    <w:rsid w:val="007946D5"/>
    <w:rsid w:val="00795320"/>
    <w:rsid w:val="007B3CC3"/>
    <w:rsid w:val="007B3EC0"/>
    <w:rsid w:val="007B4345"/>
    <w:rsid w:val="007C188E"/>
    <w:rsid w:val="007C1E0C"/>
    <w:rsid w:val="007C5FCE"/>
    <w:rsid w:val="007D129B"/>
    <w:rsid w:val="007E1596"/>
    <w:rsid w:val="007E5AD1"/>
    <w:rsid w:val="007E60A0"/>
    <w:rsid w:val="007E63B4"/>
    <w:rsid w:val="007F036C"/>
    <w:rsid w:val="007F1D64"/>
    <w:rsid w:val="007F1DAA"/>
    <w:rsid w:val="007F219B"/>
    <w:rsid w:val="007F3BAE"/>
    <w:rsid w:val="007F682D"/>
    <w:rsid w:val="007F75E1"/>
    <w:rsid w:val="008019FA"/>
    <w:rsid w:val="00802E7B"/>
    <w:rsid w:val="0080487F"/>
    <w:rsid w:val="00804D91"/>
    <w:rsid w:val="00807B0A"/>
    <w:rsid w:val="00810BA2"/>
    <w:rsid w:val="00816B9D"/>
    <w:rsid w:val="00817C5B"/>
    <w:rsid w:val="008259FB"/>
    <w:rsid w:val="00835BB8"/>
    <w:rsid w:val="00842593"/>
    <w:rsid w:val="00843F88"/>
    <w:rsid w:val="00845590"/>
    <w:rsid w:val="0085388B"/>
    <w:rsid w:val="008610F4"/>
    <w:rsid w:val="008677D7"/>
    <w:rsid w:val="00871156"/>
    <w:rsid w:val="00874F41"/>
    <w:rsid w:val="0087670C"/>
    <w:rsid w:val="00877668"/>
    <w:rsid w:val="00877F70"/>
    <w:rsid w:val="008822C2"/>
    <w:rsid w:val="008845E0"/>
    <w:rsid w:val="00896144"/>
    <w:rsid w:val="0089648A"/>
    <w:rsid w:val="008A3E3D"/>
    <w:rsid w:val="008A59C2"/>
    <w:rsid w:val="008A700E"/>
    <w:rsid w:val="008B191C"/>
    <w:rsid w:val="008B3E94"/>
    <w:rsid w:val="008B4C93"/>
    <w:rsid w:val="008B6F4E"/>
    <w:rsid w:val="008B7CCF"/>
    <w:rsid w:val="008D1962"/>
    <w:rsid w:val="008D2168"/>
    <w:rsid w:val="008D3F9B"/>
    <w:rsid w:val="008D506C"/>
    <w:rsid w:val="008D5CBA"/>
    <w:rsid w:val="008E3A6B"/>
    <w:rsid w:val="008E3FBC"/>
    <w:rsid w:val="008F4F7B"/>
    <w:rsid w:val="00902A99"/>
    <w:rsid w:val="009048EB"/>
    <w:rsid w:val="0091375D"/>
    <w:rsid w:val="00915347"/>
    <w:rsid w:val="00926B50"/>
    <w:rsid w:val="0092723F"/>
    <w:rsid w:val="009279C7"/>
    <w:rsid w:val="00933AEF"/>
    <w:rsid w:val="00935071"/>
    <w:rsid w:val="0093538D"/>
    <w:rsid w:val="00936B1B"/>
    <w:rsid w:val="00941F6F"/>
    <w:rsid w:val="00952AD1"/>
    <w:rsid w:val="00953323"/>
    <w:rsid w:val="009616BB"/>
    <w:rsid w:val="009622B1"/>
    <w:rsid w:val="00963627"/>
    <w:rsid w:val="00963B42"/>
    <w:rsid w:val="00965D48"/>
    <w:rsid w:val="00966263"/>
    <w:rsid w:val="00972769"/>
    <w:rsid w:val="009737C0"/>
    <w:rsid w:val="0098295C"/>
    <w:rsid w:val="00985418"/>
    <w:rsid w:val="00986C63"/>
    <w:rsid w:val="00990E00"/>
    <w:rsid w:val="00994B07"/>
    <w:rsid w:val="00997B37"/>
    <w:rsid w:val="009A0765"/>
    <w:rsid w:val="009A7963"/>
    <w:rsid w:val="009B02E3"/>
    <w:rsid w:val="009B0C00"/>
    <w:rsid w:val="009B1031"/>
    <w:rsid w:val="009B448E"/>
    <w:rsid w:val="009C08BC"/>
    <w:rsid w:val="009C27E2"/>
    <w:rsid w:val="009C477B"/>
    <w:rsid w:val="009C6A74"/>
    <w:rsid w:val="009D4944"/>
    <w:rsid w:val="009D5C92"/>
    <w:rsid w:val="009E5F0A"/>
    <w:rsid w:val="009E6AD2"/>
    <w:rsid w:val="009E7018"/>
    <w:rsid w:val="009F5A53"/>
    <w:rsid w:val="00A06E0E"/>
    <w:rsid w:val="00A126D3"/>
    <w:rsid w:val="00A27EBA"/>
    <w:rsid w:val="00A30674"/>
    <w:rsid w:val="00A324A2"/>
    <w:rsid w:val="00A3545E"/>
    <w:rsid w:val="00A359F1"/>
    <w:rsid w:val="00A4111E"/>
    <w:rsid w:val="00A456E3"/>
    <w:rsid w:val="00A52506"/>
    <w:rsid w:val="00A56D28"/>
    <w:rsid w:val="00A56EEF"/>
    <w:rsid w:val="00A57E45"/>
    <w:rsid w:val="00A605E3"/>
    <w:rsid w:val="00A61F18"/>
    <w:rsid w:val="00A64FD1"/>
    <w:rsid w:val="00A65E7E"/>
    <w:rsid w:val="00A6654F"/>
    <w:rsid w:val="00A66991"/>
    <w:rsid w:val="00A7025F"/>
    <w:rsid w:val="00A74B46"/>
    <w:rsid w:val="00A84E0C"/>
    <w:rsid w:val="00A92ADA"/>
    <w:rsid w:val="00A94576"/>
    <w:rsid w:val="00A96011"/>
    <w:rsid w:val="00AA06DA"/>
    <w:rsid w:val="00AB0971"/>
    <w:rsid w:val="00AB12C2"/>
    <w:rsid w:val="00AC33CA"/>
    <w:rsid w:val="00AC4EBC"/>
    <w:rsid w:val="00AD4135"/>
    <w:rsid w:val="00AD6FAD"/>
    <w:rsid w:val="00AD7A58"/>
    <w:rsid w:val="00AE49FE"/>
    <w:rsid w:val="00AE4EF8"/>
    <w:rsid w:val="00AE52AE"/>
    <w:rsid w:val="00AF46C0"/>
    <w:rsid w:val="00AF75EB"/>
    <w:rsid w:val="00B02E58"/>
    <w:rsid w:val="00B034F8"/>
    <w:rsid w:val="00B044AE"/>
    <w:rsid w:val="00B078E6"/>
    <w:rsid w:val="00B07F7F"/>
    <w:rsid w:val="00B12ECF"/>
    <w:rsid w:val="00B14249"/>
    <w:rsid w:val="00B14783"/>
    <w:rsid w:val="00B153D5"/>
    <w:rsid w:val="00B2001B"/>
    <w:rsid w:val="00B21344"/>
    <w:rsid w:val="00B21B67"/>
    <w:rsid w:val="00B249AC"/>
    <w:rsid w:val="00B254C8"/>
    <w:rsid w:val="00B2672C"/>
    <w:rsid w:val="00B30715"/>
    <w:rsid w:val="00B33C02"/>
    <w:rsid w:val="00B37874"/>
    <w:rsid w:val="00B60392"/>
    <w:rsid w:val="00B64ADC"/>
    <w:rsid w:val="00B67D42"/>
    <w:rsid w:val="00B73AC9"/>
    <w:rsid w:val="00B7467A"/>
    <w:rsid w:val="00B75AEA"/>
    <w:rsid w:val="00B764ED"/>
    <w:rsid w:val="00B84D37"/>
    <w:rsid w:val="00B91171"/>
    <w:rsid w:val="00B92D86"/>
    <w:rsid w:val="00B956C4"/>
    <w:rsid w:val="00B9742A"/>
    <w:rsid w:val="00BB057B"/>
    <w:rsid w:val="00BB3555"/>
    <w:rsid w:val="00BB3578"/>
    <w:rsid w:val="00BC0E2B"/>
    <w:rsid w:val="00BD0B76"/>
    <w:rsid w:val="00BD5785"/>
    <w:rsid w:val="00BD58F8"/>
    <w:rsid w:val="00BD7E96"/>
    <w:rsid w:val="00BE6874"/>
    <w:rsid w:val="00BF3E80"/>
    <w:rsid w:val="00BF7CD9"/>
    <w:rsid w:val="00C06220"/>
    <w:rsid w:val="00C06B9C"/>
    <w:rsid w:val="00C06E7D"/>
    <w:rsid w:val="00C07941"/>
    <w:rsid w:val="00C1477D"/>
    <w:rsid w:val="00C14CB7"/>
    <w:rsid w:val="00C15C45"/>
    <w:rsid w:val="00C36FDB"/>
    <w:rsid w:val="00C44E58"/>
    <w:rsid w:val="00C51BC2"/>
    <w:rsid w:val="00C56340"/>
    <w:rsid w:val="00C56BE4"/>
    <w:rsid w:val="00C67074"/>
    <w:rsid w:val="00C73AF7"/>
    <w:rsid w:val="00C75673"/>
    <w:rsid w:val="00C769B5"/>
    <w:rsid w:val="00C77451"/>
    <w:rsid w:val="00C77843"/>
    <w:rsid w:val="00C80352"/>
    <w:rsid w:val="00C82277"/>
    <w:rsid w:val="00C83FCA"/>
    <w:rsid w:val="00C92106"/>
    <w:rsid w:val="00CA34BF"/>
    <w:rsid w:val="00CA3BF1"/>
    <w:rsid w:val="00CA4818"/>
    <w:rsid w:val="00CA5AEF"/>
    <w:rsid w:val="00CA7B53"/>
    <w:rsid w:val="00CB0BAD"/>
    <w:rsid w:val="00CC12E2"/>
    <w:rsid w:val="00CC2043"/>
    <w:rsid w:val="00CC2B70"/>
    <w:rsid w:val="00CC61F5"/>
    <w:rsid w:val="00CD434D"/>
    <w:rsid w:val="00CD5F40"/>
    <w:rsid w:val="00CE1335"/>
    <w:rsid w:val="00CE1C49"/>
    <w:rsid w:val="00CE375A"/>
    <w:rsid w:val="00CF1BB5"/>
    <w:rsid w:val="00CF1C1E"/>
    <w:rsid w:val="00CF1F5C"/>
    <w:rsid w:val="00D003BD"/>
    <w:rsid w:val="00D072A1"/>
    <w:rsid w:val="00D0782D"/>
    <w:rsid w:val="00D07982"/>
    <w:rsid w:val="00D113D8"/>
    <w:rsid w:val="00D113E2"/>
    <w:rsid w:val="00D32411"/>
    <w:rsid w:val="00D33E75"/>
    <w:rsid w:val="00D36D33"/>
    <w:rsid w:val="00D42CFC"/>
    <w:rsid w:val="00D476ED"/>
    <w:rsid w:val="00D47BE6"/>
    <w:rsid w:val="00D5054E"/>
    <w:rsid w:val="00D5098F"/>
    <w:rsid w:val="00D65832"/>
    <w:rsid w:val="00D65D02"/>
    <w:rsid w:val="00D65EC2"/>
    <w:rsid w:val="00D73C28"/>
    <w:rsid w:val="00D74F94"/>
    <w:rsid w:val="00D8262A"/>
    <w:rsid w:val="00D83241"/>
    <w:rsid w:val="00D835F7"/>
    <w:rsid w:val="00D8441D"/>
    <w:rsid w:val="00D94CAF"/>
    <w:rsid w:val="00DA0D3A"/>
    <w:rsid w:val="00DC0CE4"/>
    <w:rsid w:val="00DC11C0"/>
    <w:rsid w:val="00DC3DC1"/>
    <w:rsid w:val="00DC6499"/>
    <w:rsid w:val="00DD4034"/>
    <w:rsid w:val="00DD535A"/>
    <w:rsid w:val="00DE2FAF"/>
    <w:rsid w:val="00DE5BA1"/>
    <w:rsid w:val="00DF0E77"/>
    <w:rsid w:val="00DF20F8"/>
    <w:rsid w:val="00DF3C09"/>
    <w:rsid w:val="00DF636E"/>
    <w:rsid w:val="00E001E8"/>
    <w:rsid w:val="00E02FAB"/>
    <w:rsid w:val="00E04321"/>
    <w:rsid w:val="00E13475"/>
    <w:rsid w:val="00E20759"/>
    <w:rsid w:val="00E275B0"/>
    <w:rsid w:val="00E30DB0"/>
    <w:rsid w:val="00E32F36"/>
    <w:rsid w:val="00E340F6"/>
    <w:rsid w:val="00E37F05"/>
    <w:rsid w:val="00E42287"/>
    <w:rsid w:val="00E4656A"/>
    <w:rsid w:val="00E510C7"/>
    <w:rsid w:val="00E514AE"/>
    <w:rsid w:val="00E53A1E"/>
    <w:rsid w:val="00E5687E"/>
    <w:rsid w:val="00E56C1E"/>
    <w:rsid w:val="00E57488"/>
    <w:rsid w:val="00E57830"/>
    <w:rsid w:val="00E601D2"/>
    <w:rsid w:val="00E7163E"/>
    <w:rsid w:val="00E72295"/>
    <w:rsid w:val="00E74927"/>
    <w:rsid w:val="00E813DB"/>
    <w:rsid w:val="00E819D2"/>
    <w:rsid w:val="00E81C9E"/>
    <w:rsid w:val="00E8234D"/>
    <w:rsid w:val="00E82F02"/>
    <w:rsid w:val="00E84FFE"/>
    <w:rsid w:val="00E85A4F"/>
    <w:rsid w:val="00E92020"/>
    <w:rsid w:val="00E93B88"/>
    <w:rsid w:val="00E94C06"/>
    <w:rsid w:val="00E94C42"/>
    <w:rsid w:val="00E97B82"/>
    <w:rsid w:val="00EA3CB7"/>
    <w:rsid w:val="00EA3DC1"/>
    <w:rsid w:val="00EB362E"/>
    <w:rsid w:val="00EB3C16"/>
    <w:rsid w:val="00EB445F"/>
    <w:rsid w:val="00EB6E10"/>
    <w:rsid w:val="00EB7430"/>
    <w:rsid w:val="00EC23AB"/>
    <w:rsid w:val="00EC4026"/>
    <w:rsid w:val="00EC4C81"/>
    <w:rsid w:val="00EC6117"/>
    <w:rsid w:val="00ED1142"/>
    <w:rsid w:val="00ED2328"/>
    <w:rsid w:val="00ED4A23"/>
    <w:rsid w:val="00ED5846"/>
    <w:rsid w:val="00EE049C"/>
    <w:rsid w:val="00EE5BBE"/>
    <w:rsid w:val="00EF2DB1"/>
    <w:rsid w:val="00F012B5"/>
    <w:rsid w:val="00F05AAE"/>
    <w:rsid w:val="00F10980"/>
    <w:rsid w:val="00F16489"/>
    <w:rsid w:val="00F21E72"/>
    <w:rsid w:val="00F22BE5"/>
    <w:rsid w:val="00F26B40"/>
    <w:rsid w:val="00F307BB"/>
    <w:rsid w:val="00F320ED"/>
    <w:rsid w:val="00F33D36"/>
    <w:rsid w:val="00F35567"/>
    <w:rsid w:val="00F40641"/>
    <w:rsid w:val="00F443DC"/>
    <w:rsid w:val="00F44C37"/>
    <w:rsid w:val="00F50A10"/>
    <w:rsid w:val="00F51BC0"/>
    <w:rsid w:val="00F5353B"/>
    <w:rsid w:val="00F55F8C"/>
    <w:rsid w:val="00F57F57"/>
    <w:rsid w:val="00F67668"/>
    <w:rsid w:val="00F7204C"/>
    <w:rsid w:val="00F73C98"/>
    <w:rsid w:val="00F74DF2"/>
    <w:rsid w:val="00F76A03"/>
    <w:rsid w:val="00F80BD9"/>
    <w:rsid w:val="00F833BD"/>
    <w:rsid w:val="00F83E8B"/>
    <w:rsid w:val="00F91CFB"/>
    <w:rsid w:val="00F973C2"/>
    <w:rsid w:val="00FA234C"/>
    <w:rsid w:val="00FA7CEE"/>
    <w:rsid w:val="00FC06AE"/>
    <w:rsid w:val="00FC60B2"/>
    <w:rsid w:val="00FC6298"/>
    <w:rsid w:val="00FD0A3E"/>
    <w:rsid w:val="00FD457F"/>
    <w:rsid w:val="00FD5682"/>
    <w:rsid w:val="00FD65F0"/>
    <w:rsid w:val="00FE2F2C"/>
    <w:rsid w:val="00FE5A24"/>
    <w:rsid w:val="00FE6016"/>
    <w:rsid w:val="00FF623A"/>
    <w:rsid w:val="00FF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402A6"/>
  <w15:docId w15:val="{D7ADD31F-1D74-4905-A0C1-B8C8D5D43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ar-SA"/>
      </w:rPr>
    </w:rPrDefault>
    <w:pPrDefault>
      <w:pPr>
        <w:spacing w:after="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B3A5C"/>
      <w:sz w:val="28"/>
      <w:szCs w:val="28"/>
    </w:rPr>
  </w:style>
  <w:style w:type="paragraph" w:styleId="Heading2">
    <w:name w:val="heading 2"/>
    <w:uiPriority w:val="9"/>
    <w:unhideWhenUsed/>
    <w:qFormat/>
    <w:pPr>
      <w:spacing w:before="160"/>
      <w:outlineLvl w:val="1"/>
    </w:pPr>
    <w:rPr>
      <w:b/>
      <w:bCs/>
      <w:color w:val="1B3A5C"/>
      <w:sz w:val="24"/>
      <w:szCs w:val="24"/>
    </w:rPr>
  </w:style>
  <w:style w:type="paragraph" w:styleId="Heading3">
    <w:name w:val="heading 3"/>
    <w:uiPriority w:val="9"/>
    <w:semiHidden/>
    <w:unhideWhenUsed/>
    <w:qFormat/>
    <w:pPr>
      <w:spacing w:before="120" w:after="6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0A7"/>
  </w:style>
  <w:style w:type="paragraph" w:styleId="Footer">
    <w:name w:val="footer"/>
    <w:basedOn w:val="Normal"/>
    <w:link w:val="FooterChar"/>
    <w:uiPriority w:val="99"/>
    <w:unhideWhenUsed/>
    <w:rsid w:val="005C2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0A7"/>
  </w:style>
  <w:style w:type="character" w:styleId="CommentReference">
    <w:name w:val="annotation reference"/>
    <w:basedOn w:val="DefaultParagraphFont"/>
    <w:uiPriority w:val="99"/>
    <w:semiHidden/>
    <w:unhideWhenUsed/>
    <w:rsid w:val="002E0B95"/>
    <w:rPr>
      <w:sz w:val="16"/>
      <w:szCs w:val="16"/>
    </w:rPr>
  </w:style>
  <w:style w:type="paragraph" w:styleId="CommentText">
    <w:name w:val="annotation text"/>
    <w:basedOn w:val="Normal"/>
    <w:link w:val="CommentTextChar"/>
    <w:uiPriority w:val="99"/>
    <w:unhideWhenUsed/>
    <w:rsid w:val="002E0B95"/>
    <w:pPr>
      <w:spacing w:line="240" w:lineRule="auto"/>
    </w:pPr>
    <w:rPr>
      <w:sz w:val="20"/>
      <w:szCs w:val="20"/>
    </w:rPr>
  </w:style>
  <w:style w:type="character" w:customStyle="1" w:styleId="CommentTextChar">
    <w:name w:val="Comment Text Char"/>
    <w:basedOn w:val="DefaultParagraphFont"/>
    <w:link w:val="CommentText"/>
    <w:uiPriority w:val="99"/>
    <w:rsid w:val="002E0B95"/>
    <w:rPr>
      <w:sz w:val="20"/>
      <w:szCs w:val="20"/>
    </w:rPr>
  </w:style>
  <w:style w:type="paragraph" w:styleId="CommentSubject">
    <w:name w:val="annotation subject"/>
    <w:basedOn w:val="CommentText"/>
    <w:next w:val="CommentText"/>
    <w:link w:val="CommentSubjectChar"/>
    <w:uiPriority w:val="99"/>
    <w:semiHidden/>
    <w:unhideWhenUsed/>
    <w:rsid w:val="002E0B95"/>
    <w:rPr>
      <w:b/>
      <w:bCs/>
    </w:rPr>
  </w:style>
  <w:style w:type="character" w:customStyle="1" w:styleId="CommentSubjectChar">
    <w:name w:val="Comment Subject Char"/>
    <w:basedOn w:val="CommentTextChar"/>
    <w:link w:val="CommentSubject"/>
    <w:uiPriority w:val="99"/>
    <w:semiHidden/>
    <w:rsid w:val="002E0B95"/>
    <w:rPr>
      <w:b/>
      <w:bCs/>
      <w:sz w:val="20"/>
      <w:szCs w:val="20"/>
    </w:rPr>
  </w:style>
  <w:style w:type="paragraph" w:styleId="Revision">
    <w:name w:val="Revision"/>
    <w:hidden/>
    <w:uiPriority w:val="99"/>
    <w:semiHidden/>
    <w:rsid w:val="00E84FFE"/>
    <w:pPr>
      <w:spacing w:after="0" w:line="240" w:lineRule="auto"/>
    </w:pPr>
  </w:style>
  <w:style w:type="character" w:styleId="UnresolvedMention">
    <w:name w:val="Unresolved Mention"/>
    <w:basedOn w:val="DefaultParagraphFont"/>
    <w:uiPriority w:val="99"/>
    <w:semiHidden/>
    <w:unhideWhenUsed/>
    <w:rsid w:val="00431F58"/>
    <w:rPr>
      <w:color w:val="605E5C"/>
      <w:shd w:val="clear" w:color="auto" w:fill="E1DFDD"/>
    </w:rPr>
  </w:style>
  <w:style w:type="character" w:styleId="PageNumber">
    <w:name w:val="page number"/>
    <w:basedOn w:val="DefaultParagraphFont"/>
    <w:uiPriority w:val="99"/>
    <w:semiHidden/>
    <w:unhideWhenUsed/>
    <w:rsid w:val="00D65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peltz@frbla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E1CEED-1E18-41BA-8E2A-A6C05D341783}">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c7a7ee-9e45-45b5-8f7f-9f77ae329b1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BA19EC4DBF274F8912983D8DA2C2CD" ma:contentTypeVersion="17" ma:contentTypeDescription="Create a new document." ma:contentTypeScope="" ma:versionID="be25f3d1074e2a28962fb903a0083eab">
  <xsd:schema xmlns:xsd="http://www.w3.org/2001/XMLSchema" xmlns:xs="http://www.w3.org/2001/XMLSchema" xmlns:p="http://schemas.microsoft.com/office/2006/metadata/properties" xmlns:ns3="d2c7a7ee-9e45-45b5-8f7f-9f77ae329b14" xmlns:ns4="d928b803-2c95-44e5-945d-a3342b2ac7d6" targetNamespace="http://schemas.microsoft.com/office/2006/metadata/properties" ma:root="true" ma:fieldsID="92bf15874954ed63d222e1173e8e80a1" ns3:_="" ns4:_="">
    <xsd:import namespace="d2c7a7ee-9e45-45b5-8f7f-9f77ae329b14"/>
    <xsd:import namespace="d928b803-2c95-44e5-945d-a3342b2ac7d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7a7ee-9e45-45b5-8f7f-9f77ae329b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28b803-2c95-44e5-945d-a3342b2ac7d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02053-A30E-4DEC-BDFF-01CDECEAFB3E}">
  <ds:schemaRefs>
    <ds:schemaRef ds:uri="http://schemas.microsoft.com/office/2006/metadata/properties"/>
    <ds:schemaRef ds:uri="http://schemas.microsoft.com/office/infopath/2007/PartnerControls"/>
    <ds:schemaRef ds:uri="d2c7a7ee-9e45-45b5-8f7f-9f77ae329b14"/>
  </ds:schemaRefs>
</ds:datastoreItem>
</file>

<file path=customXml/itemProps2.xml><?xml version="1.0" encoding="utf-8"?>
<ds:datastoreItem xmlns:ds="http://schemas.openxmlformats.org/officeDocument/2006/customXml" ds:itemID="{683AD384-BBD8-47F9-AD37-4B2EAFB6D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7a7ee-9e45-45b5-8f7f-9f77ae329b14"/>
    <ds:schemaRef ds:uri="d928b803-2c95-44e5-945d-a3342b2ac7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BAF456-915C-4E54-B7B7-2A4E689060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3375</Words>
  <Characters>20453</Characters>
  <Application>Microsoft Office Word</Application>
  <DocSecurity>0</DocSecurity>
  <Lines>314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mpeltz@frblaw.com</dc:creator>
  <cp:keywords/>
  <dc:description/>
  <cp:lastModifiedBy>Moish Peltz</cp:lastModifiedBy>
  <cp:revision>7</cp:revision>
  <dcterms:created xsi:type="dcterms:W3CDTF">2026-06-18T15:11:00Z</dcterms:created>
  <dcterms:modified xsi:type="dcterms:W3CDTF">2026-06-18T15:15:00Z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eedc77ed-482b-4bd6-8146-93542357aa0b</vt:lpwstr>
  </property>
  <property fmtid="{D5CDD505-2E9C-101B-9397-08002B2CF9AE}" pid="3" name="hydoc63793170df01bf85">
    <vt:lpwstr>019d87cc-1805-7428-9a5f-f1028adfe014</vt:lpwstr>
  </property>
  <property fmtid="{D5CDD505-2E9C-101B-9397-08002B2CF9AE}" pid="4" name="ContentTypeId">
    <vt:lpwstr>0x0101003DBA19EC4DBF274F8912983D8DA2C2CD</vt:lpwstr>
  </property>
  <property fmtid="{D5CDD505-2E9C-101B-9397-08002B2CF9AE}" pid="5" name="hydocaaf0b893ab856c54">
    <vt:lpwstr>019e66f2-9ecf-74b3-ab2d-e682993bf4c0</vt:lpwstr>
  </property>
  <property fmtid="{D5CDD505-2E9C-101B-9397-08002B2CF9AE}" pid="6" name="hydoc254af75f00d3eddd">
    <vt:lpwstr>019e6c40-774b-7d78-ad75-2e235269f8b8</vt:lpwstr>
  </property>
</Properties>
</file>