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MASTER SERVICES AGREEMENT (DRAFT)</w:t>
      </w:r>
    </w:p>
    <w:p>
      <w:pPr>
        <w:spacing w:after="240"/>
        <w:jc w:val="center"/>
      </w:pPr>
      <w:r>
        <w:rPr>
          <w:i/>
          <w:iCs/>
          <w:color w:val="555555"/>
          <w:sz w:val="20"/>
          <w:szCs w:val="20"/>
        </w:rPr>
        <w:t xml:space="preserve">Northwind Analytics, Inc. (Vendor) and Client — under review</w:t>
      </w:r>
    </w:p>
    <w:p>
      <w:pPr>
        <w:spacing w:after="120"/>
      </w:pPr>
      <w:r>
        <w:t xml:space="preserve">This Master Services Agreement (the “Agreement”) is entered into as of the Effective Date by and between the Vendor and the Client identified in the applicable Order Form. This is a working draft under attorney review and has not been approved for execution.</w:t>
      </w:r>
    </w:p>
    <w:p>
      <w:pPr>
        <w:pStyle w:val="Heading2"/>
        <w:spacing w:after="80" w:before="240"/>
      </w:pPr>
      <w:r>
        <w:rPr>
          <w:b/>
          <w:bCs/>
        </w:rPr>
        <w:t xml:space="preserve">1. Services</w:t>
      </w:r>
    </w:p>
    <w:p>
      <w:pPr>
        <w:spacing w:after="120"/>
      </w:pPr>
      <w:r>
        <w:t xml:space="preserve">Vendor will provide the data-analytics services described in each mutually executed Order Form or Statement of Work (each, an “SOW”). Each SOW is governed by this Agreement.</w:t>
      </w:r>
    </w:p>
    <w:p>
      <w:pPr>
        <w:pStyle w:val="Heading2"/>
        <w:spacing w:after="80" w:before="240"/>
      </w:pPr>
      <w:r>
        <w:rPr>
          <w:b/>
          <w:bCs/>
        </w:rPr>
        <w:t xml:space="preserve">2. Fees and Payment</w:t>
      </w:r>
    </w:p>
    <w:p>
      <w:pPr>
        <w:spacing w:after="120"/>
      </w:pPr>
      <w:r>
        <w:t xml:space="preserve">Client will pay the fees set out in the applicable pricing schedule. Undisputed invoices are due net forty-five (45) days. Late amounts accrue interest at 1.0% per month.</w:t>
      </w:r>
    </w:p>
    <w:p>
      <w:pPr>
        <w:pStyle w:val="Heading2"/>
        <w:spacing w:after="80" w:before="240"/>
      </w:pPr>
      <w:r>
        <w:rPr>
          <w:b/>
          <w:bCs/>
        </w:rPr>
        <w:t xml:space="preserve">3. Term and Termination</w:t>
      </w:r>
    </w:p>
    <w:p>
      <w:pPr>
        <w:spacing w:after="120"/>
      </w:pPr>
      <w:r>
        <w:t xml:space="preserve">The initial term is twenty-four (24) months and renews for successive twelve (12) month terms unless either party gives sixty (60) days’ written notice of non-renewal before the end of the then-current term.</w:t>
      </w:r>
    </w:p>
    <w:p>
      <w:pPr>
        <w:pStyle w:val="Heading2"/>
        <w:spacing w:after="80" w:before="240"/>
      </w:pPr>
      <w:r>
        <w:rPr>
          <w:b/>
          <w:bCs/>
        </w:rPr>
        <w:t xml:space="preserve">4. Confidentiality</w:t>
      </w:r>
    </w:p>
    <w:p>
      <w:pPr>
        <w:spacing w:after="120"/>
      </w:pPr>
      <w:r>
        <w:t xml:space="preserve">Each party will protect the other’s Confidential Information using at least reasonable care and will not disclose it to any third party except as permitted under this Agreement. This draft and the parties’ negotiation positions are Confidential Information.</w:t>
      </w:r>
    </w:p>
    <w:p>
      <w:pPr>
        <w:pStyle w:val="Heading2"/>
        <w:spacing w:after="80" w:before="240"/>
      </w:pPr>
      <w:r>
        <w:rPr>
          <w:b/>
          <w:bCs/>
        </w:rPr>
        <w:t xml:space="preserve">5. Limitation of Liability</w:t>
      </w:r>
    </w:p>
    <w:p>
      <w:pPr>
        <w:spacing w:after="120"/>
      </w:pPr>
      <w:r>
        <w:rPr>
          <w:b w:val="false"/>
          <w:bCs w:val="false"/>
        </w:rPr>
        <w:t xml:space="preserve">EXCEPT FOR BREACH OF CONFIDENTIALITY OR INDEMNIFICATION OBLIGATIONS, EACH PARTY’S AGGREGATE LIABILITY UNDER THIS AGREEMENT WILL NOT EXCEED THREE TIMES (3×) THE FEES PAID OR PAYABLE IN THE TWELVE MONTHS PRECEDING THE CLAIM.</w:t>
      </w:r>
    </w:p>
    <w:p>
      <w:pPr>
        <w:spacing w:after="120"/>
      </w:pPr>
      <w:r>
        <w:rPr>
          <w:i/>
          <w:iCs/>
          <w:color w:val="7A1F1F"/>
        </w:rPr>
        <w:t xml:space="preserve">[Reviewer note: 3× fees cap exceeds the purchasing playbook ceiling of 1× fees. Escalation required before any signature.]</w:t>
      </w:r>
    </w:p>
    <w:p>
      <w:pPr>
        <w:pStyle w:val="Heading2"/>
        <w:spacing w:after="80" w:before="240"/>
      </w:pPr>
      <w:r>
        <w:rPr>
          <w:b/>
          <w:bCs/>
        </w:rPr>
        <w:t xml:space="preserve">6. Data Protection</w:t>
      </w:r>
    </w:p>
    <w:p>
      <w:pPr>
        <w:spacing w:after="120"/>
      </w:pPr>
      <w:r>
        <w:t xml:space="preserve">Vendor will process Client personal data only on documented instructions and will maintain appropriate technical and organizational measures. A Data Processing Addendum applies where required.</w:t>
      </w:r>
    </w:p>
    <w:p>
      <w:pPr>
        <w:pStyle w:val="Heading2"/>
        <w:spacing w:after="80" w:before="240"/>
      </w:pPr>
      <w:r>
        <w:rPr>
          <w:b/>
          <w:bCs/>
        </w:rPr>
        <w:t xml:space="preserve">7. Governing Law</w:t>
      </w:r>
    </w:p>
    <w:p>
      <w:pPr>
        <w:spacing w:after="120"/>
      </w:pPr>
      <w:r>
        <w:t xml:space="preserve">This Agreement is governed by the laws of the State of Delaware, without regard to its conflict-of-laws rules.</w:t>
      </w:r>
    </w:p>
    <w:p>
      <w:pPr>
        <w:pStyle w:val="Heading2"/>
        <w:spacing w:after="80" w:before="240"/>
      </w:pPr>
      <w:r>
        <w:rPr>
          <w:b/>
          <w:bCs/>
        </w:rPr>
        <w:t xml:space="preserve">8. Signatures</w:t>
      </w:r>
    </w:p>
    <w:p>
      <w:pPr>
        <w:spacing w:after="120"/>
      </w:pPr>
      <w:r>
        <w:rPr>
          <w:i/>
          <w:iCs/>
        </w:rPr>
        <w:t xml:space="preserve">This draft is not for signature. Signature blocks will be added upon reviewer approval.</w:t>
      </w:r>
    </w:p>
    <w:p>
      <w:pPr>
        <w:spacing w:before="360"/>
      </w:pPr>
      <w:r>
        <w:rPr>
          <w:b/>
          <w:bCs/>
          <w:color w:val="7A1F1F"/>
        </w:rPr>
        <w:t xml:space="preserve">Status: DRAFT — NOT APPROVED FOR EXECUTION — REVIEWER SIGN-OFF PENDING</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1F1F" w:sz="6" w:space="4"/>
      </w:pBdr>
      <w:jc w:val="center"/>
    </w:pPr>
    <w:r>
      <w:rPr>
        <w:b/>
        <w:bCs/>
        <w:color w:val="7A1F1F"/>
        <w:sz w:val="18"/>
        <w:szCs w:val="18"/>
      </w:rPr>
      <w:t xml:space="preserve">PRIVILEGED AND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2026-07-28T03:23:11.244Z</dcterms:created>
  <dcterms:modified xsi:type="dcterms:W3CDTF">2026-07-28T03:23:11.244Z</dcterms:modified>
</cp:coreProperties>
</file>

<file path=docProps/custom.xml><?xml version="1.0" encoding="utf-8"?>
<Properties xmlns="http://schemas.openxmlformats.org/officeDocument/2006/custom-properties" xmlns:vt="http://schemas.openxmlformats.org/officeDocument/2006/docPropsVTypes"/>
</file>