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c0783ff2418acefecaf246d4dddd68ffcf2dc"/>
    <w:p>
      <w:pPr>
        <w:pStyle w:val="Heading1"/>
      </w:pPr>
      <w:r>
        <w:t xml:space="preserve">PRIVILEGED AND CONFIDENTIAL — ATTORNEY-CLIENT COMMUNICATION</w:t>
      </w:r>
    </w:p>
    <w:bookmarkEnd w:id="20"/>
    <w:bookmarkStart w:id="50" w:name="due-diligence-red-flag-memorandum"/>
    <w:p>
      <w:pPr>
        <w:pStyle w:val="Heading1"/>
      </w:pPr>
      <w:r>
        <w:t xml:space="preserve">Due Diligence Red Flag Memorandum</w:t>
      </w:r>
    </w:p>
    <w:p>
      <w:pPr>
        <w:pStyle w:val="FirstParagraph"/>
      </w:pPr>
      <w:r>
        <w:rPr>
          <w:b/>
          <w:bCs/>
        </w:rPr>
        <w:t xml:space="preserve">Project Ridgeline — Proposed Acquisition of Ridgeline Environmental Services, Inc.</w:t>
      </w:r>
    </w:p>
    <w:p>
      <w:pPr>
        <w:pStyle w:val="BodyText"/>
      </w:pPr>
      <w:r>
        <w:rPr>
          <w:b/>
          <w:bCs/>
        </w:rPr>
        <w:t xml:space="preserve">Prepared for:</w:t>
      </w:r>
      <w:r>
        <w:t xml:space="preserve"> </w:t>
      </w:r>
      <w:r>
        <w:t xml:space="preserve">Sycamore Capital Partners, LP / Thornfield &amp; Associates LLP</w:t>
      </w:r>
    </w:p>
    <w:p>
      <w:pPr>
        <w:pStyle w:val="BodyText"/>
      </w:pPr>
      <w:r>
        <w:rPr>
          <w:b/>
          <w:bCs/>
        </w:rPr>
        <w:t xml:space="preserve">Prepared by:</w:t>
      </w:r>
      <w:r>
        <w:t xml:space="preserve"> </w:t>
      </w:r>
      <w:r>
        <w:t xml:space="preserve">Diligence Review Team</w:t>
      </w:r>
    </w:p>
    <w:p>
      <w:pPr>
        <w:pStyle w:val="BodyText"/>
      </w:pPr>
      <w:r>
        <w:rPr>
          <w:b/>
          <w:bCs/>
        </w:rPr>
        <w:t xml:space="preserve">Date:</w:t>
      </w:r>
      <w:r>
        <w:t xml:space="preserve"> </w:t>
      </w:r>
      <w:r>
        <w:t xml:space="preserve">December 2024</w:t>
      </w:r>
    </w:p>
    <w:p>
      <w:pPr>
        <w:pStyle w:val="BodyText"/>
      </w:pPr>
      <w:r>
        <w:rPr>
          <w:b/>
          <w:bCs/>
        </w:rPr>
        <w:t xml:space="preserve">Classification:</w:t>
      </w:r>
      <w:r>
        <w:t xml:space="preserve"> </w:t>
      </w:r>
      <w:r>
        <w:t xml:space="preserve">Highly Confidential — Subject to NDA dated September 12, 2024</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summarizes material red flags identified across the Project Ridgeline data room in connection with the proposed acquisition of Ridgeline Environmental Services, Inc. (</w:t>
      </w:r>
      <w:r>
        <w:t xml:space="preserve">“</w:t>
      </w:r>
      <w:r>
        <w:t xml:space="preserve">RES</w:t>
      </w:r>
      <w:r>
        <w:t xml:space="preserve">”</w:t>
      </w:r>
      <w:r>
        <w:t xml:space="preserve"> </w:t>
      </w:r>
      <w:r>
        <w:t xml:space="preserve">or the</w:t>
      </w:r>
      <w:r>
        <w:t xml:space="preserve"> </w:t>
      </w:r>
      <w:r>
        <w:t xml:space="preserve">“</w:t>
      </w:r>
      <w:r>
        <w:t xml:space="preserve">Company</w:t>
      </w:r>
      <w:r>
        <w:t xml:space="preserve">”</w:t>
      </w:r>
      <w:r>
        <w:t xml:space="preserve">) by Sycamore Capital Partners, LP (</w:t>
      </w:r>
      <w:r>
        <w:t xml:space="preserve">“</w:t>
      </w:r>
      <w:r>
        <w:t xml:space="preserve">Buyer</w:t>
      </w:r>
      <w:r>
        <w:t xml:space="preserve">”</w:t>
      </w:r>
      <w:r>
        <w:t xml:space="preserve">). The analysis is based on a review of thirteen data room documents listed in Section II below.</w:t>
      </w:r>
    </w:p>
    <w:p>
      <w:pPr>
        <w:pStyle w:val="BodyText"/>
      </w:pPr>
      <w:r>
        <w:rPr>
          <w:b/>
          <w:bCs/>
        </w:rPr>
        <w:t xml:space="preserve">Seventeen distinct red flags have been identified</w:t>
      </w:r>
      <w:r>
        <w:t xml:space="preserve">, spanning six risk categories: (1) Financial / Quality of Earnings, (2) Environmental &amp; Regulatory, (3) Commercial / Customer Concentration, (4) Legal &amp; Litigation, (5) Operational &amp; Asset Condition, and (6) Structural / Transaction Mechanics. Each flag is rated by severity (Critical / High / Medium) and accompanied by a recommended action.</w:t>
      </w:r>
    </w:p>
    <w:p>
      <w:pPr>
        <w:pStyle w:val="BodyText"/>
      </w:pPr>
      <w:r>
        <w:rPr>
          <w:b/>
          <w:bCs/>
        </w:rPr>
        <w:t xml:space="preserve">The most critical issues are:</w:t>
      </w:r>
    </w:p>
    <w:p>
      <w:pPr>
        <w:pStyle w:val="Compact"/>
        <w:numPr>
          <w:ilvl w:val="0"/>
          <w:numId w:val="1001"/>
        </w:numPr>
      </w:pPr>
      <w:r>
        <w:t xml:space="preserve">A</w:t>
      </w:r>
      <w:r>
        <w:t xml:space="preserve"> </w:t>
      </w:r>
      <w:r>
        <w:rPr>
          <w:b/>
          <w:bCs/>
        </w:rPr>
        <w:t xml:space="preserve">$1.0 million unexplained discrepancy</w:t>
      </w:r>
      <w:r>
        <w:t xml:space="preserve"> </w:t>
      </w:r>
      <w:r>
        <w:t xml:space="preserve">between the CIM’s stated Adjusted EBITDA ($22.8M) and the QofE schedule ($23.8M), with no reconciliation provided — directly affecting the LOI enterprise value range of $182M–$205M.</w:t>
      </w:r>
    </w:p>
    <w:p>
      <w:pPr>
        <w:pStyle w:val="Compact"/>
        <w:numPr>
          <w:ilvl w:val="0"/>
          <w:numId w:val="1001"/>
        </w:numPr>
      </w:pPr>
      <w:r>
        <w:t xml:space="preserve">The</w:t>
      </w:r>
      <w:r>
        <w:t xml:space="preserve"> </w:t>
      </w:r>
      <w:r>
        <w:rPr>
          <w:b/>
          <w:bCs/>
        </w:rPr>
        <w:t xml:space="preserve">DOE IDIQ contract ceiling is 72.7% consumed</w:t>
      </w:r>
      <w:r>
        <w:t xml:space="preserve"> </w:t>
      </w:r>
      <w:r>
        <w:t xml:space="preserve">with only $12.3M remaining, implying a potential</w:t>
      </w:r>
      <w:r>
        <w:t xml:space="preserve"> </w:t>
      </w:r>
      <w:r>
        <w:rPr>
          <w:b/>
          <w:bCs/>
        </w:rPr>
        <w:t xml:space="preserve">$12.1M revenue headwind</w:t>
      </w:r>
      <w:r>
        <w:t xml:space="preserve"> </w:t>
      </w:r>
      <w:r>
        <w:t xml:space="preserve">in FY2025 — the year immediately following closing — against a contract that does not expire until August 2026.</w:t>
      </w:r>
    </w:p>
    <w:p>
      <w:pPr>
        <w:pStyle w:val="Compact"/>
        <w:numPr>
          <w:ilvl w:val="0"/>
          <w:numId w:val="1001"/>
        </w:numPr>
      </w:pPr>
      <w:r>
        <w:rPr>
          <w:b/>
          <w:bCs/>
        </w:rPr>
        <w:t xml:space="preserve">Unresolved Salt Lake City lease assignment</w:t>
      </w:r>
      <w:r>
        <w:t xml:space="preserve"> </w:t>
      </w:r>
      <w:r>
        <w:t xml:space="preserve">(Pinnacle-to-RES, pending since April 2022) creates a pre-existing default risk at a facility generating ~$16.2M of annual revenue, compounded by a second change-of-control event triggered by the proposed acquisition.</w:t>
      </w:r>
    </w:p>
    <w:p>
      <w:pPr>
        <w:pStyle w:val="Compact"/>
        <w:numPr>
          <w:ilvl w:val="0"/>
          <w:numId w:val="1001"/>
        </w:numPr>
      </w:pPr>
      <w:r>
        <w:rPr>
          <w:b/>
          <w:bCs/>
        </w:rPr>
        <w:t xml:space="preserve">No updated Phase II ESA since 2019</w:t>
      </w:r>
      <w:r>
        <w:t xml:space="preserve"> </w:t>
      </w:r>
      <w:r>
        <w:t xml:space="preserve">at the owned Grand Junction headquarters, where confirmed soil and groundwater contamination (PCE, TCE, petroleum hydrocarbons) carries a 2019-vintage cost estimate of $1.8M–$2.6M that is almost certainly stale, with vapor intrusion risk to an occupied building unassessed.</w:t>
      </w:r>
    </w:p>
    <w:p>
      <w:pPr>
        <w:pStyle w:val="Compact"/>
        <w:numPr>
          <w:ilvl w:val="0"/>
          <w:numId w:val="1001"/>
        </w:numPr>
      </w:pPr>
      <w:r>
        <w:rPr>
          <w:b/>
          <w:bCs/>
        </w:rPr>
        <w:t xml:space="preserve">$3.775M in change-of-control severance</w:t>
      </w:r>
      <w:r>
        <w:t xml:space="preserve"> </w:t>
      </w:r>
      <w:r>
        <w:t xml:space="preserve">is triggered at closing (at least $2.625M on a single-trigger basis), with no allocation in the LOI’s Transaction Expenses definition.</w:t>
      </w:r>
    </w:p>
    <w:p>
      <w:r>
        <w:pict>
          <v:rect style="width:0;height:1.5pt" o:hralign="center" o:hrstd="t" o:hr="t"/>
        </w:pict>
      </w:r>
    </w:p>
    <w:bookmarkEnd w:id="21"/>
    <w:bookmarkStart w:id="22" w:name="ii.-documents-reviewed"/>
    <w:p>
      <w:pPr>
        <w:pStyle w:val="Heading2"/>
      </w:pPr>
      <w:r>
        <w:t xml:space="preserve">II. Documents Reviewed</w:t>
      </w:r>
    </w:p>
    <w:p>
      <w:pPr>
        <w:pStyle w:val="FirstParagraph"/>
      </w:pPr>
      <w:r>
        <w:t xml:space="preserve">The following thirteen data room documents were reviewed in preparing this memorandum: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w:t>
            </w:r>
          </w:p>
        </w:tc>
      </w:tr>
      <w:tr>
        <w:tc>
          <w:tcPr/>
          <w:p>
            <w:pPr>
              <w:pStyle w:val="Compact"/>
              <w:jc w:val="left"/>
            </w:pPr>
            <w:r>
              <w:t xml:space="preserve">1</w:t>
            </w:r>
          </w:p>
        </w:tc>
        <w:tc>
          <w:tcPr/>
          <w:p>
            <w:pPr>
              <w:pStyle w:val="Compact"/>
              <w:jc w:val="left"/>
            </w:pPr>
            <w:r>
              <w:t xml:space="preserve">Confidential Information Memorandum (CIM) — Project Ridgeline</w:t>
            </w:r>
          </w:p>
        </w:tc>
        <w:tc>
          <w:tcPr/>
          <w:p>
            <w:pPr>
              <w:pStyle w:val="Compact"/>
              <w:jc w:val="left"/>
            </w:pPr>
            <w:r>
              <w:t xml:space="preserve">October 2024</w:t>
            </w:r>
          </w:p>
        </w:tc>
      </w:tr>
      <w:tr>
        <w:tc>
          <w:tcPr/>
          <w:p>
            <w:pPr>
              <w:pStyle w:val="Compact"/>
              <w:jc w:val="left"/>
            </w:pPr>
            <w:r>
              <w:t xml:space="preserve">2</w:t>
            </w:r>
          </w:p>
        </w:tc>
        <w:tc>
          <w:tcPr/>
          <w:p>
            <w:pPr>
              <w:pStyle w:val="Compact"/>
              <w:jc w:val="left"/>
            </w:pPr>
            <w:r>
              <w:t xml:space="preserve">Quality of Earnings Data Request Response (qoe-data-request-response.xlsx)</w:t>
            </w:r>
          </w:p>
        </w:tc>
        <w:tc>
          <w:tcPr/>
          <w:p>
            <w:pPr>
              <w:pStyle w:val="Compact"/>
              <w:jc w:val="left"/>
            </w:pPr>
            <w:r>
              <w:t xml:space="preserve">December 10, 2024</w:t>
            </w:r>
          </w:p>
        </w:tc>
      </w:tr>
      <w:tr>
        <w:tc>
          <w:tcPr/>
          <w:p>
            <w:pPr>
              <w:pStyle w:val="Compact"/>
              <w:jc w:val="left"/>
            </w:pPr>
            <w:r>
              <w:t xml:space="preserve">3</w:t>
            </w:r>
          </w:p>
        </w:tc>
        <w:tc>
          <w:tcPr/>
          <w:p>
            <w:pPr>
              <w:pStyle w:val="Compact"/>
              <w:jc w:val="left"/>
            </w:pPr>
            <w:r>
              <w:t xml:space="preserve">Litigation and Regulatory Summary</w:t>
            </w:r>
          </w:p>
        </w:tc>
        <w:tc>
          <w:tcPr/>
          <w:p>
            <w:pPr>
              <w:pStyle w:val="Compact"/>
              <w:jc w:val="left"/>
            </w:pPr>
            <w:r>
              <w:t xml:space="preserve">December 12, 2024</w:t>
            </w:r>
          </w:p>
        </w:tc>
      </w:tr>
      <w:tr>
        <w:tc>
          <w:tcPr/>
          <w:p>
            <w:pPr>
              <w:pStyle w:val="Compact"/>
              <w:jc w:val="left"/>
            </w:pPr>
            <w:r>
              <w:t xml:space="preserve">4</w:t>
            </w:r>
          </w:p>
        </w:tc>
        <w:tc>
          <w:tcPr/>
          <w:p>
            <w:pPr>
              <w:pStyle w:val="Compact"/>
              <w:jc w:val="left"/>
            </w:pPr>
            <w:r>
              <w:t xml:space="preserve">Real Property and Lease Schedule</w:t>
            </w:r>
          </w:p>
        </w:tc>
        <w:tc>
          <w:tcPr/>
          <w:p>
            <w:pPr>
              <w:pStyle w:val="Compact"/>
              <w:jc w:val="left"/>
            </w:pPr>
            <w:r>
              <w:t xml:space="preserve">December 12, 2024</w:t>
            </w:r>
          </w:p>
        </w:tc>
      </w:tr>
      <w:tr>
        <w:tc>
          <w:tcPr/>
          <w:p>
            <w:pPr>
              <w:pStyle w:val="Compact"/>
              <w:jc w:val="left"/>
            </w:pPr>
            <w:r>
              <w:t xml:space="preserve">5</w:t>
            </w:r>
          </w:p>
        </w:tc>
        <w:tc>
          <w:tcPr/>
          <w:p>
            <w:pPr>
              <w:pStyle w:val="Compact"/>
              <w:jc w:val="left"/>
            </w:pPr>
            <w:r>
              <w:t xml:space="preserve">Phase II Environmental Site Assessment — Executive Summary (Grand Junction)</w:t>
            </w:r>
          </w:p>
        </w:tc>
        <w:tc>
          <w:tcPr/>
          <w:p>
            <w:pPr>
              <w:pStyle w:val="Compact"/>
              <w:jc w:val="left"/>
            </w:pPr>
            <w:r>
              <w:t xml:space="preserve">June 14, 2019</w:t>
            </w:r>
          </w:p>
        </w:tc>
      </w:tr>
      <w:tr>
        <w:tc>
          <w:tcPr/>
          <w:p>
            <w:pPr>
              <w:pStyle w:val="Compact"/>
              <w:jc w:val="left"/>
            </w:pPr>
            <w:r>
              <w:t xml:space="preserve">6</w:t>
            </w:r>
          </w:p>
        </w:tc>
        <w:tc>
          <w:tcPr/>
          <w:p>
            <w:pPr>
              <w:pStyle w:val="Compact"/>
              <w:jc w:val="left"/>
            </w:pPr>
            <w:r>
              <w:t xml:space="preserve">Credit Agreement Summary — High Plains National Bank</w:t>
            </w:r>
          </w:p>
        </w:tc>
        <w:tc>
          <w:tcPr/>
          <w:p>
            <w:pPr>
              <w:pStyle w:val="Compact"/>
              <w:jc w:val="left"/>
            </w:pPr>
            <w:r>
              <w:t xml:space="preserve">December 12, 2024</w:t>
            </w:r>
          </w:p>
        </w:tc>
      </w:tr>
      <w:tr>
        <w:tc>
          <w:tcPr/>
          <w:p>
            <w:pPr>
              <w:pStyle w:val="Compact"/>
              <w:jc w:val="left"/>
            </w:pPr>
            <w:r>
              <w:t xml:space="preserve">7</w:t>
            </w:r>
          </w:p>
        </w:tc>
        <w:tc>
          <w:tcPr/>
          <w:p>
            <w:pPr>
              <w:pStyle w:val="Compact"/>
              <w:jc w:val="left"/>
            </w:pPr>
            <w:r>
              <w:t xml:space="preserve">Employment Agreements Summary</w:t>
            </w:r>
          </w:p>
        </w:tc>
        <w:tc>
          <w:tcPr/>
          <w:p>
            <w:pPr>
              <w:pStyle w:val="Compact"/>
              <w:jc w:val="left"/>
            </w:pPr>
            <w:r>
              <w:t xml:space="preserve">December 2024</w:t>
            </w:r>
          </w:p>
        </w:tc>
      </w:tr>
      <w:tr>
        <w:tc>
          <w:tcPr/>
          <w:p>
            <w:pPr>
              <w:pStyle w:val="Compact"/>
              <w:jc w:val="left"/>
            </w:pPr>
            <w:r>
              <w:t xml:space="preserve">8</w:t>
            </w:r>
          </w:p>
        </w:tc>
        <w:tc>
          <w:tcPr/>
          <w:p>
            <w:pPr>
              <w:pStyle w:val="Compact"/>
              <w:jc w:val="left"/>
            </w:pPr>
            <w:r>
              <w:t xml:space="preserve">Corporate Organizational Chart and Equity Structure</w:t>
            </w:r>
          </w:p>
        </w:tc>
        <w:tc>
          <w:tcPr/>
          <w:p>
            <w:pPr>
              <w:pStyle w:val="Compact"/>
              <w:jc w:val="left"/>
            </w:pPr>
            <w:r>
              <w:t xml:space="preserve">December 15, 2024</w:t>
            </w:r>
          </w:p>
        </w:tc>
      </w:tr>
      <w:tr>
        <w:tc>
          <w:tcPr/>
          <w:p>
            <w:pPr>
              <w:pStyle w:val="Compact"/>
              <w:jc w:val="left"/>
            </w:pPr>
            <w:r>
              <w:t xml:space="preserve">9</w:t>
            </w:r>
          </w:p>
        </w:tc>
        <w:tc>
          <w:tcPr/>
          <w:p>
            <w:pPr>
              <w:pStyle w:val="Compact"/>
              <w:jc w:val="left"/>
            </w:pPr>
            <w:r>
              <w:t xml:space="preserve">Executed Letter of Intent (LOI)</w:t>
            </w:r>
          </w:p>
        </w:tc>
        <w:tc>
          <w:tcPr/>
          <w:p>
            <w:pPr>
              <w:pStyle w:val="Compact"/>
              <w:jc w:val="left"/>
            </w:pPr>
            <w:r>
              <w:t xml:space="preserve">October 28, 2024</w:t>
            </w:r>
          </w:p>
        </w:tc>
      </w:tr>
      <w:tr>
        <w:tc>
          <w:tcPr/>
          <w:p>
            <w:pPr>
              <w:pStyle w:val="Compact"/>
              <w:jc w:val="left"/>
            </w:pPr>
            <w:r>
              <w:t xml:space="preserve">10</w:t>
            </w:r>
          </w:p>
        </w:tc>
        <w:tc>
          <w:tcPr/>
          <w:p>
            <w:pPr>
              <w:pStyle w:val="Compact"/>
              <w:jc w:val="left"/>
            </w:pPr>
            <w:r>
              <w:t xml:space="preserve">Insurance Program Summary — Frontier Specialty Insurance Group</w:t>
            </w:r>
          </w:p>
        </w:tc>
        <w:tc>
          <w:tcPr/>
          <w:p>
            <w:pPr>
              <w:pStyle w:val="Compact"/>
              <w:jc w:val="left"/>
            </w:pPr>
            <w:r>
              <w:t xml:space="preserve">December 10, 2024</w:t>
            </w:r>
          </w:p>
        </w:tc>
      </w:tr>
      <w:tr>
        <w:tc>
          <w:tcPr/>
          <w:p>
            <w:pPr>
              <w:pStyle w:val="Compact"/>
              <w:jc w:val="left"/>
            </w:pPr>
            <w:r>
              <w:t xml:space="preserve">11</w:t>
            </w:r>
          </w:p>
        </w:tc>
        <w:tc>
          <w:tcPr/>
          <w:p>
            <w:pPr>
              <w:pStyle w:val="Compact"/>
              <w:jc w:val="left"/>
            </w:pPr>
            <w:r>
              <w:t xml:space="preserve">Environmental Permit Schedule</w:t>
            </w:r>
          </w:p>
        </w:tc>
        <w:tc>
          <w:tcPr/>
          <w:p>
            <w:pPr>
              <w:pStyle w:val="Compact"/>
              <w:jc w:val="left"/>
            </w:pPr>
            <w:r>
              <w:t xml:space="preserve">December 10, 2024</w:t>
            </w:r>
          </w:p>
        </w:tc>
      </w:tr>
      <w:tr>
        <w:tc>
          <w:tcPr/>
          <w:p>
            <w:pPr>
              <w:pStyle w:val="Compact"/>
              <w:jc w:val="left"/>
            </w:pPr>
            <w:r>
              <w:t xml:space="preserve">12</w:t>
            </w:r>
          </w:p>
        </w:tc>
        <w:tc>
          <w:tcPr/>
          <w:p>
            <w:pPr>
              <w:pStyle w:val="Compact"/>
              <w:jc w:val="left"/>
            </w:pPr>
            <w:r>
              <w:t xml:space="preserve">Employee Benefits Summary</w:t>
            </w:r>
          </w:p>
        </w:tc>
        <w:tc>
          <w:tcPr/>
          <w:p>
            <w:pPr>
              <w:pStyle w:val="Compact"/>
              <w:jc w:val="left"/>
            </w:pPr>
            <w:r>
              <w:t xml:space="preserve">December 10, 2024</w:t>
            </w:r>
          </w:p>
        </w:tc>
      </w:tr>
      <w:tr>
        <w:tc>
          <w:tcPr/>
          <w:p>
            <w:pPr>
              <w:pStyle w:val="Compact"/>
              <w:jc w:val="left"/>
            </w:pPr>
            <w:r>
              <w:t xml:space="preserve">13</w:t>
            </w:r>
          </w:p>
        </w:tc>
        <w:tc>
          <w:tcPr/>
          <w:p>
            <w:pPr>
              <w:pStyle w:val="Compact"/>
              <w:jc w:val="left"/>
            </w:pPr>
            <w:r>
              <w:t xml:space="preserve">Customer Contract Summary (customer-contract-summary.xlsx)</w:t>
            </w:r>
          </w:p>
        </w:tc>
        <w:tc>
          <w:tcPr/>
          <w:p>
            <w:pPr>
              <w:pStyle w:val="Compact"/>
              <w:jc w:val="left"/>
            </w:pPr>
            <w:r>
              <w:t xml:space="preserve">December 2024</w:t>
            </w:r>
          </w:p>
        </w:tc>
      </w:tr>
    </w:tbl>
    <w:p>
      <w:r>
        <w:pict>
          <v:rect style="width:0;height:1.5pt" o:hralign="center" o:hrstd="t" o:hr="t"/>
        </w:pict>
      </w:r>
    </w:p>
    <w:bookmarkEnd w:id="22"/>
    <w:bookmarkStart w:id="23" w:name="iii.-items-reviewed-and-cleared"/>
    <w:p>
      <w:pPr>
        <w:pStyle w:val="Heading2"/>
      </w:pPr>
      <w:r>
        <w:t xml:space="preserve">III. Items Reviewed and Cleared</w:t>
      </w:r>
    </w:p>
    <w:p>
      <w:pPr>
        <w:pStyle w:val="FirstParagraph"/>
      </w:pPr>
      <w:r>
        <w:t xml:space="preserve">The following areas were reviewed and did not produce material red flags warranting escalation:</w:t>
      </w:r>
    </w:p>
    <w:p>
      <w:pPr>
        <w:pStyle w:val="Compact"/>
        <w:numPr>
          <w:ilvl w:val="0"/>
          <w:numId w:val="1002"/>
        </w:numPr>
      </w:pPr>
      <w:r>
        <w:rPr>
          <w:b/>
          <w:bCs/>
        </w:rPr>
        <w:t xml:space="preserve">Corporate organization and capitalization:</w:t>
      </w:r>
      <w:r>
        <w:t xml:space="preserve"> </w:t>
      </w:r>
      <w:r>
        <w:t xml:space="preserve">RES is a validly organized Colorado C-corporation with a clean cap table (three shareholders; no options, warrants, or convertible instruments). Pinnacle Waste Solutions, LLC is a wholly-owned subsidiary in good standing. No minority interests or joint ventures identified.</w:t>
      </w:r>
    </w:p>
    <w:p>
      <w:pPr>
        <w:pStyle w:val="Compact"/>
        <w:numPr>
          <w:ilvl w:val="0"/>
          <w:numId w:val="1002"/>
        </w:numPr>
      </w:pPr>
      <w:r>
        <w:rPr>
          <w:b/>
          <w:bCs/>
        </w:rPr>
        <w:t xml:space="preserve">Ogden, Utah permit and lease:</w:t>
      </w:r>
      <w:r>
        <w:t xml:space="preserve"> </w:t>
      </w:r>
      <w:r>
        <w:t xml:space="preserve">Utah Permit UTH-0587 was successfully transferred from Pinnacle to RES in June 2022. The Ogden lease was formally assigned with landlord consent in May 2022. No outstanding issues.</w:t>
      </w:r>
    </w:p>
    <w:p>
      <w:pPr>
        <w:pStyle w:val="Compact"/>
        <w:numPr>
          <w:ilvl w:val="0"/>
          <w:numId w:val="1002"/>
        </w:numPr>
      </w:pPr>
      <w:r>
        <w:rPr>
          <w:b/>
          <w:bCs/>
        </w:rPr>
        <w:t xml:space="preserve">Montana permit (Billings):</w:t>
      </w:r>
      <w:r>
        <w:t xml:space="preserve"> </w:t>
      </w:r>
      <w:r>
        <w:t xml:space="preserve">MT-HW-2022-011 is current through March 2027 with a clean compliance history. No issues identified.</w:t>
      </w:r>
    </w:p>
    <w:p>
      <w:pPr>
        <w:pStyle w:val="Compact"/>
        <w:numPr>
          <w:ilvl w:val="0"/>
          <w:numId w:val="1002"/>
        </w:numPr>
      </w:pPr>
      <w:r>
        <w:rPr>
          <w:b/>
          <w:bCs/>
        </w:rPr>
        <w:t xml:space="preserve">Idaho operations:</w:t>
      </w:r>
      <w:r>
        <w:t xml:space="preserve"> </w:t>
      </w:r>
      <w:r>
        <w:t xml:space="preserve">Confirmed exempt from standalone state hazardous waste permit requirements; Idaho DEQ issued a written confirmation in August 2022. No issues identified.</w:t>
      </w:r>
    </w:p>
    <w:p>
      <w:pPr>
        <w:pStyle w:val="Compact"/>
        <w:numPr>
          <w:ilvl w:val="0"/>
          <w:numId w:val="1002"/>
        </w:numPr>
      </w:pPr>
      <w:r>
        <w:rPr>
          <w:b/>
          <w:bCs/>
        </w:rPr>
        <w:t xml:space="preserve">Hazardous waste transporter registrations:</w:t>
      </w:r>
      <w:r>
        <w:t xml:space="preserve"> </w:t>
      </w:r>
      <w:r>
        <w:t xml:space="preserve">All five-state transporter registrations and DOT hazardous materials registrations are current and in the name of RES. No issues identified.</w:t>
      </w:r>
    </w:p>
    <w:p>
      <w:pPr>
        <w:pStyle w:val="Compact"/>
        <w:numPr>
          <w:ilvl w:val="0"/>
          <w:numId w:val="1002"/>
        </w:numPr>
      </w:pPr>
      <w:r>
        <w:rPr>
          <w:b/>
          <w:bCs/>
        </w:rPr>
        <w:t xml:space="preserve">Air quality and stormwater permits:</w:t>
      </w:r>
      <w:r>
        <w:t xml:space="preserve"> </w:t>
      </w:r>
      <w:r>
        <w:t xml:space="preserve">Colorado APEN and CDPS stormwater authorizations are current and in good standing. No issues identified.</w:t>
      </w:r>
    </w:p>
    <w:p>
      <w:pPr>
        <w:pStyle w:val="Compact"/>
        <w:numPr>
          <w:ilvl w:val="0"/>
          <w:numId w:val="1002"/>
        </w:numPr>
      </w:pPr>
      <w:r>
        <w:rPr>
          <w:b/>
          <w:bCs/>
        </w:rPr>
        <w:t xml:space="preserve">Workers’ compensation insurance:</w:t>
      </w:r>
      <w:r>
        <w:t xml:space="preserve"> </w:t>
      </w:r>
      <w:r>
        <w:t xml:space="preserve">Coverage is statutory in all five operating states; EMR of 0.91 is below the industry average of 1.00, reflecting favorable loss experience. No issues identified.</w:t>
      </w:r>
    </w:p>
    <w:p>
      <w:pPr>
        <w:pStyle w:val="Compact"/>
        <w:numPr>
          <w:ilvl w:val="0"/>
          <w:numId w:val="1002"/>
        </w:numPr>
      </w:pPr>
      <w:r>
        <w:rPr>
          <w:b/>
          <w:bCs/>
        </w:rPr>
        <w:t xml:space="preserve">Intellectual property:</w:t>
      </w:r>
      <w:r>
        <w:t xml:space="preserve"> </w:t>
      </w:r>
      <w:r>
        <w:t xml:space="preserve">U.S. Patent Nos. 10,843,117 and 11,205,662 are issued and in force. No infringement claims identified. RidgeTrack software is proprietary and pledged as collateral under the Credit Agreement. No issues identified.</w:t>
      </w:r>
    </w:p>
    <w:p>
      <w:pPr>
        <w:pStyle w:val="Compact"/>
        <w:numPr>
          <w:ilvl w:val="0"/>
          <w:numId w:val="1002"/>
        </w:numPr>
      </w:pPr>
      <w:r>
        <w:rPr>
          <w:b/>
          <w:bCs/>
        </w:rPr>
        <w:t xml:space="preserve">OSHA recordkeeping citations (March 2024):</w:t>
      </w:r>
      <w:r>
        <w:t xml:space="preserve"> </w:t>
      </w:r>
      <w:r>
        <w:t xml:space="preserve">Two non-serious citations with total penalties of $4,580 were paid in June 2024. Matter is closed. No ongoing exposure.</w:t>
      </w:r>
    </w:p>
    <w:p>
      <w:pPr>
        <w:pStyle w:val="Compact"/>
        <w:numPr>
          <w:ilvl w:val="0"/>
          <w:numId w:val="1002"/>
        </w:numPr>
      </w:pPr>
      <w:r>
        <w:rPr>
          <w:b/>
          <w:bCs/>
        </w:rPr>
        <w:t xml:space="preserve">Idaho DEQ informal inquiry (2022):</w:t>
      </w:r>
      <w:r>
        <w:t xml:space="preserve"> </w:t>
      </w:r>
      <w:r>
        <w:t xml:space="preserve">Closed by written confirmation from Idaho DEQ in August 2022. No ongoing exposure.</w:t>
      </w:r>
    </w:p>
    <w:p>
      <w:pPr>
        <w:pStyle w:val="Compact"/>
        <w:numPr>
          <w:ilvl w:val="0"/>
          <w:numId w:val="1002"/>
        </w:numPr>
      </w:pPr>
      <w:r>
        <w:rPr>
          <w:b/>
          <w:bCs/>
        </w:rPr>
        <w:t xml:space="preserve">Grand Junction workers’ compensation claim (2022):</w:t>
      </w:r>
      <w:r>
        <w:t xml:space="preserve"> </w:t>
      </w:r>
      <w:r>
        <w:t xml:space="preserve">Resolved through the Colorado workers’ compensation system for $87,000; fully covered by insurance. No ongoing exposure.</w:t>
      </w:r>
    </w:p>
    <w:p>
      <w:pPr>
        <w:pStyle w:val="Compact"/>
        <w:numPr>
          <w:ilvl w:val="0"/>
          <w:numId w:val="1002"/>
        </w:numPr>
      </w:pPr>
      <w:r>
        <w:rPr>
          <w:b/>
          <w:bCs/>
        </w:rPr>
        <w:t xml:space="preserve">Clearwater Logistics breach of contract settlement:</w:t>
      </w:r>
      <w:r>
        <w:t xml:space="preserve"> </w:t>
      </w:r>
      <w:r>
        <w:t xml:space="preserve">Resolved in March 2024; RES received a net $1.2M settlement payment. Correctly characterized as a non-recurring item in the EBITDA bridge. No ongoing exposure.</w:t>
      </w:r>
    </w:p>
    <w:p>
      <w:pPr>
        <w:pStyle w:val="Compact"/>
        <w:numPr>
          <w:ilvl w:val="0"/>
          <w:numId w:val="1002"/>
        </w:numPr>
      </w:pPr>
      <w:r>
        <w:rPr>
          <w:b/>
          <w:bCs/>
        </w:rPr>
        <w:t xml:space="preserve">Harper Environmental counterclaim:</w:t>
      </w:r>
      <w:r>
        <w:t xml:space="preserve"> </w:t>
      </w:r>
      <w:r>
        <w:t xml:space="preserve">Management assesses probability of adverse outcome as Remote; maximum exposure $340K. No accrual required at this time; monitor through discovery.</w:t>
      </w:r>
    </w:p>
    <w:p>
      <w:pPr>
        <w:pStyle w:val="Compact"/>
        <w:numPr>
          <w:ilvl w:val="0"/>
          <w:numId w:val="1002"/>
        </w:numPr>
      </w:pPr>
      <w:r>
        <w:rPr>
          <w:b/>
          <w:bCs/>
        </w:rPr>
        <w:t xml:space="preserve">Non-compete agreements:</w:t>
      </w:r>
      <w:r>
        <w:t xml:space="preserve"> </w:t>
      </w:r>
      <w:r>
        <w:t xml:space="preserve">All five executive non-compete agreements cover the five-state operating geography for two years post-termination. All executives exceed Colorado’s statutory compensation threshold for enforceability. Enforceability in other states should be confirmed by local counsel but no structural defects identified.</w:t>
      </w:r>
    </w:p>
    <w:p>
      <w:pPr>
        <w:pStyle w:val="Compact"/>
        <w:numPr>
          <w:ilvl w:val="0"/>
          <w:numId w:val="1002"/>
        </w:numPr>
      </w:pPr>
      <w:r>
        <w:rPr>
          <w:b/>
          <w:bCs/>
        </w:rPr>
        <w:t xml:space="preserve">401(k) plan:</w:t>
      </w:r>
      <w:r>
        <w:t xml:space="preserve"> </w:t>
      </w:r>
      <w:r>
        <w:t xml:space="preserve">Safe harbor plan with Fidelity as recordkeeper. Employer match was temporarily suspended January–June 2023 and resumed July 2023. No ERISA violations identified. Plan assets of $14.8M are held in trust.</w:t>
      </w:r>
    </w:p>
    <w:p>
      <w:pPr>
        <w:pStyle w:val="Compact"/>
        <w:numPr>
          <w:ilvl w:val="0"/>
          <w:numId w:val="1002"/>
        </w:numPr>
      </w:pPr>
      <w:r>
        <w:rPr>
          <w:b/>
          <w:bCs/>
        </w:rPr>
        <w:t xml:space="preserve">Insurance program — general:</w:t>
      </w:r>
      <w:r>
        <w:t xml:space="preserve"> </w:t>
      </w:r>
      <w:r>
        <w:t xml:space="preserve">CGL ($5M/$10M), auto ($2M CSL), umbrella ($25M), and workers’ compensation coverages are appropriate for the Company’s size and operations. Claims history over five years is modest ($444,800 total incurred losses across three closed claims).</w:t>
      </w:r>
    </w:p>
    <w:p>
      <w:pPr>
        <w:pStyle w:val="Compact"/>
        <w:numPr>
          <w:ilvl w:val="0"/>
          <w:numId w:val="1002"/>
        </w:numPr>
      </w:pPr>
      <w:r>
        <w:rPr>
          <w:b/>
          <w:bCs/>
        </w:rPr>
        <w:t xml:space="preserve">Casper lease:</w:t>
      </w:r>
      <w:r>
        <w:t xml:space="preserve"> </w:t>
      </w:r>
      <w:r>
        <w:t xml:space="preserve">Current through February 28, 2029; no outstanding issues.</w:t>
      </w:r>
    </w:p>
    <w:p>
      <w:pPr>
        <w:pStyle w:val="Compact"/>
        <w:numPr>
          <w:ilvl w:val="0"/>
          <w:numId w:val="1002"/>
        </w:numPr>
      </w:pPr>
      <w:r>
        <w:rPr>
          <w:b/>
          <w:bCs/>
        </w:rPr>
        <w:t xml:space="preserve">Billings lease:</w:t>
      </w:r>
      <w:r>
        <w:t xml:space="preserve"> </w:t>
      </w:r>
      <w:r>
        <w:t xml:space="preserve">Current through January 14, 2027; no outstanding issues.</w:t>
      </w:r>
    </w:p>
    <w:p>
      <w:pPr>
        <w:pStyle w:val="Compact"/>
        <w:numPr>
          <w:ilvl w:val="0"/>
          <w:numId w:val="1002"/>
        </w:numPr>
      </w:pPr>
      <w:r>
        <w:rPr>
          <w:b/>
          <w:bCs/>
        </w:rPr>
        <w:t xml:space="preserve">Boise, Missoula, and Cheyenne leases:</w:t>
      </w:r>
      <w:r>
        <w:t xml:space="preserve"> </w:t>
      </w:r>
      <w:r>
        <w:t xml:space="preserve">No assignment restrictions or outstanding issues at these facilities.</w:t>
      </w:r>
    </w:p>
    <w:p>
      <w:pPr>
        <w:pStyle w:val="Compact"/>
        <w:numPr>
          <w:ilvl w:val="0"/>
          <w:numId w:val="1002"/>
        </w:numPr>
      </w:pPr>
      <w:r>
        <w:rPr>
          <w:b/>
          <w:bCs/>
        </w:rPr>
        <w:t xml:space="preserve">Revenue reconciliation:</w:t>
      </w:r>
      <w:r>
        <w:t xml:space="preserve"> </w:t>
      </w:r>
      <w:r>
        <w:t xml:space="preserve">Service line revenue totals reconcile to the Historical P&amp;L revenue line for all fiscal years. No unexplained gaps in revenue presentation.</w:t>
      </w:r>
    </w:p>
    <w:p>
      <w:pPr>
        <w:pStyle w:val="Compact"/>
        <w:numPr>
          <w:ilvl w:val="0"/>
          <w:numId w:val="1002"/>
        </w:numPr>
      </w:pPr>
      <w:r>
        <w:rPr>
          <w:b/>
          <w:bCs/>
        </w:rPr>
        <w:t xml:space="preserve">Gross margin stability:</w:t>
      </w:r>
      <w:r>
        <w:t xml:space="preserve"> </w:t>
      </w:r>
      <w:r>
        <w:t xml:space="preserve">Gross margins have been stable at 33.8%–35.0% over FY2020–FY2024, consistent with the CIM’s representation of pricing discipline and operational efficiency.</w:t>
      </w:r>
    </w:p>
    <w:p>
      <w:r>
        <w:pict>
          <v:rect style="width:0;height:1.5pt" o:hralign="center" o:hrstd="t" o:hr="t"/>
        </w:pict>
      </w:r>
    </w:p>
    <w:bookmarkEnd w:id="23"/>
    <w:bookmarkStart w:id="47" w:name="iv.-red-flag-analysis-by-category"/>
    <w:p>
      <w:pPr>
        <w:pStyle w:val="Heading2"/>
      </w:pPr>
      <w:r>
        <w:t xml:space="preserve">IV. Red Flag Analysis by Category</w:t>
      </w:r>
    </w:p>
    <w:p>
      <w:r>
        <w:pict>
          <v:rect style="width:0;height:1.5pt" o:hralign="center" o:hrstd="t" o:hr="t"/>
        </w:pict>
      </w:r>
    </w:p>
    <w:bookmarkStart w:id="29" w:name="category-1-financial-quality-of-earnings"/>
    <w:p>
      <w:pPr>
        <w:pStyle w:val="Heading3"/>
      </w:pPr>
      <w:r>
        <w:t xml:space="preserve">CATEGORY 1: FINANCIAL / QUALITY OF EARNINGS</w:t>
      </w:r>
    </w:p>
    <w:p>
      <w:r>
        <w:pict>
          <v:rect style="width:0;height:1.5pt" o:hralign="center" o:hrstd="t" o:hr="t"/>
        </w:pict>
      </w:r>
    </w:p>
    <w:bookmarkStart w:id="24" w:name="X6c3816ca440583d6037c44180bf82881ee843aa"/>
    <w:p>
      <w:pPr>
        <w:pStyle w:val="Heading4"/>
      </w:pPr>
      <w:r>
        <w:t xml:space="preserve">RF-01 | CRITICAL | Adjusted EBITDA Discrepancy — CIM vs. QofE Schedule ($1.0M Gap, Unreconciled)</w:t>
      </w:r>
    </w:p>
    <w:p>
      <w:pPr>
        <w:pStyle w:val="FirstParagraph"/>
      </w:pPr>
      <w:r>
        <w:rPr>
          <w:b/>
          <w:bCs/>
        </w:rPr>
        <w:t xml:space="preserve">Source Documents:</w:t>
      </w:r>
      <w:r>
        <w:t xml:space="preserve"> </w:t>
      </w:r>
      <w:r>
        <w:t xml:space="preserve">CIM (§VI.B); QofE Data Request Response (EBITDA Bridge tab)</w:t>
      </w:r>
    </w:p>
    <w:p>
      <w:pPr>
        <w:pStyle w:val="BodyText"/>
      </w:pPr>
      <w:r>
        <w:rPr>
          <w:b/>
          <w:bCs/>
        </w:rPr>
        <w:t xml:space="preserve">Finding:</w:t>
      </w:r>
      <w:r>
        <w:t xml:space="preserve"> </w:t>
      </w:r>
      <w:r>
        <w:t xml:space="preserve">The CIM states FY2024 Adjusted EBITDA of</w:t>
      </w:r>
      <w:r>
        <w:t xml:space="preserve"> </w:t>
      </w:r>
      <w:r>
        <w:rPr>
          <w:b/>
          <w:bCs/>
        </w:rPr>
        <w:t xml:space="preserve">$22.8 million</w:t>
      </w:r>
      <w:r>
        <w:t xml:space="preserve"> </w:t>
      </w:r>
      <w:r>
        <w:t xml:space="preserve">(the basis for the LOI’s 8.0x–9.0x multiple and $182M–$205M enterprise value range). The QofE EBITDA Bridge schedule, prepared by the Company’s CFO for the Bridgewater Forsyth Group engagement, calculates Adjusted EBITDA of</w:t>
      </w:r>
      <w:r>
        <w:t xml:space="preserve"> </w:t>
      </w:r>
      <w:r>
        <w:rPr>
          <w:b/>
          <w:bCs/>
        </w:rPr>
        <w:t xml:space="preserve">$23.8 million</w:t>
      </w:r>
      <w:r>
        <w:t xml:space="preserve"> </w:t>
      </w:r>
      <w:r>
        <w:t xml:space="preserve">— a</w:t>
      </w:r>
      <w:r>
        <w:t xml:space="preserve"> </w:t>
      </w:r>
      <w:r>
        <w:rPr>
          <w:b/>
          <w:bCs/>
        </w:rPr>
        <w:t xml:space="preserve">$1.0 million difference</w:t>
      </w:r>
      <w:r>
        <w:t xml:space="preserve">. The QofE schedule itself contains a reconciliation note acknowledging the discrepancy and stating that</w:t>
      </w:r>
      <w:r>
        <w:t xml:space="preserve"> </w:t>
      </w:r>
      <w:r>
        <w:t xml:space="preserve">“</w:t>
      </w:r>
      <w:r>
        <w:t xml:space="preserve">the specific adjustment category causing the discrepancy has not been identified.</w:t>
      </w:r>
      <w:r>
        <w:t xml:space="preserve">”</w:t>
      </w:r>
      <w:r>
        <w:t xml:space="preserve"> </w:t>
      </w:r>
      <w:r>
        <w:t xml:space="preserve">No updated schedule has been provided.</w:t>
      </w:r>
    </w:p>
    <w:p>
      <w:pPr>
        <w:pStyle w:val="BodyText"/>
      </w:pPr>
      <w:r>
        <w:rPr>
          <w:b/>
          <w:bCs/>
        </w:rPr>
        <w:t xml:space="preserve">Risk:</w:t>
      </w:r>
      <w:r>
        <w:t xml:space="preserve"> </w:t>
      </w:r>
      <w:r>
        <w:t xml:space="preserve">At an 8.0x–9.0x multiple, a $1.0M EBITDA discrepancy implies a</w:t>
      </w:r>
      <w:r>
        <w:t xml:space="preserve"> </w:t>
      </w:r>
      <w:r>
        <w:rPr>
          <w:b/>
          <w:bCs/>
        </w:rPr>
        <w:t xml:space="preserve">$8M–$9M enterprise value swing</w:t>
      </w:r>
      <w:r>
        <w:t xml:space="preserve">. If the true Adjusted EBITDA is $22.8M (as stated in the CIM), the QofE schedule overstates earnings. If it is $23.8M, the CIM understates earnings. Either way, the Company cannot reconcile its own earnings presentation — a fundamental quality-of-earnings concern. The discrepancy may reflect an error, a double-counted adjustment, or an undisclosed item.</w:t>
      </w:r>
    </w:p>
    <w:p>
      <w:pPr>
        <w:pStyle w:val="BodyText"/>
      </w:pPr>
      <w:r>
        <w:rPr>
          <w:b/>
          <w:bCs/>
        </w:rPr>
        <w:t xml:space="preserve">Recommended Action:</w:t>
      </w:r>
      <w:r>
        <w:t xml:space="preserve"> </w:t>
      </w:r>
      <w:r>
        <w:t xml:space="preserve">Demand a fully reconciled EBITDA bridge with line-item support before proceeding. Require the QofE firm (Bridgewater Forsyth Group) to independently verify and sign off on the final Adjusted EBITDA figure. Do not finalize enterprise value until resolved.</w:t>
      </w:r>
    </w:p>
    <w:p>
      <w:r>
        <w:pict>
          <v:rect style="width:0;height:1.5pt" o:hralign="center" o:hrstd="t" o:hr="t"/>
        </w:pict>
      </w:r>
    </w:p>
    <w:bookmarkEnd w:id="24"/>
    <w:bookmarkStart w:id="25" w:name="X319b53ccc4b1cf4c50bc4078c0a5eb74557a449"/>
    <w:p>
      <w:pPr>
        <w:pStyle w:val="Heading4"/>
      </w:pPr>
      <w:r>
        <w:t xml:space="preserve">RF-02 | HIGH | Aggressive EBITDA Adjustments — Recurring Items Characterized as Non-Recurring</w:t>
      </w:r>
    </w:p>
    <w:p>
      <w:pPr>
        <w:pStyle w:val="FirstParagraph"/>
      </w:pPr>
      <w:r>
        <w:rPr>
          <w:b/>
          <w:bCs/>
        </w:rPr>
        <w:t xml:space="preserve">Source Documents:</w:t>
      </w:r>
      <w:r>
        <w:t xml:space="preserve"> </w:t>
      </w:r>
      <w:r>
        <w:t xml:space="preserve">QofE Data Request Response (EBITDA Bridge tab); CIM (§VI.B)</w:t>
      </w:r>
    </w:p>
    <w:p>
      <w:pPr>
        <w:pStyle w:val="BodyText"/>
      </w:pPr>
      <w:r>
        <w:rPr>
          <w:b/>
          <w:bCs/>
        </w:rPr>
        <w:t xml:space="preserve">Finding:</w:t>
      </w:r>
      <w:r>
        <w:t xml:space="preserve"> </w:t>
      </w:r>
      <w:r>
        <w:t xml:space="preserve">The Company’s $4.4M–$5.4M in EBITDA adjustments include several items that warrant scrutiny as to their non-recurring characterization:</w:t>
      </w:r>
    </w:p>
    <w:p>
      <w:pPr>
        <w:pStyle w:val="Compact"/>
        <w:numPr>
          <w:ilvl w:val="0"/>
          <w:numId w:val="1003"/>
        </w:numPr>
      </w:pPr>
      <w:r>
        <w:rPr>
          <w:b/>
          <w:bCs/>
        </w:rPr>
        <w:t xml:space="preserve">Pinnacle Acquisition Integration Costs ($800K in FY2024):</w:t>
      </w:r>
      <w:r>
        <w:t xml:space="preserve"> </w:t>
      </w:r>
      <w:r>
        <w:t xml:space="preserve">The Pinnacle acquisition closed in March 2022 — over two years before the TTM period. Integration costs of $800K in FY2024 (and $620K in FY2023) suggest integration is not</w:t>
      </w:r>
      <w:r>
        <w:t xml:space="preserve"> </w:t>
      </w:r>
      <w:r>
        <w:t xml:space="preserve">“</w:t>
      </w:r>
      <w:r>
        <w:t xml:space="preserve">substantially complete</w:t>
      </w:r>
      <w:r>
        <w:t xml:space="preserve">”</w:t>
      </w:r>
      <w:r>
        <w:t xml:space="preserve"> </w:t>
      </w:r>
      <w:r>
        <w:t xml:space="preserve">as represented. These costs have been added back in each of FY2022, FY2023, and FY2024, totaling $2.66M over three years.</w:t>
      </w:r>
    </w:p>
    <w:p>
      <w:pPr>
        <w:pStyle w:val="Compact"/>
        <w:numPr>
          <w:ilvl w:val="0"/>
          <w:numId w:val="1003"/>
        </w:numPr>
      </w:pPr>
      <w:r>
        <w:rPr>
          <w:b/>
          <w:bCs/>
        </w:rPr>
        <w:t xml:space="preserve">Asbestos Abatement Wind-Down ($1.8M in FY2024):</w:t>
      </w:r>
      <w:r>
        <w:t xml:space="preserve"> </w:t>
      </w:r>
      <w:r>
        <w:t xml:space="preserve">The service line was discontinued effective September 30, 2023. Wind-down costs of $1.8M in FY2024 are added back as non-recurring; however, two workers’ compensation claims from former asbestos employees remain open, and the litigation summary notes potential long-tail exposure. Future costs may arise.</w:t>
      </w:r>
    </w:p>
    <w:p>
      <w:pPr>
        <w:pStyle w:val="Compact"/>
        <w:numPr>
          <w:ilvl w:val="0"/>
          <w:numId w:val="1003"/>
        </w:numPr>
      </w:pPr>
      <w:r>
        <w:rPr>
          <w:b/>
          <w:bCs/>
        </w:rPr>
        <w:t xml:space="preserve">ERP Implementation ($650K in FY2024):</w:t>
      </w:r>
      <w:r>
        <w:t xml:space="preserve"> </w:t>
      </w:r>
      <w:r>
        <w:t xml:space="preserve">The QofE schedule notes that</w:t>
      </w:r>
      <w:r>
        <w:t xml:space="preserve"> </w:t>
      </w:r>
      <w:r>
        <w:t xml:space="preserve">“</w:t>
      </w:r>
      <w:r>
        <w:t xml:space="preserve">Phase 2 [is] expected to be completed Q2 FY2025,</w:t>
      </w:r>
      <w:r>
        <w:t xml:space="preserve">”</w:t>
      </w:r>
      <w:r>
        <w:t xml:space="preserve"> </w:t>
      </w:r>
      <w:r>
        <w:t xml:space="preserve">meaning additional implementation costs are likely in the next fiscal year and should not be treated as fully non-recurring.</w:t>
      </w:r>
    </w:p>
    <w:p>
      <w:pPr>
        <w:pStyle w:val="Compact"/>
        <w:numPr>
          <w:ilvl w:val="0"/>
          <w:numId w:val="1003"/>
        </w:numPr>
      </w:pPr>
      <w:r>
        <w:rPr>
          <w:b/>
          <w:bCs/>
        </w:rPr>
        <w:t xml:space="preserve">Owner Compensation Normalization ($950K):</w:t>
      </w:r>
      <w:r>
        <w:t xml:space="preserve"> </w:t>
      </w:r>
      <w:r>
        <w:t xml:space="preserve">The adjustment normalizes CEO and COO compensation from $875K each to $400K each. However, the employment agreements confirm both founders receive single-trigger change-of-control severance of $1.3125M each at closing — meaning the</w:t>
      </w:r>
      <w:r>
        <w:t xml:space="preserve"> </w:t>
      </w:r>
      <w:r>
        <w:t xml:space="preserve">“</w:t>
      </w:r>
      <w:r>
        <w:t xml:space="preserve">normalized</w:t>
      </w:r>
      <w:r>
        <w:t xml:space="preserve">”</w:t>
      </w:r>
      <w:r>
        <w:t xml:space="preserve"> </w:t>
      </w:r>
      <w:r>
        <w:t xml:space="preserve">replacement cost assumption is immediately invalidated post-closing.</w:t>
      </w:r>
    </w:p>
    <w:p>
      <w:pPr>
        <w:pStyle w:val="FirstParagraph"/>
      </w:pPr>
      <w:r>
        <w:rPr>
          <w:b/>
          <w:bCs/>
        </w:rPr>
        <w:t xml:space="preserve">Risk:</w:t>
      </w:r>
      <w:r>
        <w:t xml:space="preserve"> </w:t>
      </w:r>
      <w:r>
        <w:t xml:space="preserve">If even $1.5M–$2.0M of the adjustments are deemed recurring by the QofE firm, Adjusted EBITDA falls to $20.8M–$21.3M, implying an enterprise value of $166M–$192M at the same multiples — a material reduction from the LOI range.</w:t>
      </w:r>
    </w:p>
    <w:p>
      <w:pPr>
        <w:pStyle w:val="BodyText"/>
      </w:pPr>
      <w:r>
        <w:rPr>
          <w:b/>
          <w:bCs/>
        </w:rPr>
        <w:t xml:space="preserve">Recommended Action:</w:t>
      </w:r>
      <w:r>
        <w:t xml:space="preserve"> </w:t>
      </w:r>
      <w:r>
        <w:t xml:space="preserve">Require the QofE firm to independently assess the non-recurring characterization of each adjustment. Negotiate a purchase price adjustment mechanism tied to the QofE firm’s final Adjusted EBITDA conclusion.</w:t>
      </w:r>
    </w:p>
    <w:p>
      <w:r>
        <w:pict>
          <v:rect style="width:0;height:1.5pt" o:hralign="center" o:hrstd="t" o:hr="t"/>
        </w:pict>
      </w:r>
    </w:p>
    <w:bookmarkEnd w:id="25"/>
    <w:bookmarkStart w:id="26" w:name="X3c8b03cfa4d7e910c8ffb8fb351ba263ad1be29"/>
    <w:p>
      <w:pPr>
        <w:pStyle w:val="Heading4"/>
      </w:pPr>
      <w:r>
        <w:t xml:space="preserve">RF-03 | HIGH | Reported EBITDA Declined 27% Year-over-Year (FY2023 to FY2024)</w:t>
      </w:r>
    </w:p>
    <w:p>
      <w:pPr>
        <w:pStyle w:val="FirstParagraph"/>
      </w:pPr>
      <w:r>
        <w:rPr>
          <w:b/>
          <w:bCs/>
        </w:rPr>
        <w:t xml:space="preserve">Source Documents:</w:t>
      </w:r>
      <w:r>
        <w:t xml:space="preserve"> </w:t>
      </w:r>
      <w:r>
        <w:t xml:space="preserve">QofE Data Request Response (Historical P&amp;L tab)</w:t>
      </w:r>
    </w:p>
    <w:p>
      <w:pPr>
        <w:pStyle w:val="BodyText"/>
      </w:pPr>
      <w:r>
        <w:rPr>
          <w:b/>
          <w:bCs/>
        </w:rPr>
        <w:t xml:space="preserve">Finding:</w:t>
      </w:r>
      <w:r>
        <w:t xml:space="preserve"> </w:t>
      </w:r>
      <w:r>
        <w:t xml:space="preserve">The Historical P&amp;L tab shows Reported EBITDA (before adjustments) of</w:t>
      </w:r>
      <w:r>
        <w:t xml:space="preserve"> </w:t>
      </w:r>
      <w:r>
        <w:rPr>
          <w:b/>
          <w:bCs/>
        </w:rPr>
        <w:t xml:space="preserve">$25.2M in FY2023</w:t>
      </w:r>
      <w:r>
        <w:t xml:space="preserve"> </w:t>
      </w:r>
      <w:r>
        <w:t xml:space="preserve">declining to</w:t>
      </w:r>
      <w:r>
        <w:t xml:space="preserve"> </w:t>
      </w:r>
      <w:r>
        <w:rPr>
          <w:b/>
          <w:bCs/>
        </w:rPr>
        <w:t xml:space="preserve">$18.4M in FY2024</w:t>
      </w:r>
      <w:r>
        <w:t xml:space="preserve"> </w:t>
      </w:r>
      <w:r>
        <w:t xml:space="preserve">— a</w:t>
      </w:r>
      <w:r>
        <w:t xml:space="preserve"> </w:t>
      </w:r>
      <w:r>
        <w:rPr>
          <w:b/>
          <w:bCs/>
        </w:rPr>
        <w:t xml:space="preserve">27.0% year-over-year decline</w:t>
      </w:r>
      <w:r>
        <w:t xml:space="preserve"> </w:t>
      </w:r>
      <w:r>
        <w:t xml:space="preserve">in reported earnings. Revenue growth slowed from 17.2% (FY2023) to 11.1% (FY2024). The CIM presents only Adjusted EBITDA and does not disclose the magnitude of the reported EBITDA decline.</w:t>
      </w:r>
    </w:p>
    <w:p>
      <w:pPr>
        <w:pStyle w:val="BodyText"/>
      </w:pPr>
      <w:r>
        <w:rPr>
          <w:b/>
          <w:bCs/>
        </w:rPr>
        <w:t xml:space="preserve">Risk:</w:t>
      </w:r>
      <w:r>
        <w:t xml:space="preserve"> </w:t>
      </w:r>
      <w:r>
        <w:t xml:space="preserve">The 27% decline in reported EBITDA is masked by $5.4M in adjustments. The underlying business generated materially less earnings in FY2024 than FY2023 on a reported basis. This trend, combined with revenue growth deceleration, raises questions about whether the business is experiencing margin compression or cost escalation that is being obscured by the adjustment schedule.</w:t>
      </w:r>
    </w:p>
    <w:p>
      <w:pPr>
        <w:pStyle w:val="BodyText"/>
      </w:pPr>
      <w:r>
        <w:rPr>
          <w:b/>
          <w:bCs/>
        </w:rPr>
        <w:t xml:space="preserve">Recommended Action:</w:t>
      </w:r>
      <w:r>
        <w:t xml:space="preserve"> </w:t>
      </w:r>
      <w:r>
        <w:t xml:space="preserve">Obtain a detailed bridge from FY2023 to FY2024 reported EBITDA explaining the $6.8M decline. Assess whether any portion reflects structural margin deterioration rather than truly non-recurring items.</w:t>
      </w:r>
    </w:p>
    <w:p>
      <w:r>
        <w:pict>
          <v:rect style="width:0;height:1.5pt" o:hralign="center" o:hrstd="t" o:hr="t"/>
        </w:pict>
      </w:r>
    </w:p>
    <w:bookmarkEnd w:id="26"/>
    <w:bookmarkStart w:id="27" w:name="X56691e4889743f9a46fb627a9ffe379ec2b4acf"/>
    <w:p>
      <w:pPr>
        <w:pStyle w:val="Heading4"/>
      </w:pPr>
      <w:r>
        <w:t xml:space="preserve">RF-04 | HIGH | Bank EBITDA Definition Produces $18.4M vs. Management’s $22.8M–$23.8M — Covenant Headroom Narrower Than Presented</w:t>
      </w:r>
    </w:p>
    <w:p>
      <w:pPr>
        <w:pStyle w:val="FirstParagraph"/>
      </w:pPr>
      <w:r>
        <w:rPr>
          <w:b/>
          <w:bCs/>
        </w:rPr>
        <w:t xml:space="preserve">Source Documents:</w:t>
      </w:r>
      <w:r>
        <w:t xml:space="preserve"> </w:t>
      </w:r>
      <w:r>
        <w:t xml:space="preserve">Credit Agreement Summary (§4); QofE Data Request Response (EBITDA Bridge tab)</w:t>
      </w:r>
    </w:p>
    <w:p>
      <w:pPr>
        <w:pStyle w:val="BodyText"/>
      </w:pPr>
      <w:r>
        <w:rPr>
          <w:b/>
          <w:bCs/>
        </w:rPr>
        <w:t xml:space="preserve">Finding:</w:t>
      </w:r>
      <w:r>
        <w:t xml:space="preserve"> </w:t>
      </w:r>
      <w:r>
        <w:t xml:space="preserve">The Credit Agreement with High Plains National Bank defines</w:t>
      </w:r>
      <w:r>
        <w:t xml:space="preserve"> </w:t>
      </w:r>
      <w:r>
        <w:t xml:space="preserve">“</w:t>
      </w:r>
      <w:r>
        <w:t xml:space="preserve">Consolidated EBITDA</w:t>
      </w:r>
      <w:r>
        <w:t xml:space="preserve">”</w:t>
      </w:r>
      <w:r>
        <w:t xml:space="preserve"> </w:t>
      </w:r>
      <w:r>
        <w:t xml:space="preserve">to exclude all of the management adjustments (owner comp normalization, integration costs, wind-down costs, ERP costs, and litigation settlement), permitting only up to $500K of non-recurring charges. The bank’s Consolidated EBITDA for the TTM period is approximately</w:t>
      </w:r>
      <w:r>
        <w:t xml:space="preserve"> </w:t>
      </w:r>
      <w:r>
        <w:rPr>
          <w:b/>
          <w:bCs/>
        </w:rPr>
        <w:t xml:space="preserve">$18.4M</w:t>
      </w:r>
      <w:r>
        <w:t xml:space="preserve"> </w:t>
      </w:r>
      <w:r>
        <w:t xml:space="preserve">— the reported figure. Total leverage under the bank definition is</w:t>
      </w:r>
      <w:r>
        <w:t xml:space="preserve"> </w:t>
      </w:r>
      <w:r>
        <w:rPr>
          <w:b/>
          <w:bCs/>
        </w:rPr>
        <w:t xml:space="preserve">2.10x</w:t>
      </w:r>
      <w:r>
        <w:t xml:space="preserve"> </w:t>
      </w:r>
      <w:r>
        <w:t xml:space="preserve">($38.7M / $18.4M), not the 1.70x presented in the CIM using management’s Adjusted EBITDA.</w:t>
      </w:r>
    </w:p>
    <w:p>
      <w:pPr>
        <w:pStyle w:val="BodyText"/>
      </w:pPr>
      <w:r>
        <w:rPr>
          <w:b/>
          <w:bCs/>
        </w:rPr>
        <w:t xml:space="preserve">Risk:</w:t>
      </w:r>
      <w:r>
        <w:t xml:space="preserve"> </w:t>
      </w:r>
      <w:r>
        <w:t xml:space="preserve">While 2.10x is within the 3.50x covenant maximum, the headroom is narrower than the CIM implies. More importantly, the $5.4M gap between bank EBITDA and management EBITDA means that any acquisition financing underwritten on management’s Adjusted EBITDA will face a different covenant baseline than the existing lender uses. Buyer’s lenders must be made aware of this distinction.</w:t>
      </w:r>
    </w:p>
    <w:p>
      <w:pPr>
        <w:pStyle w:val="BodyText"/>
      </w:pPr>
      <w:r>
        <w:rPr>
          <w:b/>
          <w:bCs/>
        </w:rPr>
        <w:t xml:space="preserve">Recommended Action:</w:t>
      </w:r>
      <w:r>
        <w:t xml:space="preserve"> </w:t>
      </w:r>
      <w:r>
        <w:t xml:space="preserve">Confirm covenant compliance on a bank-definition basis. Ensure acquisition financing term sheets are underwritten using the bank’s EBITDA definition or a clearly negotiated alternative.</w:t>
      </w:r>
    </w:p>
    <w:p>
      <w:r>
        <w:pict>
          <v:rect style="width:0;height:1.5pt" o:hralign="center" o:hrstd="t" o:hr="t"/>
        </w:pict>
      </w:r>
    </w:p>
    <w:bookmarkEnd w:id="27"/>
    <w:bookmarkStart w:id="28" w:name="X4d933b2232c4d9e5995444fbb0affbc19eea2f8"/>
    <w:p>
      <w:pPr>
        <w:pStyle w:val="Heading4"/>
      </w:pPr>
      <w:r>
        <w:t xml:space="preserve">RF-05 | MEDIUM | Maintenance Capex Understated — Fleet Replacement Backlog of ~$9.8M</w:t>
      </w:r>
    </w:p>
    <w:p>
      <w:pPr>
        <w:pStyle w:val="FirstParagraph"/>
      </w:pPr>
      <w:r>
        <w:rPr>
          <w:b/>
          <w:bCs/>
        </w:rPr>
        <w:t xml:space="preserve">Source Documents:</w:t>
      </w:r>
      <w:r>
        <w:t xml:space="preserve"> </w:t>
      </w:r>
      <w:r>
        <w:t xml:space="preserve">QofE Data Request Response (Fleet &amp; Equipment Schedule; Capex Detail tabs)</w:t>
      </w:r>
    </w:p>
    <w:p>
      <w:pPr>
        <w:pStyle w:val="BodyText"/>
      </w:pPr>
      <w:r>
        <w:rPr>
          <w:b/>
          <w:bCs/>
        </w:rPr>
        <w:t xml:space="preserve">Finding:</w:t>
      </w:r>
      <w:r>
        <w:t xml:space="preserve"> </w:t>
      </w:r>
      <w:r>
        <w:t xml:space="preserve">The Fleet &amp; Equipment Schedule discloses that</w:t>
      </w:r>
      <w:r>
        <w:t xml:space="preserve"> </w:t>
      </w:r>
      <w:r>
        <w:rPr>
          <w:b/>
          <w:bCs/>
        </w:rPr>
        <w:t xml:space="preserve">38 of 85 fleet and equipment assets (44.7%) are at or past their stated useful life</w:t>
      </w:r>
      <w:r>
        <w:t xml:space="preserve">, with an average fleet age of 8.2 years against a weighted average useful life of 7.0 years. The estimated replacement cost for past-useful-life assets is</w:t>
      </w:r>
      <w:r>
        <w:t xml:space="preserve"> </w:t>
      </w:r>
      <w:r>
        <w:rPr>
          <w:b/>
          <w:bCs/>
        </w:rPr>
        <w:t xml:space="preserve">$9.8M</w:t>
      </w:r>
      <w:r>
        <w:t xml:space="preserve">. Management’s normalized maintenance capex estimate of $4.0M–$4.5M per year does not appear to account for this backlog. Spreading the $9.8M backlog over three years implies approximately</w:t>
      </w:r>
      <w:r>
        <w:t xml:space="preserve"> </w:t>
      </w:r>
      <w:r>
        <w:rPr>
          <w:b/>
          <w:bCs/>
        </w:rPr>
        <w:t xml:space="preserve">$3.3M/year in catch-up capex</w:t>
      </w:r>
      <w:r>
        <w:t xml:space="preserve"> </w:t>
      </w:r>
      <w:r>
        <w:t xml:space="preserve">above the stated run-rate — effectively doubling normalized maintenance capex.</w:t>
      </w:r>
    </w:p>
    <w:p>
      <w:pPr>
        <w:pStyle w:val="BodyText"/>
      </w:pPr>
      <w:r>
        <w:rPr>
          <w:b/>
          <w:bCs/>
        </w:rPr>
        <w:t xml:space="preserve">Risk:</w:t>
      </w:r>
      <w:r>
        <w:t xml:space="preserve"> </w:t>
      </w:r>
      <w:r>
        <w:t xml:space="preserve">The CIM’s free cash flow presentation is based on $4.0M–$4.5M maintenance capex. If true normalized capex is $7.3M–$7.8M (including catch-up), free cash flow is overstated by approximately $3.3M annually, reducing implied free cash flow yield and debt service capacity.</w:t>
      </w:r>
    </w:p>
    <w:p>
      <w:pPr>
        <w:pStyle w:val="BodyText"/>
      </w:pPr>
      <w:r>
        <w:rPr>
          <w:b/>
          <w:bCs/>
        </w:rPr>
        <w:t xml:space="preserve">Recommended Action:</w:t>
      </w:r>
      <w:r>
        <w:t xml:space="preserve"> </w:t>
      </w:r>
      <w:r>
        <w:t xml:space="preserve">Commission an independent fleet appraisal and replacement schedule. Adjust free cash flow projections and acquisition financing models to reflect true normalized capex.</w:t>
      </w:r>
    </w:p>
    <w:p>
      <w:r>
        <w:pict>
          <v:rect style="width:0;height:1.5pt" o:hralign="center" o:hrstd="t" o:hr="t"/>
        </w:pict>
      </w:r>
    </w:p>
    <w:bookmarkEnd w:id="28"/>
    <w:bookmarkEnd w:id="29"/>
    <w:bookmarkStart w:id="34" w:name="category-2-environmental-regulatory"/>
    <w:p>
      <w:pPr>
        <w:pStyle w:val="Heading3"/>
      </w:pPr>
      <w:r>
        <w:t xml:space="preserve">CATEGORY 2: ENVIRONMENTAL &amp; REGULATORY</w:t>
      </w:r>
    </w:p>
    <w:p>
      <w:r>
        <w:pict>
          <v:rect style="width:0;height:1.5pt" o:hralign="center" o:hrstd="t" o:hr="t"/>
        </w:pict>
      </w:r>
    </w:p>
    <w:bookmarkStart w:id="30" w:name="X0beb959102c41d3154f27506e2cf5d8bb96ee5f"/>
    <w:p>
      <w:pPr>
        <w:pStyle w:val="Heading4"/>
      </w:pPr>
      <w:r>
        <w:t xml:space="preserve">RF-06 | CRITICAL | Stale Phase II ESA (2019) — Confirmed Contamination, Vapor Intrusion Unassessed, Cost Estimate Outdated</w:t>
      </w:r>
    </w:p>
    <w:p>
      <w:pPr>
        <w:pStyle w:val="FirstParagraph"/>
      </w:pPr>
      <w:r>
        <w:rPr>
          <w:b/>
          <w:bCs/>
        </w:rPr>
        <w:t xml:space="preserve">Source Documents:</w:t>
      </w:r>
      <w:r>
        <w:t xml:space="preserve"> </w:t>
      </w:r>
      <w:r>
        <w:t xml:space="preserve">Phase II ESA Executive Summary; Real Property and Lease Schedule (§2.1); Environmental Permit Schedule (§2.1); Litigation and Regulatory Summary (§VI.A)</w:t>
      </w:r>
    </w:p>
    <w:p>
      <w:pPr>
        <w:pStyle w:val="BodyText"/>
      </w:pPr>
      <w:r>
        <w:rPr>
          <w:b/>
          <w:bCs/>
        </w:rPr>
        <w:t xml:space="preserve">Finding:</w:t>
      </w:r>
      <w:r>
        <w:t xml:space="preserve"> </w:t>
      </w:r>
      <w:r>
        <w:t xml:space="preserve">The only Phase II Environmental Site Assessment for the Company’s owned Grand Junction headquarters (8750 Industrial Parkway) was completed in</w:t>
      </w:r>
      <w:r>
        <w:t xml:space="preserve"> </w:t>
      </w:r>
      <w:r>
        <w:rPr>
          <w:b/>
          <w:bCs/>
        </w:rPr>
        <w:t xml:space="preserve">June 2019 — over five years ago</w:t>
      </w:r>
      <w:r>
        <w:t xml:space="preserve">. The ESA confirmed:</w:t>
      </w:r>
    </w:p>
    <w:p>
      <w:pPr>
        <w:pStyle w:val="Compact"/>
        <w:numPr>
          <w:ilvl w:val="0"/>
          <w:numId w:val="1004"/>
        </w:numPr>
      </w:pPr>
      <w:r>
        <w:rPr>
          <w:b/>
          <w:bCs/>
        </w:rPr>
        <w:t xml:space="preserve">Petroleum hydrocarbon contamination</w:t>
      </w:r>
      <w:r>
        <w:t xml:space="preserve"> </w:t>
      </w:r>
      <w:r>
        <w:t xml:space="preserve">(TPH-diesel up to 4,200 mg/kg; benzene in groundwater at 12 µg/L, exceeding Colorado standards) in the former UST area.</w:t>
      </w:r>
    </w:p>
    <w:p>
      <w:pPr>
        <w:pStyle w:val="Compact"/>
        <w:numPr>
          <w:ilvl w:val="0"/>
          <w:numId w:val="1004"/>
        </w:numPr>
      </w:pPr>
      <w:r>
        <w:rPr>
          <w:b/>
          <w:bCs/>
        </w:rPr>
        <w:t xml:space="preserve">Chlorinated solvent contamination</w:t>
      </w:r>
      <w:r>
        <w:t xml:space="preserve"> </w:t>
      </w:r>
      <w:r>
        <w:t xml:space="preserve">(PCE up to 18 mg/kg in soil; PCE at 22 µg/L and TCE at 8.7 µg/L in groundwater, both exceeding Colorado standards) in the former degreasing area.</w:t>
      </w:r>
    </w:p>
    <w:p>
      <w:pPr>
        <w:pStyle w:val="Compact"/>
        <w:numPr>
          <w:ilvl w:val="0"/>
          <w:numId w:val="1004"/>
        </w:numPr>
      </w:pPr>
      <w:r>
        <w:rPr>
          <w:b/>
          <w:bCs/>
        </w:rPr>
        <w:t xml:space="preserve">Potential vapor intrusion</w:t>
      </w:r>
      <w:r>
        <w:t xml:space="preserve"> </w:t>
      </w:r>
      <w:r>
        <w:t xml:space="preserve">into the occupied 28,000 sq. ft. vehicle maintenance building (PCE at 450 µg/m³ and TCE at 120 µg/m³ in soil gas, both exceeding EPA RSLs).</w:t>
      </w:r>
      <w:r>
        <w:t xml:space="preserve"> </w:t>
      </w:r>
      <w:r>
        <w:rPr>
          <w:b/>
          <w:bCs/>
        </w:rPr>
        <w:t xml:space="preserve">No vapor intrusion assessment has been conducted.</w:t>
      </w:r>
    </w:p>
    <w:p>
      <w:pPr>
        <w:pStyle w:val="Compact"/>
        <w:numPr>
          <w:ilvl w:val="0"/>
          <w:numId w:val="1004"/>
        </w:numPr>
      </w:pPr>
      <w:r>
        <w:rPr>
          <w:b/>
          <w:bCs/>
        </w:rPr>
        <w:t xml:space="preserve">Groundwater plume containment unconfirmed</w:t>
      </w:r>
      <w:r>
        <w:t xml:space="preserve"> </w:t>
      </w:r>
      <w:r>
        <w:t xml:space="preserve">— the 2019 ESA recommended off-site sentinel wells that have not been installed.</w:t>
      </w:r>
    </w:p>
    <w:p>
      <w:pPr>
        <w:pStyle w:val="FirstParagraph"/>
      </w:pPr>
      <w:r>
        <w:t xml:space="preserve">The 2019 cost estimate of</w:t>
      </w:r>
      <w:r>
        <w:t xml:space="preserve"> </w:t>
      </w:r>
      <w:r>
        <w:rPr>
          <w:b/>
          <w:bCs/>
        </w:rPr>
        <w:t xml:space="preserve">$1.8M–$2.6M</w:t>
      </w:r>
      <w:r>
        <w:t xml:space="preserve"> </w:t>
      </w:r>
      <w:r>
        <w:t xml:space="preserve">is in 2019 dollars and explicitly noted by Elkhorn as requiring update before any transaction. The Company has accrued $2.2M for Grand Junction remediation — within the 2019 range but not updated for five years of inflation, potential plume migration, or the unassessed vapor intrusion pathway.</w:t>
      </w:r>
    </w:p>
    <w:p>
      <w:pPr>
        <w:pStyle w:val="BodyText"/>
      </w:pPr>
      <w:r>
        <w:rPr>
          <w:b/>
          <w:bCs/>
        </w:rPr>
        <w:t xml:space="preserve">Risk:</w:t>
      </w:r>
      <w:r>
        <w:t xml:space="preserve"> </w:t>
      </w:r>
      <w:r>
        <w:t xml:space="preserve">(1) Actual remediation costs may materially exceed the $2.2M accrual. (2) Vapor intrusion into an occupied building creates OSHA and tort liability exposure. (3) Off-site plume migration, if confirmed, could trigger additional regulatory notification and remediation obligations under Colorado Regulation No. 41, materially expanding scope and cost. (4) The Pollution Legal Liability policy</w:t>
      </w:r>
      <w:r>
        <w:t xml:space="preserve"> </w:t>
      </w:r>
      <w:r>
        <w:rPr>
          <w:b/>
          <w:bCs/>
        </w:rPr>
        <w:t xml:space="preserve">explicitly excludes gradual contamination at owned facilities</w:t>
      </w:r>
      <w:r>
        <w:t xml:space="preserve"> </w:t>
      </w:r>
      <w:r>
        <w:t xml:space="preserve">— meaning the confirmed contamination at Grand Junction is</w:t>
      </w:r>
      <w:r>
        <w:t xml:space="preserve"> </w:t>
      </w:r>
      <w:r>
        <w:rPr>
          <w:b/>
          <w:bCs/>
        </w:rPr>
        <w:t xml:space="preserve">uninsured</w:t>
      </w:r>
      <w:r>
        <w:t xml:space="preserve">.</w:t>
      </w:r>
    </w:p>
    <w:p>
      <w:pPr>
        <w:pStyle w:val="BodyText"/>
      </w:pPr>
      <w:r>
        <w:rPr>
          <w:b/>
          <w:bCs/>
        </w:rPr>
        <w:t xml:space="preserve">Recommended Action:</w:t>
      </w:r>
      <w:r>
        <w:t xml:space="preserve"> </w:t>
      </w:r>
      <w:r>
        <w:t xml:space="preserve">Commission an updated Phase II ESA and vapor intrusion assessment immediately, as a condition of closing. Require the Company to install off-site sentinel monitoring wells. Obtain an independent remediation cost estimate in current dollars. Negotiate a specific environmental indemnity and/or escrow for Grand Junction remediation costs above the current accrual.</w:t>
      </w:r>
    </w:p>
    <w:p>
      <w:r>
        <w:pict>
          <v:rect style="width:0;height:1.5pt" o:hralign="center" o:hrstd="t" o:hr="t"/>
        </w:pict>
      </w:r>
    </w:p>
    <w:bookmarkEnd w:id="30"/>
    <w:bookmarkStart w:id="31" w:name="Xf3f16aa6a29a2fa239ae5982fe12b2aec587fa5"/>
    <w:p>
      <w:pPr>
        <w:pStyle w:val="Heading4"/>
      </w:pPr>
      <w:r>
        <w:t xml:space="preserve">RF-07 | HIGH | CDPHE Enforcement Action — Active RCRA Violation, No Accrual, Penalty Exposure Up to $1.16M</w:t>
      </w:r>
    </w:p>
    <w:p>
      <w:pPr>
        <w:pStyle w:val="FirstParagraph"/>
      </w:pPr>
      <w:r>
        <w:rPr>
          <w:b/>
          <w:bCs/>
        </w:rPr>
        <w:t xml:space="preserve">Source Documents:</w:t>
      </w:r>
      <w:r>
        <w:t xml:space="preserve"> </w:t>
      </w:r>
      <w:r>
        <w:t xml:space="preserve">Litigation and Regulatory Summary (§III.A); Environmental Permit Schedule (§2.1)</w:t>
      </w:r>
    </w:p>
    <w:p>
      <w:pPr>
        <w:pStyle w:val="BodyText"/>
      </w:pPr>
      <w:r>
        <w:rPr>
          <w:b/>
          <w:bCs/>
        </w:rPr>
        <w:t xml:space="preserve">Finding:</w:t>
      </w:r>
      <w:r>
        <w:t xml:space="preserve"> </w:t>
      </w:r>
      <w:r>
        <w:t xml:space="preserve">CDPHE issued a Notice of Violation (Docket No. CDPHE-HW-2024-0093) on July 18, 2024, alleging improper storage of approximately 14,000 gallons of F001/F002 listed hazardous waste at the Grand Junction facility beyond the 90-day accumulation limit. The parties dispute the violation period: the Company asserts 12 days (maximum penalty $450K); CDPHE asserts 31 days (maximum penalty $1.16M).</w:t>
      </w:r>
      <w:r>
        <w:t xml:space="preserve"> </w:t>
      </w:r>
      <w:r>
        <w:rPr>
          <w:b/>
          <w:bCs/>
        </w:rPr>
        <w:t xml:space="preserve">No accrual has been recorded</w:t>
      </w:r>
      <w:r>
        <w:t xml:space="preserve"> </w:t>
      </w:r>
      <w:r>
        <w:t xml:space="preserve">as of September 30, 2024. The matter is in administrative negotiation with a settlement conference expected in Q1 2025.</w:t>
      </w:r>
    </w:p>
    <w:p>
      <w:pPr>
        <w:pStyle w:val="BodyText"/>
      </w:pPr>
      <w:r>
        <w:rPr>
          <w:b/>
          <w:bCs/>
        </w:rPr>
        <w:t xml:space="preserve">Risk:</w:t>
      </w:r>
      <w:r>
        <w:t xml:space="preserve"> </w:t>
      </w:r>
      <w:r>
        <w:t xml:space="preserve">(1) The CDPHE penalty is unaccrued and unaddressed in the EBITDA adjustment schedule. (2) A finding adverse to the Company on the violation period could result in a penalty approaching $1.16M. (3) An active RCRA enforcement action at the Company’s primary permitted facility creates reputational and permit renewal risk. The Grand Junction RCRA Part B Permit (COD-098-2761) expires December 31, 2026 — a renewal application will be filed while this enforcement action is pending.</w:t>
      </w:r>
    </w:p>
    <w:p>
      <w:pPr>
        <w:pStyle w:val="BodyText"/>
      </w:pPr>
      <w:r>
        <w:rPr>
          <w:b/>
          <w:bCs/>
        </w:rPr>
        <w:t xml:space="preserve">Recommended Action:</w:t>
      </w:r>
      <w:r>
        <w:t xml:space="preserve"> </w:t>
      </w:r>
      <w:r>
        <w:t xml:space="preserve">Require resolution or escrow of the CDPHE matter before closing. Obtain a specific indemnity from Sellers for any penalty in excess of the Company’s stated $200K–$450K settlement range. Confirm that the enforcement action will not affect the 2026 permit renewal.</w:t>
      </w:r>
    </w:p>
    <w:p>
      <w:r>
        <w:pict>
          <v:rect style="width:0;height:1.5pt" o:hralign="center" o:hrstd="t" o:hr="t"/>
        </w:pict>
      </w:r>
    </w:p>
    <w:bookmarkEnd w:id="31"/>
    <w:bookmarkStart w:id="32" w:name="Xecf50771c6196b953ce4a0b03000e8c098d58e9"/>
    <w:p>
      <w:pPr>
        <w:pStyle w:val="Heading4"/>
      </w:pPr>
      <w:r>
        <w:t xml:space="preserve">RF-08 | HIGH | Wyoming Permit Expired — Operating Under Timely Renewal Provisions</w:t>
      </w:r>
    </w:p>
    <w:p>
      <w:pPr>
        <w:pStyle w:val="FirstParagraph"/>
      </w:pPr>
      <w:r>
        <w:rPr>
          <w:b/>
          <w:bCs/>
        </w:rPr>
        <w:t xml:space="preserve">Source Documents:</w:t>
      </w:r>
      <w:r>
        <w:t xml:space="preserve"> </w:t>
      </w:r>
      <w:r>
        <w:t xml:space="preserve">Environmental Permit Schedule (§2.4); Real Property and Lease Schedule (§4.3)</w:t>
      </w:r>
    </w:p>
    <w:p>
      <w:pPr>
        <w:pStyle w:val="BodyText"/>
      </w:pPr>
      <w:r>
        <w:rPr>
          <w:b/>
          <w:bCs/>
        </w:rPr>
        <w:t xml:space="preserve">Finding:</w:t>
      </w:r>
      <w:r>
        <w:t xml:space="preserve"> </w:t>
      </w:r>
      <w:r>
        <w:t xml:space="preserve">Wyoming Hazardous Waste Permit WY-HW-2019-033 for the Casper facility</w:t>
      </w:r>
      <w:r>
        <w:t xml:space="preserve"> </w:t>
      </w:r>
      <w:r>
        <w:rPr>
          <w:b/>
          <w:bCs/>
        </w:rPr>
        <w:t xml:space="preserve">expired November 30, 2024</w:t>
      </w:r>
      <w:r>
        <w:t xml:space="preserve">. A renewal application was filed October 15, 2024. The Company is currently operating under Wyoming’s timely renewal provisions, which allow continued operations pending agency action on a timely-filed renewal. The renewal is expected in Q1 2025.</w:t>
      </w:r>
    </w:p>
    <w:p>
      <w:pPr>
        <w:pStyle w:val="BodyText"/>
      </w:pPr>
      <w:r>
        <w:rPr>
          <w:b/>
          <w:bCs/>
        </w:rPr>
        <w:t xml:space="preserve">Risk:</w:t>
      </w:r>
      <w:r>
        <w:t xml:space="preserve"> </w:t>
      </w:r>
      <w:r>
        <w:t xml:space="preserve">While timely renewal provisions are a standard regulatory mechanism, the permit is technically expired at the time of the proposed transaction. If the Wyoming DEQ raises issues during the renewal review — including any cross-reference to the CDPHE enforcement action in Colorado — the renewal could be delayed or conditioned. The Casper facility employs approximately 68 people and is a primary hub for Wyoming operations.</w:t>
      </w:r>
    </w:p>
    <w:p>
      <w:pPr>
        <w:pStyle w:val="BodyText"/>
      </w:pPr>
      <w:r>
        <w:rPr>
          <w:b/>
          <w:bCs/>
        </w:rPr>
        <w:t xml:space="preserve">Recommended Action:</w:t>
      </w:r>
      <w:r>
        <w:t xml:space="preserve"> </w:t>
      </w:r>
      <w:r>
        <w:t xml:space="preserve">Confirm Wyoming DEQ’s receipt and completeness determination for the renewal application. Obtain a representation from Sellers that no issues have been raised by Wyoming DEQ in connection with the renewal. Consider a closing condition requiring renewal issuance or a specific indemnity for any costs arising from permit renewal delay.</w:t>
      </w:r>
    </w:p>
    <w:p>
      <w:r>
        <w:pict>
          <v:rect style="width:0;height:1.5pt" o:hralign="center" o:hrstd="t" o:hr="t"/>
        </w:pict>
      </w:r>
    </w:p>
    <w:bookmarkEnd w:id="32"/>
    <w:bookmarkStart w:id="33" w:name="Xdc8b70383fe04bbf91f3b4a9cef846313b2e646"/>
    <w:p>
      <w:pPr>
        <w:pStyle w:val="Heading4"/>
      </w:pPr>
      <w:r>
        <w:t xml:space="preserve">RF-09 | HIGH | Salt Lake City Permit Not Transferred — Operating Under Pinnacle’s Permit for 2+ Years</w:t>
      </w:r>
    </w:p>
    <w:p>
      <w:pPr>
        <w:pStyle w:val="FirstParagraph"/>
      </w:pPr>
      <w:r>
        <w:rPr>
          <w:b/>
          <w:bCs/>
        </w:rPr>
        <w:t xml:space="preserve">Source Documents:</w:t>
      </w:r>
      <w:r>
        <w:t xml:space="preserve"> </w:t>
      </w:r>
      <w:r>
        <w:t xml:space="preserve">Environmental Permit Schedule (§2.2); Real Property and Lease Schedule (§4.1); Litigation and Regulatory Summary (§III.C)</w:t>
      </w:r>
    </w:p>
    <w:p>
      <w:pPr>
        <w:pStyle w:val="BodyText"/>
      </w:pPr>
      <w:r>
        <w:rPr>
          <w:b/>
          <w:bCs/>
        </w:rPr>
        <w:t xml:space="preserve">Finding:</w:t>
      </w:r>
      <w:r>
        <w:t xml:space="preserve"> </w:t>
      </w:r>
      <w:r>
        <w:t xml:space="preserve">Utah Hazardous Waste Transfer Station Permit UTH-0441 for the Salt Lake City facility remains in the name of</w:t>
      </w:r>
      <w:r>
        <w:t xml:space="preserve"> </w:t>
      </w:r>
      <w:r>
        <w:rPr>
          <w:b/>
          <w:bCs/>
        </w:rPr>
        <w:t xml:space="preserve">Pinnacle Waste Solutions, LLC</w:t>
      </w:r>
      <w:r>
        <w:t xml:space="preserve"> </w:t>
      </w:r>
      <w:r>
        <w:t xml:space="preserve">— not RES — more than two and a half years after the March 2022 acquisition. The permit transfer application was initiated but remains pending with the Utah Division of Waste Management. Under Utah Administrative Code R315-3, permit modifications reflecting changes in ownership require Division approval before becoming effective. RES has been operating the facility under Pinnacle’s permit without formal authorization.</w:t>
      </w:r>
    </w:p>
    <w:p>
      <w:pPr>
        <w:pStyle w:val="BodyText"/>
      </w:pPr>
      <w:r>
        <w:rPr>
          <w:b/>
          <w:bCs/>
        </w:rPr>
        <w:t xml:space="preserve">Risk:</w:t>
      </w:r>
      <w:r>
        <w:t xml:space="preserve"> </w:t>
      </w:r>
      <w:r>
        <w:t xml:space="preserve">(1) Operating under an unapproved permit transfer is a regulatory violation that could result in enforcement action by the Utah Division of Waste Management. (2) The proposed acquisition of RES by Sycamore would constitute a further change in operational control, potentially requiring a new permit modification application. (3) The Salt Lake City facility serves approximately $16.2M of annual revenue (12.7% of total). Disruption to this facility’s permit status could materially impair operations.</w:t>
      </w:r>
    </w:p>
    <w:p>
      <w:pPr>
        <w:pStyle w:val="BodyText"/>
      </w:pPr>
      <w:r>
        <w:rPr>
          <w:b/>
          <w:bCs/>
        </w:rPr>
        <w:t xml:space="preserve">Recommended Action:</w:t>
      </w:r>
      <w:r>
        <w:t xml:space="preserve"> </w:t>
      </w:r>
      <w:r>
        <w:t xml:space="preserve">Require completion of the Utah permit transfer as a condition of closing, or obtain a written comfort letter from the Utah Division of Waste Management confirming no enforcement action is contemplated. Assess whether the Sycamore acquisition triggers a new permit modification requirement.</w:t>
      </w:r>
    </w:p>
    <w:p>
      <w:r>
        <w:pict>
          <v:rect style="width:0;height:1.5pt" o:hralign="center" o:hrstd="t" o:hr="t"/>
        </w:pict>
      </w:r>
    </w:p>
    <w:bookmarkEnd w:id="33"/>
    <w:bookmarkEnd w:id="34"/>
    <w:bookmarkStart w:id="38" w:name="Xd236d3d9ef0f188f242e6511477d2534c2e8363"/>
    <w:p>
      <w:pPr>
        <w:pStyle w:val="Heading3"/>
      </w:pPr>
      <w:r>
        <w:t xml:space="preserve">CATEGORY 3: COMMERCIAL / CUSTOMER CONCENTRATION</w:t>
      </w:r>
    </w:p>
    <w:p>
      <w:r>
        <w:pict>
          <v:rect style="width:0;height:1.5pt" o:hralign="center" o:hrstd="t" o:hr="t"/>
        </w:pict>
      </w:r>
    </w:p>
    <w:bookmarkStart w:id="35" w:name="Xd7bdfbbbf349a7dd1c8261ddc115b710904cd79"/>
    <w:p>
      <w:pPr>
        <w:pStyle w:val="Heading4"/>
      </w:pPr>
      <w:r>
        <w:t xml:space="preserve">RF-10 | CRITICAL | DOE IDIQ Ceiling Near Exhaustion — $12.1M Revenue Headwind in FY2025</w:t>
      </w:r>
    </w:p>
    <w:p>
      <w:pPr>
        <w:pStyle w:val="FirstParagraph"/>
      </w:pPr>
      <w:r>
        <w:rPr>
          <w:b/>
          <w:bCs/>
        </w:rPr>
        <w:t xml:space="preserve">Source Documents:</w:t>
      </w:r>
      <w:r>
        <w:t xml:space="preserve"> </w:t>
      </w:r>
      <w:r>
        <w:t xml:space="preserve">Customer Contract Summary (DOE IDIQ Utilization Analysis tab; Customer Concentration Summary tab); CIM (§VI.D)</w:t>
      </w:r>
    </w:p>
    <w:p>
      <w:pPr>
        <w:pStyle w:val="BodyText"/>
      </w:pPr>
      <w:r>
        <w:rPr>
          <w:b/>
          <w:bCs/>
        </w:rPr>
        <w:t xml:space="preserve">Finding:</w:t>
      </w:r>
      <w:r>
        <w:t xml:space="preserve"> </w:t>
      </w:r>
      <w:r>
        <w:t xml:space="preserve">The DOE IDIQ Contract (DE-EM-0005523) generated $24.4M in FY2024 TTM revenue (19.2% of total). However, the IDIQ ceiling of $45.0M is</w:t>
      </w:r>
      <w:r>
        <w:t xml:space="preserve"> </w:t>
      </w:r>
      <w:r>
        <w:rPr>
          <w:b/>
          <w:bCs/>
        </w:rPr>
        <w:t xml:space="preserve">72.7% consumed</w:t>
      </w:r>
      <w:r>
        <w:t xml:space="preserve"> </w:t>
      </w:r>
      <w:r>
        <w:t xml:space="preserve">($32.7M obligated) with only</w:t>
      </w:r>
      <w:r>
        <w:t xml:space="preserve"> </w:t>
      </w:r>
      <w:r>
        <w:rPr>
          <w:b/>
          <w:bCs/>
        </w:rPr>
        <w:t xml:space="preserve">$12.3M remaining</w:t>
      </w:r>
      <w:r>
        <w:t xml:space="preserve"> </w:t>
      </w:r>
      <w:r>
        <w:t xml:space="preserve">— yet the contract does not expire until August 31, 2026. At the current run rate of approximately $2.03M/month, the remaining ceiling will be</w:t>
      </w:r>
      <w:r>
        <w:t xml:space="preserve"> </w:t>
      </w:r>
      <w:r>
        <w:rPr>
          <w:b/>
          <w:bCs/>
        </w:rPr>
        <w:t xml:space="preserve">exhausted by approximately April–May 2025</w:t>
      </w:r>
      <w:r>
        <w:t xml:space="preserve"> </w:t>
      </w:r>
      <w:r>
        <w:t xml:space="preserve">— coinciding with the target closing date. After ceiling exhaustion, no new task orders can be issued under the existing contract without a ceiling modification.</w:t>
      </w:r>
    </w:p>
    <w:p>
      <w:pPr>
        <w:pStyle w:val="BodyText"/>
      </w:pPr>
      <w:r>
        <w:rPr>
          <w:b/>
          <w:bCs/>
        </w:rPr>
        <w:t xml:space="preserve">Risk:</w:t>
      </w:r>
      <w:r>
        <w:t xml:space="preserve"> </w:t>
      </w:r>
      <w:r>
        <w:t xml:space="preserve">If the ceiling is not increased (which requires a government contract modification and is not guaranteed), DOE revenue could decline from $24.4M (FY2024) to approximately $12.3M or less in FY2025 — a</w:t>
      </w:r>
      <w:r>
        <w:t xml:space="preserve"> </w:t>
      </w:r>
      <w:r>
        <w:rPr>
          <w:b/>
          <w:bCs/>
        </w:rPr>
        <w:t xml:space="preserve">$12.1M revenue headwind representing 9.5% of total revenue</w:t>
      </w:r>
      <w:r>
        <w:t xml:space="preserve">. This risk is not disclosed in the CIM, which presents the DOE relationship as providing</w:t>
      </w:r>
      <w:r>
        <w:t xml:space="preserve"> </w:t>
      </w:r>
      <w:r>
        <w:t xml:space="preserve">“</w:t>
      </w:r>
      <w:r>
        <w:t xml:space="preserve">substantial near-term revenue visibility.</w:t>
      </w:r>
      <w:r>
        <w:t xml:space="preserve">”</w:t>
      </w:r>
      <w:r>
        <w:t xml:space="preserve"> </w:t>
      </w:r>
      <w:r>
        <w:t xml:space="preserve">The LOI enterprise value is based on FY2024 TTM revenue and EBITDA that includes the full $24.4M DOE run rate.</w:t>
      </w:r>
    </w:p>
    <w:p>
      <w:pPr>
        <w:pStyle w:val="BodyText"/>
      </w:pPr>
      <w:r>
        <w:rPr>
          <w:b/>
          <w:bCs/>
        </w:rPr>
        <w:t xml:space="preserve">Additionally:</w:t>
      </w:r>
      <w:r>
        <w:t xml:space="preserve"> </w:t>
      </w:r>
      <w:r>
        <w:t xml:space="preserve">The contract is non-assignable under the Anti-Assignment Act (41 U.S.C. § 6305), and the contract’s Special Contract Requirements (Clause H-12) require written notification to the Contracting Officer within 30 days of any change in ownership. Failure to notify may be grounds for termination for default.</w:t>
      </w:r>
    </w:p>
    <w:p>
      <w:pPr>
        <w:pStyle w:val="BodyText"/>
      </w:pPr>
      <w:r>
        <w:rPr>
          <w:b/>
          <w:bCs/>
        </w:rPr>
        <w:t xml:space="preserve">Recommended Action:</w:t>
      </w:r>
      <w:r>
        <w:t xml:space="preserve"> </w:t>
      </w:r>
      <w:r>
        <w:t xml:space="preserve">Immediately engage with the DOE Contracting Officer to assess the likelihood and timeline of a ceiling modification or follow-on contract award. Adjust the valuation model to reflect a downside scenario in which DOE revenue declines to $12.3M in FY2025. Ensure the required ownership change notification is provided to the Contracting Officer at or before closing.</w:t>
      </w:r>
    </w:p>
    <w:p>
      <w:r>
        <w:pict>
          <v:rect style="width:0;height:1.5pt" o:hralign="center" o:hrstd="t" o:hr="t"/>
        </w:pict>
      </w:r>
    </w:p>
    <w:bookmarkEnd w:id="35"/>
    <w:bookmarkStart w:id="36" w:name="X62abfc29539da1f1921349bcfeade7803488d81"/>
    <w:p>
      <w:pPr>
        <w:pStyle w:val="Heading4"/>
      </w:pPr>
      <w:r>
        <w:t xml:space="preserve">RF-11 | HIGH | Salt Lake City Lease — Unresolved Assignment Creates Pre-Existing Default Risk</w:t>
      </w:r>
    </w:p>
    <w:p>
      <w:pPr>
        <w:pStyle w:val="FirstParagraph"/>
      </w:pPr>
      <w:r>
        <w:rPr>
          <w:b/>
          <w:bCs/>
        </w:rPr>
        <w:t xml:space="preserve">Source Documents:</w:t>
      </w:r>
      <w:r>
        <w:t xml:space="preserve"> </w:t>
      </w:r>
      <w:r>
        <w:t xml:space="preserve">Real Property and Lease Schedule (§4.1, §6); Customer Contract Summary (Customer Concentration Summary tab); Litigation and Regulatory Summary (§V.B)</w:t>
      </w:r>
    </w:p>
    <w:p>
      <w:pPr>
        <w:pStyle w:val="BodyText"/>
      </w:pPr>
      <w:r>
        <w:rPr>
          <w:b/>
          <w:bCs/>
        </w:rPr>
        <w:t xml:space="preserve">Finding:</w:t>
      </w:r>
      <w:r>
        <w:t xml:space="preserve"> </w:t>
      </w:r>
      <w:r>
        <w:t xml:space="preserve">The Salt Lake City Transfer Station lease (2100 West North Temple) was executed by Pinnacle Waste Solutions, LLC in 2019. Section 14 of the lease defines any change of control of the tenant as an assignment requiring landlord consent. RES requested consent from Wasatch Industrial Properties, LLC on April 12, 2022 —</w:t>
      </w:r>
      <w:r>
        <w:t xml:space="preserve"> </w:t>
      </w:r>
      <w:r>
        <w:rPr>
          <w:b/>
          <w:bCs/>
        </w:rPr>
        <w:t xml:space="preserve">over two and a half years ago</w:t>
      </w:r>
      <w:r>
        <w:t xml:space="preserve"> </w:t>
      </w:r>
      <w:r>
        <w:t xml:space="preserve">— and has received no written response. The landlord has accepted rent payments but has not formally consented. In November 2024, the landlord sent a lease compliance inquiry specifically referencing the consent-to-assignment clause.</w:t>
      </w:r>
    </w:p>
    <w:p>
      <w:pPr>
        <w:pStyle w:val="BodyText"/>
      </w:pPr>
      <w:r>
        <w:rPr>
          <w:b/>
          <w:bCs/>
        </w:rPr>
        <w:t xml:space="preserve">Risk:</w:t>
      </w:r>
      <w:r>
        <w:t xml:space="preserve"> </w:t>
      </w:r>
      <w:r>
        <w:t xml:space="preserve">(1) The unresolved assignment may constitute a pre-existing default under the lease. (2) The proposed Sycamore acquisition would constitute a</w:t>
      </w:r>
      <w:r>
        <w:t xml:space="preserve"> </w:t>
      </w:r>
      <w:r>
        <w:rPr>
          <w:b/>
          <w:bCs/>
        </w:rPr>
        <w:t xml:space="preserve">second change-of-control event</w:t>
      </w:r>
      <w:r>
        <w:t xml:space="preserve"> </w:t>
      </w:r>
      <w:r>
        <w:t xml:space="preserve">requiring a separate consent. (3) If the landlord refuses consent or declares a default, RES could lose the right to occupy the facility, disrupting approximately</w:t>
      </w:r>
      <w:r>
        <w:t xml:space="preserve"> </w:t>
      </w:r>
      <w:r>
        <w:rPr>
          <w:b/>
          <w:bCs/>
        </w:rPr>
        <w:t xml:space="preserve">$16.2M of annual revenue</w:t>
      </w:r>
      <w:r>
        <w:t xml:space="preserve"> </w:t>
      </w:r>
      <w:r>
        <w:t xml:space="preserve">(12.7% of total) and the operations of the Salt Lake City hazardous waste transfer station. (4) The facility also hosts the unresolved Utah permit (UTH-0441), compounding the risk.</w:t>
      </w:r>
    </w:p>
    <w:p>
      <w:pPr>
        <w:pStyle w:val="BodyText"/>
      </w:pPr>
      <w:r>
        <w:rPr>
          <w:b/>
          <w:bCs/>
        </w:rPr>
        <w:t xml:space="preserve">Recommended Action:</w:t>
      </w:r>
      <w:r>
        <w:t xml:space="preserve"> </w:t>
      </w:r>
      <w:r>
        <w:t xml:space="preserve">Obtain written landlord consent to both the existing Pinnacle-to-RES assignment and the proposed Sycamore acquisition as a condition of closing. If consent cannot be obtained, evaluate alternative facility options and the impact on revenue and operations.</w:t>
      </w:r>
    </w:p>
    <w:p>
      <w:r>
        <w:pict>
          <v:rect style="width:0;height:1.5pt" o:hralign="center" o:hrstd="t" o:hr="t"/>
        </w:pict>
      </w:r>
    </w:p>
    <w:bookmarkEnd w:id="36"/>
    <w:bookmarkStart w:id="37" w:name="Xd5eab39d1e28672f128cfc86d2b6dd284694157"/>
    <w:p>
      <w:pPr>
        <w:pStyle w:val="Heading4"/>
      </w:pPr>
      <w:r>
        <w:t xml:space="preserve">RF-12 | HIGH | Customer Concentration — Top 5 Customers = 50.4% of Revenue; Multiple Contracts Have Change-of-Control Provisions</w:t>
      </w:r>
    </w:p>
    <w:p>
      <w:pPr>
        <w:pStyle w:val="FirstParagraph"/>
      </w:pPr>
      <w:r>
        <w:rPr>
          <w:b/>
          <w:bCs/>
        </w:rPr>
        <w:t xml:space="preserve">Source Documents:</w:t>
      </w:r>
      <w:r>
        <w:t xml:space="preserve"> </w:t>
      </w:r>
      <w:r>
        <w:t xml:space="preserve">Customer Contract Summary (Customer Concentration Summary tab; Top 20 Customers tab)</w:t>
      </w:r>
    </w:p>
    <w:p>
      <w:pPr>
        <w:pStyle w:val="BodyText"/>
      </w:pPr>
      <w:r>
        <w:rPr>
          <w:b/>
          <w:bCs/>
        </w:rPr>
        <w:t xml:space="preserve">Finding:</w:t>
      </w:r>
      <w:r>
        <w:t xml:space="preserve"> </w:t>
      </w:r>
      <w:r>
        <w:t xml:space="preserve">The top 5 customers account for</w:t>
      </w:r>
      <w:r>
        <w:t xml:space="preserve"> </w:t>
      </w:r>
      <w:r>
        <w:rPr>
          <w:b/>
          <w:bCs/>
        </w:rPr>
        <w:t xml:space="preserve">50.4% of TTM revenue</w:t>
      </w:r>
      <w:r>
        <w:t xml:space="preserve"> </w:t>
      </w:r>
      <w:r>
        <w:t xml:space="preserve">($64.1M of $127.3M). Eight of the top 20 customer contracts contain assignment, change-of-control, or notification provisions, including:</w:t>
      </w:r>
    </w:p>
    <w:p>
      <w:pPr>
        <w:pStyle w:val="Compact"/>
        <w:numPr>
          <w:ilvl w:val="0"/>
          <w:numId w:val="1005"/>
        </w:numPr>
      </w:pPr>
      <w:r>
        <w:rPr>
          <w:b/>
          <w:bCs/>
        </w:rPr>
        <w:t xml:space="preserve">DOE</w:t>
      </w:r>
      <w:r>
        <w:t xml:space="preserve"> </w:t>
      </w:r>
      <w:r>
        <w:t xml:space="preserve">(non-assignable; novation may be required)</w:t>
      </w:r>
    </w:p>
    <w:p>
      <w:pPr>
        <w:pStyle w:val="Compact"/>
        <w:numPr>
          <w:ilvl w:val="0"/>
          <w:numId w:val="1005"/>
        </w:numPr>
      </w:pPr>
      <w:r>
        <w:rPr>
          <w:b/>
          <w:bCs/>
        </w:rPr>
        <w:t xml:space="preserve">Intermountain Health Systems</w:t>
      </w:r>
      <w:r>
        <w:t xml:space="preserve"> </w:t>
      </w:r>
      <w:r>
        <w:t xml:space="preserve">($7.1M; consent required; renewal decision pending February 2025)</w:t>
      </w:r>
    </w:p>
    <w:p>
      <w:pPr>
        <w:pStyle w:val="Compact"/>
        <w:numPr>
          <w:ilvl w:val="0"/>
          <w:numId w:val="1005"/>
        </w:numPr>
      </w:pPr>
      <w:r>
        <w:rPr>
          <w:b/>
          <w:bCs/>
        </w:rPr>
        <w:t xml:space="preserve">Rocky Mountain Pipeline Systems</w:t>
      </w:r>
      <w:r>
        <w:t xml:space="preserve"> </w:t>
      </w:r>
      <w:r>
        <w:t xml:space="preserve">($4.2M; consent required)</w:t>
      </w:r>
    </w:p>
    <w:p>
      <w:pPr>
        <w:pStyle w:val="Compact"/>
        <w:numPr>
          <w:ilvl w:val="0"/>
          <w:numId w:val="1005"/>
        </w:numPr>
      </w:pPr>
      <w:r>
        <w:rPr>
          <w:b/>
          <w:bCs/>
        </w:rPr>
        <w:t xml:space="preserve">Colorado DOT</w:t>
      </w:r>
      <w:r>
        <w:t xml:space="preserve"> </w:t>
      </w:r>
      <w:r>
        <w:t xml:space="preserve">($3.9M; consent required)</w:t>
      </w:r>
    </w:p>
    <w:p>
      <w:pPr>
        <w:pStyle w:val="Compact"/>
        <w:numPr>
          <w:ilvl w:val="0"/>
          <w:numId w:val="1005"/>
        </w:numPr>
      </w:pPr>
      <w:r>
        <w:rPr>
          <w:b/>
          <w:bCs/>
        </w:rPr>
        <w:t xml:space="preserve">Utah DEQ</w:t>
      </w:r>
      <w:r>
        <w:t xml:space="preserve"> </w:t>
      </w:r>
      <w:r>
        <w:t xml:space="preserve">($4.6M; state termination right if change materially affects contractor qualifications)</w:t>
      </w:r>
    </w:p>
    <w:p>
      <w:pPr>
        <w:pStyle w:val="FirstParagraph"/>
      </w:pPr>
      <w:r>
        <w:t xml:space="preserve">Additionally, 12 of the top 20 contracts include termination for convenience clauses with notice periods of 60 days or less, representing significant revenue volatility risk.</w:t>
      </w:r>
    </w:p>
    <w:p>
      <w:pPr>
        <w:pStyle w:val="BodyText"/>
      </w:pPr>
      <w:r>
        <w:rPr>
          <w:b/>
          <w:bCs/>
        </w:rPr>
        <w:t xml:space="preserve">Risk:</w:t>
      </w:r>
      <w:r>
        <w:t xml:space="preserve"> </w:t>
      </w:r>
      <w:r>
        <w:t xml:space="preserve">The proposed acquisition could trigger consent requirements or notification obligations across multiple material customer contracts simultaneously. Failure to manage this process could result in contract terminations or renegotiations at closing.</w:t>
      </w:r>
    </w:p>
    <w:p>
      <w:pPr>
        <w:pStyle w:val="BodyText"/>
      </w:pPr>
      <w:r>
        <w:rPr>
          <w:b/>
          <w:bCs/>
        </w:rPr>
        <w:t xml:space="preserve">Recommended Action:</w:t>
      </w:r>
      <w:r>
        <w:t xml:space="preserve"> </w:t>
      </w:r>
      <w:r>
        <w:t xml:space="preserve">Conduct a systematic review of all material customer contracts for change-of-control and assignment provisions. Develop a pre-closing customer notification and consent strategy. Prioritize outreach to DOE, Intermountain Health, Rocky Mountain Pipeline, and Colorado DOT.</w:t>
      </w:r>
    </w:p>
    <w:p>
      <w:r>
        <w:pict>
          <v:rect style="width:0;height:1.5pt" o:hralign="center" o:hrstd="t" o:hr="t"/>
        </w:pict>
      </w:r>
    </w:p>
    <w:bookmarkEnd w:id="37"/>
    <w:bookmarkEnd w:id="38"/>
    <w:bookmarkStart w:id="42" w:name="category-4-legal-litigation"/>
    <w:p>
      <w:pPr>
        <w:pStyle w:val="Heading3"/>
      </w:pPr>
      <w:r>
        <w:t xml:space="preserve">CATEGORY 4: LEGAL &amp; LITIGATION</w:t>
      </w:r>
    </w:p>
    <w:p>
      <w:r>
        <w:pict>
          <v:rect style="width:0;height:1.5pt" o:hralign="center" o:hrstd="t" o:hr="t"/>
        </w:pict>
      </w:r>
    </w:p>
    <w:bookmarkStart w:id="39" w:name="Xc94f1e1016652ed61233fac9cfa000d564afee2"/>
    <w:p>
      <w:pPr>
        <w:pStyle w:val="Heading4"/>
      </w:pPr>
      <w:r>
        <w:t xml:space="preserve">RF-13 | HIGH | Ramirez Personal Injury Lawsuit — $4.8M Claim, Insurance Coverage Uncertain</w:t>
      </w:r>
    </w:p>
    <w:p>
      <w:pPr>
        <w:pStyle w:val="FirstParagraph"/>
      </w:pPr>
      <w:r>
        <w:rPr>
          <w:b/>
          <w:bCs/>
        </w:rPr>
        <w:t xml:space="preserve">Source Documents:</w:t>
      </w:r>
      <w:r>
        <w:t xml:space="preserve"> </w:t>
      </w:r>
      <w:r>
        <w:t xml:space="preserve">Litigation and Regulatory Summary (§II.B); Insurance Program Summary (§2, §7)</w:t>
      </w:r>
    </w:p>
    <w:p>
      <w:pPr>
        <w:pStyle w:val="BodyText"/>
      </w:pPr>
      <w:r>
        <w:rPr>
          <w:b/>
          <w:bCs/>
        </w:rPr>
        <w:t xml:space="preserve">Finding:</w:t>
      </w:r>
      <w:r>
        <w:t xml:space="preserve"> </w:t>
      </w:r>
      <w:r>
        <w:t xml:space="preserve">Miguel Ramirez, a former field technician, filed a personal injury action (Case No. 2:24-cv-00187, D. Wyo.) on August 12, 2024, alleging exposure to VOCs and heavy metals at a Sheridan, Wyoming job site without adequate PPE or air monitoring. Damages sought:</w:t>
      </w:r>
      <w:r>
        <w:t xml:space="preserve"> </w:t>
      </w:r>
      <w:r>
        <w:rPr>
          <w:b/>
          <w:bCs/>
        </w:rPr>
        <w:t xml:space="preserve">$4.8M</w:t>
      </w:r>
      <w:r>
        <w:t xml:space="preserve"> </w:t>
      </w:r>
      <w:r>
        <w:t xml:space="preserve">(including punitive damages). The insurer (Frontier Specialty Insurance Group) has issued a</w:t>
      </w:r>
      <w:r>
        <w:t xml:space="preserve"> </w:t>
      </w:r>
      <w:r>
        <w:rPr>
          <w:b/>
          <w:bCs/>
        </w:rPr>
        <w:t xml:space="preserve">reservation of rights letter</w:t>
      </w:r>
      <w:r>
        <w:t xml:space="preserve"> </w:t>
      </w:r>
      <w:r>
        <w:t xml:space="preserve">dated September 19, 2024, and coverage determination remains pending. Management’s estimated exposure is $500K–$1.5M. No accrual has been recorded.</w:t>
      </w:r>
    </w:p>
    <w:p>
      <w:pPr>
        <w:pStyle w:val="BodyText"/>
      </w:pPr>
      <w:r>
        <w:rPr>
          <w:b/>
          <w:bCs/>
        </w:rPr>
        <w:t xml:space="preserve">Risk:</w:t>
      </w:r>
      <w:r>
        <w:t xml:space="preserve"> </w:t>
      </w:r>
      <w:r>
        <w:t xml:space="preserve">(1) If coverage is denied under both the CGL and pollution liability policies, the Company faces uninsured exposure of up to $4.8M. (2) The claim involves allegations of OSHA non-compliance, which could trigger regulatory scrutiny. (3) The reservation of rights letter signals the insurer is evaluating coverage defenses. (4) The case has a trial date of February 2026 — post-closing.</w:t>
      </w:r>
    </w:p>
    <w:p>
      <w:pPr>
        <w:pStyle w:val="BodyText"/>
      </w:pPr>
      <w:r>
        <w:rPr>
          <w:b/>
          <w:bCs/>
        </w:rPr>
        <w:t xml:space="preserve">Recommended Action:</w:t>
      </w:r>
      <w:r>
        <w:t xml:space="preserve"> </w:t>
      </w:r>
      <w:r>
        <w:t xml:space="preserve">Require Sellers to provide a specific indemnity for the Ramirez matter, with escrow support. Obtain an independent coverage opinion on the reservation of rights. Confirm that the matter is disclosed in the SPA representations and warranties.</w:t>
      </w:r>
    </w:p>
    <w:p>
      <w:r>
        <w:pict>
          <v:rect style="width:0;height:1.5pt" o:hralign="center" o:hrstd="t" o:hr="t"/>
        </w:pict>
      </w:r>
    </w:p>
    <w:bookmarkEnd w:id="39"/>
    <w:bookmarkStart w:id="40" w:name="X072a7b23dce5d4b7147116dd59deed890ade87e"/>
    <w:p>
      <w:pPr>
        <w:pStyle w:val="Heading4"/>
      </w:pPr>
      <w:r>
        <w:t xml:space="preserve">RF-14 | HIGH | Asbestos Long-Tail Exposure — Pre-2015 Work Uninsured; 145 Sites Over 11 Years</w:t>
      </w:r>
    </w:p>
    <w:p>
      <w:pPr>
        <w:pStyle w:val="FirstParagraph"/>
      </w:pPr>
      <w:r>
        <w:rPr>
          <w:b/>
          <w:bCs/>
        </w:rPr>
        <w:t xml:space="preserve">Source Documents:</w:t>
      </w:r>
      <w:r>
        <w:t xml:space="preserve"> </w:t>
      </w:r>
      <w:r>
        <w:t xml:space="preserve">Litigation and Regulatory Summary (§VI.B); Insurance Program Summary (§4); QofE Data Request Response (Service Line Detail tab)</w:t>
      </w:r>
    </w:p>
    <w:p>
      <w:pPr>
        <w:pStyle w:val="BodyText"/>
      </w:pPr>
      <w:r>
        <w:rPr>
          <w:b/>
          <w:bCs/>
        </w:rPr>
        <w:t xml:space="preserve">Finding:</w:t>
      </w:r>
      <w:r>
        <w:t xml:space="preserve"> </w:t>
      </w:r>
      <w:r>
        <w:t xml:space="preserve">RES operated an asbestos abatement service line from 2012 through September 30, 2023, performing work at approximately</w:t>
      </w:r>
      <w:r>
        <w:t xml:space="preserve"> </w:t>
      </w:r>
      <w:r>
        <w:rPr>
          <w:b/>
          <w:bCs/>
        </w:rPr>
        <w:t xml:space="preserve">145 commercial and industrial sites</w:t>
      </w:r>
      <w:r>
        <w:t xml:space="preserve"> </w:t>
      </w:r>
      <w:r>
        <w:t xml:space="preserve">across Colorado, Utah, and Wyoming. The current Pollution Legal Liability policy has a</w:t>
      </w:r>
      <w:r>
        <w:t xml:space="preserve"> </w:t>
      </w:r>
      <w:r>
        <w:rPr>
          <w:b/>
          <w:bCs/>
        </w:rPr>
        <w:t xml:space="preserve">retroactive date of January 1, 2015</w:t>
      </w:r>
      <w:r>
        <w:t xml:space="preserve">, meaning work performed from 2012 through 2014 is</w:t>
      </w:r>
      <w:r>
        <w:t xml:space="preserve"> </w:t>
      </w:r>
      <w:r>
        <w:rPr>
          <w:b/>
          <w:bCs/>
        </w:rPr>
        <w:t xml:space="preserve">not covered</w:t>
      </w:r>
      <w:r>
        <w:t xml:space="preserve"> </w:t>
      </w:r>
      <w:r>
        <w:t xml:space="preserve">under the current policy. No tail coverage or extended completed operations coverage for asbestos-related work has been procured. Two workers’ compensation claims from former asbestos employees remain open (filed 2021 and 2022), alleging occupational respiratory exposure.</w:t>
      </w:r>
    </w:p>
    <w:p>
      <w:pPr>
        <w:pStyle w:val="BodyText"/>
      </w:pPr>
      <w:r>
        <w:rPr>
          <w:b/>
          <w:bCs/>
        </w:rPr>
        <w:t xml:space="preserve">Risk:</w:t>
      </w:r>
      <w:r>
        <w:t xml:space="preserve"> </w:t>
      </w:r>
      <w:r>
        <w:t xml:space="preserve">Asbestos-related personal injury claims are notoriously long-tail in nature, with latency periods of 10–40 years for mesothelioma and other asbestos-related diseases. While management characterizes the probability of future claims as Remote, the 11-year operating history across 145 sites creates a non-trivial exposure. Claims arising from pre-2015 work would be uninsured.</w:t>
      </w:r>
    </w:p>
    <w:p>
      <w:pPr>
        <w:pStyle w:val="BodyText"/>
      </w:pPr>
      <w:r>
        <w:rPr>
          <w:b/>
          <w:bCs/>
        </w:rPr>
        <w:t xml:space="preserve">Recommended Action:</w:t>
      </w:r>
      <w:r>
        <w:t xml:space="preserve"> </w:t>
      </w:r>
      <w:r>
        <w:t xml:space="preserve">Require Sellers to obtain an asbestos-specific tail policy covering the 2012–2014 period as a condition of closing, or negotiate a specific indemnity with escrow support for asbestos-related claims. Obtain a legal opinion on the scope of potential exposure.</w:t>
      </w:r>
    </w:p>
    <w:p>
      <w:r>
        <w:pict>
          <v:rect style="width:0;height:1.5pt" o:hralign="center" o:hrstd="t" o:hr="t"/>
        </w:pict>
      </w:r>
    </w:p>
    <w:bookmarkEnd w:id="40"/>
    <w:bookmarkStart w:id="41" w:name="X599cc178cebd78e04d52a3ba501ba8a83ae24c3"/>
    <w:p>
      <w:pPr>
        <w:pStyle w:val="Heading4"/>
      </w:pPr>
      <w:r>
        <w:t xml:space="preserve">RF-15 | MEDIUM | FLSA Wage Claim — Former Asbestos Employees; $330K Claimed</w:t>
      </w:r>
    </w:p>
    <w:p>
      <w:pPr>
        <w:pStyle w:val="FirstParagraph"/>
      </w:pPr>
      <w:r>
        <w:rPr>
          <w:b/>
          <w:bCs/>
        </w:rPr>
        <w:t xml:space="preserve">Source Documents:</w:t>
      </w:r>
      <w:r>
        <w:t xml:space="preserve"> </w:t>
      </w:r>
      <w:r>
        <w:t xml:space="preserve">Litigation and Regulatory Summary (§V.A)</w:t>
      </w:r>
    </w:p>
    <w:p>
      <w:pPr>
        <w:pStyle w:val="BodyText"/>
      </w:pPr>
      <w:r>
        <w:rPr>
          <w:b/>
          <w:bCs/>
        </w:rPr>
        <w:t xml:space="preserve">Finding:</w:t>
      </w:r>
      <w:r>
        <w:t xml:space="preserve"> </w:t>
      </w:r>
      <w:r>
        <w:t xml:space="preserve">In October 2024, RES received a demand letter from counsel representing approximately 8 former field technicians terminated in connection with the asbestos abatement wind-down, alleging unpaid overtime under the FLSA and Colorado COMPS Order. Total claimed exposure: approximately</w:t>
      </w:r>
      <w:r>
        <w:t xml:space="preserve"> </w:t>
      </w:r>
      <w:r>
        <w:rPr>
          <w:b/>
          <w:bCs/>
        </w:rPr>
        <w:t xml:space="preserve">$330K</w:t>
      </w:r>
      <w:r>
        <w:t xml:space="preserve"> </w:t>
      </w:r>
      <w:r>
        <w:t xml:space="preserve">(including liquidated damages). No lawsuit has been filed. Management’s estimated exposure is $100K–$200K.</w:t>
      </w:r>
    </w:p>
    <w:p>
      <w:pPr>
        <w:pStyle w:val="BodyText"/>
      </w:pPr>
      <w:r>
        <w:rPr>
          <w:b/>
          <w:bCs/>
        </w:rPr>
        <w:t xml:space="preserve">Risk:</w:t>
      </w:r>
      <w:r>
        <w:t xml:space="preserve"> </w:t>
      </w:r>
      <w:r>
        <w:t xml:space="preserve">While the dollar amount is relatively modest, the claim arises from the same asbestos wind-down that generated the $1.8M EBITDA add-back. If a lawsuit is filed and the motor carrier exemption defense is unsuccessful, the Company faces double damages under the FLSA. The matter is unaccrued.</w:t>
      </w:r>
    </w:p>
    <w:p>
      <w:pPr>
        <w:pStyle w:val="BodyText"/>
      </w:pPr>
      <w:r>
        <w:rPr>
          <w:b/>
          <w:bCs/>
        </w:rPr>
        <w:t xml:space="preserve">Recommended Action:</w:t>
      </w:r>
      <w:r>
        <w:t xml:space="preserve"> </w:t>
      </w:r>
      <w:r>
        <w:t xml:space="preserve">Include in the SPA representations and warranties. Require Sellers to indemnify for any amounts in excess of $100K. Monitor for lawsuit filing before closing.</w:t>
      </w:r>
    </w:p>
    <w:p>
      <w:r>
        <w:pict>
          <v:rect style="width:0;height:1.5pt" o:hralign="center" o:hrstd="t" o:hr="t"/>
        </w:pict>
      </w:r>
    </w:p>
    <w:bookmarkEnd w:id="41"/>
    <w:bookmarkEnd w:id="42"/>
    <w:bookmarkStart w:id="44" w:name="category-5-operational-asset-condition"/>
    <w:p>
      <w:pPr>
        <w:pStyle w:val="Heading3"/>
      </w:pPr>
      <w:r>
        <w:t xml:space="preserve">CATEGORY 5: OPERATIONAL &amp; ASSET CONDITION</w:t>
      </w:r>
    </w:p>
    <w:p>
      <w:r>
        <w:pict>
          <v:rect style="width:0;height:1.5pt" o:hralign="center" o:hrstd="t" o:hr="t"/>
        </w:pict>
      </w:r>
    </w:p>
    <w:bookmarkStart w:id="43" w:name="Xdaac78547fb50866696cf7f3ebf76b906bee15a"/>
    <w:p>
      <w:pPr>
        <w:pStyle w:val="Heading4"/>
      </w:pPr>
      <w:r>
        <w:t xml:space="preserve">RF-16 | HIGH | NLRB Unionization Petition — 62 Field Technicians at Grand Junction and Casper</w:t>
      </w:r>
    </w:p>
    <w:p>
      <w:pPr>
        <w:pStyle w:val="FirstParagraph"/>
      </w:pPr>
      <w:r>
        <w:rPr>
          <w:b/>
          <w:bCs/>
        </w:rPr>
        <w:t xml:space="preserve">Source Documents:</w:t>
      </w:r>
      <w:r>
        <w:t xml:space="preserve"> </w:t>
      </w:r>
      <w:r>
        <w:t xml:space="preserve">Employee Benefits Summary (§7, footnote 1)</w:t>
      </w:r>
    </w:p>
    <w:p>
      <w:pPr>
        <w:pStyle w:val="BodyText"/>
      </w:pPr>
      <w:r>
        <w:rPr>
          <w:b/>
          <w:bCs/>
        </w:rPr>
        <w:t xml:space="preserve">Finding:</w:t>
      </w:r>
      <w:r>
        <w:t xml:space="preserve"> </w:t>
      </w:r>
      <w:r>
        <w:t xml:space="preserve">A footnote in the Employee Benefits Summary discloses that on</w:t>
      </w:r>
      <w:r>
        <w:t xml:space="preserve"> </w:t>
      </w:r>
      <w:r>
        <w:rPr>
          <w:b/>
          <w:bCs/>
        </w:rPr>
        <w:t xml:space="preserve">November 4, 2024</w:t>
      </w:r>
      <w:r>
        <w:t xml:space="preserve">, the International Brotherhood of Teamsters Local 455 filed an NLRB election petition covering</w:t>
      </w:r>
      <w:r>
        <w:t xml:space="preserve"> </w:t>
      </w:r>
      <w:r>
        <w:rPr>
          <w:b/>
          <w:bCs/>
        </w:rPr>
        <w:t xml:space="preserve">62 field technicians</w:t>
      </w:r>
      <w:r>
        <w:t xml:space="preserve"> </w:t>
      </w:r>
      <w:r>
        <w:t xml:space="preserve">at the Grand Junction and Casper facilities — the Company’s two largest operational hubs. The CIM represents the workforce as</w:t>
      </w:r>
      <w:r>
        <w:t xml:space="preserve"> </w:t>
      </w:r>
      <w:r>
        <w:t xml:space="preserve">“</w:t>
      </w:r>
      <w:r>
        <w:t xml:space="preserve">entirely non-unionized</w:t>
      </w:r>
      <w:r>
        <w:t xml:space="preserve">”</w:t>
      </w:r>
      <w:r>
        <w:t xml:space="preserve"> </w:t>
      </w:r>
      <w:r>
        <w:t xml:space="preserve">and cites this as a competitive advantage. This disclosure appears only in a footnote and is not addressed in the CIM or the LOI.</w:t>
      </w:r>
    </w:p>
    <w:p>
      <w:pPr>
        <w:pStyle w:val="BodyText"/>
      </w:pPr>
      <w:r>
        <w:rPr>
          <w:b/>
          <w:bCs/>
        </w:rPr>
        <w:t xml:space="preserve">Risk:</w:t>
      </w:r>
      <w:r>
        <w:t xml:space="preserve"> </w:t>
      </w:r>
      <w:r>
        <w:t xml:space="preserve">(1) If the election proceeds and the union wins, the Company would be required to bargain collectively with the Teamsters, potentially increasing labor costs and reducing operational flexibility. (2) The pending petition may affect employee morale and retention during the transaction process. (3) The CIM’s representation of a non-unionized workforce is materially misleading given the pending petition. (4) The LOI’s pre-closing operating covenant restricts the Company from entering into new employment agreements without Buyer consent — the Company’s response to the petition must be coordinated with Buyer.</w:t>
      </w:r>
    </w:p>
    <w:p>
      <w:pPr>
        <w:pStyle w:val="BodyText"/>
      </w:pPr>
      <w:r>
        <w:rPr>
          <w:b/>
          <w:bCs/>
        </w:rPr>
        <w:t xml:space="preserve">Recommended Action:</w:t>
      </w:r>
      <w:r>
        <w:t xml:space="preserve"> </w:t>
      </w:r>
      <w:r>
        <w:t xml:space="preserve">Require immediate disclosure of the NLRB petition status and the Company’s response strategy. Assess the potential financial impact of unionization on labor costs and operational flexibility. Include the petition as a specific disclosure in the SPA and negotiate appropriate representations and covenants.</w:t>
      </w:r>
    </w:p>
    <w:p>
      <w:r>
        <w:pict>
          <v:rect style="width:0;height:1.5pt" o:hralign="center" o:hrstd="t" o:hr="t"/>
        </w:pict>
      </w:r>
    </w:p>
    <w:bookmarkEnd w:id="43"/>
    <w:bookmarkEnd w:id="44"/>
    <w:bookmarkStart w:id="46" w:name="Xb4f30f142504cc57b495e8f5bf96e17ff0e738c"/>
    <w:p>
      <w:pPr>
        <w:pStyle w:val="Heading3"/>
      </w:pPr>
      <w:r>
        <w:t xml:space="preserve">CATEGORY 6: STRUCTURAL / TRANSACTION MECHANICS</w:t>
      </w:r>
    </w:p>
    <w:p>
      <w:r>
        <w:pict>
          <v:rect style="width:0;height:1.5pt" o:hralign="center" o:hrstd="t" o:hr="t"/>
        </w:pict>
      </w:r>
    </w:p>
    <w:bookmarkStart w:id="45" w:name="X97475bf90d737fb3ee65e9cb0b1ba302e885f7d"/>
    <w:p>
      <w:pPr>
        <w:pStyle w:val="Heading4"/>
      </w:pPr>
      <w:r>
        <w:t xml:space="preserve">RF-17 | CRITICAL | $3.775M Change-of-Control Severance — $2.625M Single-Trigger, Unaddressed in LOI</w:t>
      </w:r>
    </w:p>
    <w:p>
      <w:pPr>
        <w:pStyle w:val="FirstParagraph"/>
      </w:pPr>
      <w:r>
        <w:rPr>
          <w:b/>
          <w:bCs/>
        </w:rPr>
        <w:t xml:space="preserve">Source Documents:</w:t>
      </w:r>
      <w:r>
        <w:t xml:space="preserve"> </w:t>
      </w:r>
      <w:r>
        <w:t xml:space="preserve">Employment Agreements Summary (§2, §8); QofE Data Request Response (Executive Compensation tab); LOI (§4(c))</w:t>
      </w:r>
    </w:p>
    <w:p>
      <w:pPr>
        <w:pStyle w:val="BodyText"/>
      </w:pPr>
      <w:r>
        <w:rPr>
          <w:b/>
          <w:bCs/>
        </w:rPr>
        <w:t xml:space="preserve">Finding:</w:t>
      </w:r>
      <w:r>
        <w:t xml:space="preserve"> </w:t>
      </w:r>
      <w:r>
        <w:t xml:space="preserve">All five executive employment agreements define</w:t>
      </w:r>
      <w:r>
        <w:t xml:space="preserve"> </w:t>
      </w:r>
      <w:r>
        <w:t xml:space="preserve">“</w:t>
      </w:r>
      <w:r>
        <w:t xml:space="preserve">Change of Control</w:t>
      </w:r>
      <w:r>
        <w:t xml:space="preserve">”</w:t>
      </w:r>
      <w:r>
        <w:t xml:space="preserve"> </w:t>
      </w:r>
      <w:r>
        <w:t xml:space="preserve">to include a stock sale of greater than 50% of outstanding equity — directly triggered by the proposed 100% acquisition. Total aggregate severance:</w:t>
      </w:r>
      <w:r>
        <w:t xml:space="preserve"> </w:t>
      </w:r>
      <w:r>
        <w:rPr>
          <w:b/>
          <w:bCs/>
        </w:rPr>
        <w:t xml:space="preserve">$3.775M</w:t>
      </w:r>
      <w:r>
        <w:t xml:space="preserve">:</w:t>
      </w:r>
    </w:p>
    <w:p>
      <w:pPr>
        <w:pStyle w:val="Compact"/>
        <w:numPr>
          <w:ilvl w:val="0"/>
          <w:numId w:val="1006"/>
        </w:numPr>
      </w:pPr>
      <w:r>
        <w:t xml:space="preserve">Derek Calloway (CEO):</w:t>
      </w:r>
      <w:r>
        <w:t xml:space="preserve"> </w:t>
      </w:r>
      <w:r>
        <w:rPr>
          <w:b/>
          <w:bCs/>
        </w:rPr>
        <w:t xml:space="preserve">$1.3125M — single trigger</w:t>
      </w:r>
      <w:r>
        <w:t xml:space="preserve"> </w:t>
      </w:r>
      <w:r>
        <w:t xml:space="preserve">(payable within 30 days of closing regardless of continued employment)</w:t>
      </w:r>
    </w:p>
    <w:p>
      <w:pPr>
        <w:pStyle w:val="Compact"/>
        <w:numPr>
          <w:ilvl w:val="0"/>
          <w:numId w:val="1006"/>
        </w:numPr>
      </w:pPr>
      <w:r>
        <w:t xml:space="preserve">Jason Calloway (COO):</w:t>
      </w:r>
      <w:r>
        <w:t xml:space="preserve"> </w:t>
      </w:r>
      <w:r>
        <w:rPr>
          <w:b/>
          <w:bCs/>
        </w:rPr>
        <w:t xml:space="preserve">$1.3125M — single trigger</w:t>
      </w:r>
      <w:r>
        <w:t xml:space="preserve"> </w:t>
      </w:r>
      <w:r>
        <w:t xml:space="preserve">(same terms)</w:t>
      </w:r>
    </w:p>
    <w:p>
      <w:pPr>
        <w:pStyle w:val="Compact"/>
        <w:numPr>
          <w:ilvl w:val="0"/>
          <w:numId w:val="1006"/>
        </w:numPr>
      </w:pPr>
      <w:r>
        <w:t xml:space="preserve">Patricia Engel (CFO): $425K — double trigger</w:t>
      </w:r>
    </w:p>
    <w:p>
      <w:pPr>
        <w:pStyle w:val="Compact"/>
        <w:numPr>
          <w:ilvl w:val="0"/>
          <w:numId w:val="1006"/>
        </w:numPr>
      </w:pPr>
      <w:r>
        <w:t xml:space="preserve">Kurt Dillon (VP Ops): $375K — double trigger</w:t>
      </w:r>
    </w:p>
    <w:p>
      <w:pPr>
        <w:pStyle w:val="Compact"/>
        <w:numPr>
          <w:ilvl w:val="0"/>
          <w:numId w:val="1006"/>
        </w:numPr>
      </w:pPr>
      <w:r>
        <w:t xml:space="preserve">Sandra Oakes (VP BD): $350K — double trigger</w:t>
      </w:r>
    </w:p>
    <w:p>
      <w:pPr>
        <w:pStyle w:val="FirstParagraph"/>
      </w:pPr>
      <w:r>
        <w:t xml:space="preserve">The LOI’s definition of</w:t>
      </w:r>
      <w:r>
        <w:t xml:space="preserve"> </w:t>
      </w:r>
      <w:r>
        <w:t xml:space="preserve">“</w:t>
      </w:r>
      <w:r>
        <w:t xml:space="preserve">Transaction Expenses</w:t>
      </w:r>
      <w:r>
        <w:t xml:space="preserve">”</w:t>
      </w:r>
      <w:r>
        <w:t xml:space="preserve"> </w:t>
      </w:r>
      <w:r>
        <w:t xml:space="preserve">does not explicitly address change-of-control severance payments. The Employment Agreements Summary notes that</w:t>
      </w:r>
      <w:r>
        <w:t xml:space="preserve"> </w:t>
      </w:r>
      <w:r>
        <w:t xml:space="preserve">“</w:t>
      </w:r>
      <w:r>
        <w:t xml:space="preserve">the treatment of change-of-control severance obligations under the proposed transaction’s purchase price mechanism — including whether such amounts constitute</w:t>
      </w:r>
      <w:r>
        <w:t xml:space="preserve"> </w:t>
      </w:r>
      <w:r>
        <w:t xml:space="preserve">‘</w:t>
      </w:r>
      <w:r>
        <w:t xml:space="preserve">Transaction Expenses</w:t>
      </w:r>
      <w:r>
        <w:t xml:space="preserve">’</w:t>
      </w:r>
      <w:r>
        <w:t xml:space="preserve"> </w:t>
      </w:r>
      <w:r>
        <w:t xml:space="preserve">— should be confirmed by the parties’ respective counsel.</w:t>
      </w:r>
      <w:r>
        <w:t xml:space="preserve">”</w:t>
      </w:r>
      <w:r>
        <w:t xml:space="preserve"> </w:t>
      </w:r>
      <w:r>
        <w:t xml:space="preserve">No such confirmation has been provided.</w:t>
      </w:r>
    </w:p>
    <w:p>
      <w:pPr>
        <w:pStyle w:val="BodyText"/>
      </w:pPr>
      <w:r>
        <w:rPr>
          <w:b/>
          <w:bCs/>
        </w:rPr>
        <w:t xml:space="preserve">Risk:</w:t>
      </w:r>
      <w:r>
        <w:t xml:space="preserve"> </w:t>
      </w:r>
      <w:r>
        <w:t xml:space="preserve">(1) The $2.625M single-trigger severance for the Calloway brothers is a certain cash obligation at closing, regardless of whether they continue in their roles. (2) If classified as Transaction Expenses, the full $3.775M reduces the Purchase Price dollar-for-dollar. If not classified as Transaction Expenses, the obligation falls on the Company post-closing, reducing free cash flow. (3) The Credit Agreement’s change-of-control provision requires full repayment of $38.7M in debt (plus a $263K prepayment premium) within 5 business days of closing — a separate, concurrent cash obligation.</w:t>
      </w:r>
    </w:p>
    <w:p>
      <w:pPr>
        <w:pStyle w:val="BodyText"/>
      </w:pPr>
      <w:r>
        <w:rPr>
          <w:b/>
          <w:bCs/>
        </w:rPr>
        <w:t xml:space="preserve">Recommended Action:</w:t>
      </w:r>
      <w:r>
        <w:t xml:space="preserve"> </w:t>
      </w:r>
      <w:r>
        <w:t xml:space="preserve">Explicitly address the classification and payment mechanics of change-of-control severance in the SPA. Confirm whether the $3.775M is included in the LOI’s Transaction Expenses definition. Ensure the acquisition financing accounts for both the debt repayment ($38.7M+) and the severance obligations ($3.775M) as day-one cash requirements.</w:t>
      </w:r>
    </w:p>
    <w:p>
      <w:r>
        <w:pict>
          <v:rect style="width:0;height:1.5pt" o:hralign="center" o:hrstd="t" o:hr="t"/>
        </w:pict>
      </w:r>
    </w:p>
    <w:bookmarkEnd w:id="45"/>
    <w:bookmarkEnd w:id="46"/>
    <w:bookmarkEnd w:id="47"/>
    <w:bookmarkStart w:id="48" w:name="v.-summary-risk-matrix"/>
    <w:p>
      <w:pPr>
        <w:pStyle w:val="Heading2"/>
      </w:pPr>
      <w:r>
        <w:t xml:space="preserve">V. Summary Risk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Category</w:t>
            </w:r>
          </w:p>
        </w:tc>
        <w:tc>
          <w:tcPr/>
          <w:p>
            <w:pPr>
              <w:pStyle w:val="Compact"/>
              <w:jc w:val="left"/>
            </w:pPr>
            <w:r>
              <w:t xml:space="preserve">Red Flag</w:t>
            </w:r>
          </w:p>
        </w:tc>
        <w:tc>
          <w:tcPr/>
          <w:p>
            <w:pPr>
              <w:pStyle w:val="Compact"/>
              <w:jc w:val="left"/>
            </w:pPr>
            <w:r>
              <w:t xml:space="preserve">Severity</w:t>
            </w:r>
          </w:p>
        </w:tc>
        <w:tc>
          <w:tcPr/>
          <w:p>
            <w:pPr>
              <w:pStyle w:val="Compact"/>
              <w:jc w:val="left"/>
            </w:pPr>
            <w:r>
              <w:t xml:space="preserve">Accrued?</w:t>
            </w:r>
          </w:p>
        </w:tc>
        <w:tc>
          <w:tcPr/>
          <w:p>
            <w:pPr>
              <w:pStyle w:val="Compact"/>
              <w:jc w:val="left"/>
            </w:pPr>
            <w:r>
              <w:t xml:space="preserve">Est. Exposure</w:t>
            </w:r>
          </w:p>
        </w:tc>
      </w:tr>
      <w:tr>
        <w:tc>
          <w:tcPr/>
          <w:p>
            <w:pPr>
              <w:pStyle w:val="Compact"/>
              <w:jc w:val="left"/>
            </w:pPr>
            <w:r>
              <w:t xml:space="preserve">RF-01</w:t>
            </w:r>
          </w:p>
        </w:tc>
        <w:tc>
          <w:tcPr/>
          <w:p>
            <w:pPr>
              <w:pStyle w:val="Compact"/>
              <w:jc w:val="left"/>
            </w:pPr>
            <w:r>
              <w:t xml:space="preserve">Financial / QofE</w:t>
            </w:r>
          </w:p>
        </w:tc>
        <w:tc>
          <w:tcPr/>
          <w:p>
            <w:pPr>
              <w:pStyle w:val="Compact"/>
              <w:jc w:val="left"/>
            </w:pPr>
            <w:r>
              <w:t xml:space="preserve">EBITDA discrepancy — CIM vs. QofE ($1.0M gap)</w:t>
            </w:r>
          </w:p>
        </w:tc>
        <w:tc>
          <w:tcPr/>
          <w:p>
            <w:pPr>
              <w:pStyle w:val="Compact"/>
              <w:jc w:val="left"/>
            </w:pPr>
            <w:r>
              <w:rPr>
                <w:b/>
                <w:bCs/>
              </w:rPr>
              <w:t xml:space="preserve">Critical</w:t>
            </w:r>
          </w:p>
        </w:tc>
        <w:tc>
          <w:tcPr/>
          <w:p>
            <w:pPr>
              <w:pStyle w:val="Compact"/>
              <w:jc w:val="left"/>
            </w:pPr>
            <w:r>
              <w:t xml:space="preserve">N/A</w:t>
            </w:r>
          </w:p>
        </w:tc>
        <w:tc>
          <w:tcPr/>
          <w:p>
            <w:pPr>
              <w:pStyle w:val="Compact"/>
              <w:jc w:val="left"/>
            </w:pPr>
            <w:r>
              <w:t xml:space="preserve">$8M–$9M EV impact</w:t>
            </w:r>
          </w:p>
        </w:tc>
      </w:tr>
      <w:tr>
        <w:tc>
          <w:tcPr/>
          <w:p>
            <w:pPr>
              <w:pStyle w:val="Compact"/>
              <w:jc w:val="left"/>
            </w:pPr>
            <w:r>
              <w:t xml:space="preserve">RF-02</w:t>
            </w:r>
          </w:p>
        </w:tc>
        <w:tc>
          <w:tcPr/>
          <w:p>
            <w:pPr>
              <w:pStyle w:val="Compact"/>
              <w:jc w:val="left"/>
            </w:pPr>
            <w:r>
              <w:t xml:space="preserve">Financial / QofE</w:t>
            </w:r>
          </w:p>
        </w:tc>
        <w:tc>
          <w:tcPr/>
          <w:p>
            <w:pPr>
              <w:pStyle w:val="Compact"/>
              <w:jc w:val="left"/>
            </w:pPr>
            <w:r>
              <w:t xml:space="preserve">Aggressive EBITDA adjustments — recurring items</w:t>
            </w:r>
          </w:p>
        </w:tc>
        <w:tc>
          <w:tcPr/>
          <w:p>
            <w:pPr>
              <w:pStyle w:val="Compact"/>
              <w:jc w:val="left"/>
            </w:pPr>
            <w:r>
              <w:rPr>
                <w:b/>
                <w:bCs/>
              </w:rPr>
              <w:t xml:space="preserve">High</w:t>
            </w:r>
          </w:p>
        </w:tc>
        <w:tc>
          <w:tcPr/>
          <w:p>
            <w:pPr>
              <w:pStyle w:val="Compact"/>
              <w:jc w:val="left"/>
            </w:pPr>
            <w:r>
              <w:t xml:space="preserve">N/A</w:t>
            </w:r>
          </w:p>
        </w:tc>
        <w:tc>
          <w:tcPr/>
          <w:p>
            <w:pPr>
              <w:pStyle w:val="Compact"/>
              <w:jc w:val="left"/>
            </w:pPr>
            <w:r>
              <w:t xml:space="preserve">$1.5M–$2.0M EBITDA at risk</w:t>
            </w:r>
          </w:p>
        </w:tc>
      </w:tr>
      <w:tr>
        <w:tc>
          <w:tcPr/>
          <w:p>
            <w:pPr>
              <w:pStyle w:val="Compact"/>
              <w:jc w:val="left"/>
            </w:pPr>
            <w:r>
              <w:t xml:space="preserve">RF-03</w:t>
            </w:r>
          </w:p>
        </w:tc>
        <w:tc>
          <w:tcPr/>
          <w:p>
            <w:pPr>
              <w:pStyle w:val="Compact"/>
              <w:jc w:val="left"/>
            </w:pPr>
            <w:r>
              <w:t xml:space="preserve">Financial / QofE</w:t>
            </w:r>
          </w:p>
        </w:tc>
        <w:tc>
          <w:tcPr/>
          <w:p>
            <w:pPr>
              <w:pStyle w:val="Compact"/>
              <w:jc w:val="left"/>
            </w:pPr>
            <w:r>
              <w:t xml:space="preserve">Reported EBITDA declined 27% YoY</w:t>
            </w:r>
          </w:p>
        </w:tc>
        <w:tc>
          <w:tcPr/>
          <w:p>
            <w:pPr>
              <w:pStyle w:val="Compact"/>
              <w:jc w:val="left"/>
            </w:pPr>
            <w:r>
              <w:rPr>
                <w:b/>
                <w:bCs/>
              </w:rPr>
              <w:t xml:space="preserve">High</w:t>
            </w:r>
          </w:p>
        </w:tc>
        <w:tc>
          <w:tcPr/>
          <w:p>
            <w:pPr>
              <w:pStyle w:val="Compact"/>
              <w:jc w:val="left"/>
            </w:pPr>
            <w:r>
              <w:t xml:space="preserve">N/A</w:t>
            </w:r>
          </w:p>
        </w:tc>
        <w:tc>
          <w:tcPr/>
          <w:p>
            <w:pPr>
              <w:pStyle w:val="Compact"/>
              <w:jc w:val="left"/>
            </w:pPr>
            <w:r>
              <w:t xml:space="preserve">Trend risk</w:t>
            </w:r>
          </w:p>
        </w:tc>
      </w:tr>
      <w:tr>
        <w:tc>
          <w:tcPr/>
          <w:p>
            <w:pPr>
              <w:pStyle w:val="Compact"/>
              <w:jc w:val="left"/>
            </w:pPr>
            <w:r>
              <w:t xml:space="preserve">RF-04</w:t>
            </w:r>
          </w:p>
        </w:tc>
        <w:tc>
          <w:tcPr/>
          <w:p>
            <w:pPr>
              <w:pStyle w:val="Compact"/>
              <w:jc w:val="left"/>
            </w:pPr>
            <w:r>
              <w:t xml:space="preserve">Financial / QofE</w:t>
            </w:r>
          </w:p>
        </w:tc>
        <w:tc>
          <w:tcPr/>
          <w:p>
            <w:pPr>
              <w:pStyle w:val="Compact"/>
              <w:jc w:val="left"/>
            </w:pPr>
            <w:r>
              <w:t xml:space="preserve">Bank EBITDA ($18.4M) vs. management EBITDA ($22.8M)</w:t>
            </w:r>
          </w:p>
        </w:tc>
        <w:tc>
          <w:tcPr/>
          <w:p>
            <w:pPr>
              <w:pStyle w:val="Compact"/>
              <w:jc w:val="left"/>
            </w:pPr>
            <w:r>
              <w:rPr>
                <w:b/>
                <w:bCs/>
              </w:rPr>
              <w:t xml:space="preserve">High</w:t>
            </w:r>
          </w:p>
        </w:tc>
        <w:tc>
          <w:tcPr/>
          <w:p>
            <w:pPr>
              <w:pStyle w:val="Compact"/>
              <w:jc w:val="left"/>
            </w:pPr>
            <w:r>
              <w:t xml:space="preserve">N/A</w:t>
            </w:r>
          </w:p>
        </w:tc>
        <w:tc>
          <w:tcPr/>
          <w:p>
            <w:pPr>
              <w:pStyle w:val="Compact"/>
              <w:jc w:val="left"/>
            </w:pPr>
            <w:r>
              <w:t xml:space="preserve">Covenant / financing risk</w:t>
            </w:r>
          </w:p>
        </w:tc>
      </w:tr>
      <w:tr>
        <w:tc>
          <w:tcPr/>
          <w:p>
            <w:pPr>
              <w:pStyle w:val="Compact"/>
              <w:jc w:val="left"/>
            </w:pPr>
            <w:r>
              <w:t xml:space="preserve">RF-05</w:t>
            </w:r>
          </w:p>
        </w:tc>
        <w:tc>
          <w:tcPr/>
          <w:p>
            <w:pPr>
              <w:pStyle w:val="Compact"/>
              <w:jc w:val="left"/>
            </w:pPr>
            <w:r>
              <w:t xml:space="preserve">Financial / QofE</w:t>
            </w:r>
          </w:p>
        </w:tc>
        <w:tc>
          <w:tcPr/>
          <w:p>
            <w:pPr>
              <w:pStyle w:val="Compact"/>
              <w:jc w:val="left"/>
            </w:pPr>
            <w:r>
              <w:t xml:space="preserve">Fleet replacement backlog — $9.8M past useful life</w:t>
            </w:r>
          </w:p>
        </w:tc>
        <w:tc>
          <w:tcPr/>
          <w:p>
            <w:pPr>
              <w:pStyle w:val="Compact"/>
              <w:jc w:val="left"/>
            </w:pPr>
            <w:r>
              <w:rPr>
                <w:b/>
                <w:bCs/>
              </w:rPr>
              <w:t xml:space="preserve">Medium</w:t>
            </w:r>
          </w:p>
        </w:tc>
        <w:tc>
          <w:tcPr/>
          <w:p>
            <w:pPr>
              <w:pStyle w:val="Compact"/>
              <w:jc w:val="left"/>
            </w:pPr>
            <w:r>
              <w:t xml:space="preserve">No</w:t>
            </w:r>
          </w:p>
        </w:tc>
        <w:tc>
          <w:tcPr/>
          <w:p>
            <w:pPr>
              <w:pStyle w:val="Compact"/>
              <w:jc w:val="left"/>
            </w:pPr>
            <w:r>
              <w:t xml:space="preserve">~$3.3M/yr incremental capex</w:t>
            </w:r>
          </w:p>
        </w:tc>
      </w:tr>
      <w:tr>
        <w:tc>
          <w:tcPr/>
          <w:p>
            <w:pPr>
              <w:pStyle w:val="Compact"/>
              <w:jc w:val="left"/>
            </w:pPr>
            <w:r>
              <w:t xml:space="preserve">RF-06</w:t>
            </w:r>
          </w:p>
        </w:tc>
        <w:tc>
          <w:tcPr/>
          <w:p>
            <w:pPr>
              <w:pStyle w:val="Compact"/>
              <w:jc w:val="left"/>
            </w:pPr>
            <w:r>
              <w:t xml:space="preserve">Environmental</w:t>
            </w:r>
          </w:p>
        </w:tc>
        <w:tc>
          <w:tcPr/>
          <w:p>
            <w:pPr>
              <w:pStyle w:val="Compact"/>
              <w:jc w:val="left"/>
            </w:pPr>
            <w:r>
              <w:t xml:space="preserve">Stale Phase II ESA — vapor intrusion unassessed</w:t>
            </w:r>
          </w:p>
        </w:tc>
        <w:tc>
          <w:tcPr/>
          <w:p>
            <w:pPr>
              <w:pStyle w:val="Compact"/>
              <w:jc w:val="left"/>
            </w:pPr>
            <w:r>
              <w:rPr>
                <w:b/>
                <w:bCs/>
              </w:rPr>
              <w:t xml:space="preserve">Critical</w:t>
            </w:r>
          </w:p>
        </w:tc>
        <w:tc>
          <w:tcPr/>
          <w:p>
            <w:pPr>
              <w:pStyle w:val="Compact"/>
              <w:jc w:val="left"/>
            </w:pPr>
            <w:r>
              <w:t xml:space="preserve">Partial ($2.2M)</w:t>
            </w:r>
          </w:p>
        </w:tc>
        <w:tc>
          <w:tcPr/>
          <w:p>
            <w:pPr>
              <w:pStyle w:val="Compact"/>
              <w:jc w:val="left"/>
            </w:pPr>
            <w:r>
              <w:t xml:space="preserve">$2.6M+ (2019 est., stale)</w:t>
            </w:r>
          </w:p>
        </w:tc>
      </w:tr>
      <w:tr>
        <w:tc>
          <w:tcPr/>
          <w:p>
            <w:pPr>
              <w:pStyle w:val="Compact"/>
              <w:jc w:val="left"/>
            </w:pPr>
            <w:r>
              <w:t xml:space="preserve">RF-07</w:t>
            </w:r>
          </w:p>
        </w:tc>
        <w:tc>
          <w:tcPr/>
          <w:p>
            <w:pPr>
              <w:pStyle w:val="Compact"/>
              <w:jc w:val="left"/>
            </w:pPr>
            <w:r>
              <w:t xml:space="preserve">Environmental</w:t>
            </w:r>
          </w:p>
        </w:tc>
        <w:tc>
          <w:tcPr/>
          <w:p>
            <w:pPr>
              <w:pStyle w:val="Compact"/>
              <w:jc w:val="left"/>
            </w:pPr>
            <w:r>
              <w:t xml:space="preserve">CDPHE RCRA enforcement action — no accrual</w:t>
            </w:r>
          </w:p>
        </w:tc>
        <w:tc>
          <w:tcPr/>
          <w:p>
            <w:pPr>
              <w:pStyle w:val="Compact"/>
              <w:jc w:val="left"/>
            </w:pPr>
            <w:r>
              <w:rPr>
                <w:b/>
                <w:bCs/>
              </w:rPr>
              <w:t xml:space="preserve">High</w:t>
            </w:r>
          </w:p>
        </w:tc>
        <w:tc>
          <w:tcPr/>
          <w:p>
            <w:pPr>
              <w:pStyle w:val="Compact"/>
              <w:jc w:val="left"/>
            </w:pPr>
            <w:r>
              <w:t xml:space="preserve">No</w:t>
            </w:r>
          </w:p>
        </w:tc>
        <w:tc>
          <w:tcPr/>
          <w:p>
            <w:pPr>
              <w:pStyle w:val="Compact"/>
              <w:jc w:val="left"/>
            </w:pPr>
            <w:r>
              <w:t xml:space="preserve">$200K–$1.16M</w:t>
            </w:r>
          </w:p>
        </w:tc>
      </w:tr>
      <w:tr>
        <w:tc>
          <w:tcPr/>
          <w:p>
            <w:pPr>
              <w:pStyle w:val="Compact"/>
              <w:jc w:val="left"/>
            </w:pPr>
            <w:r>
              <w:t xml:space="preserve">RF-08</w:t>
            </w:r>
          </w:p>
        </w:tc>
        <w:tc>
          <w:tcPr/>
          <w:p>
            <w:pPr>
              <w:pStyle w:val="Compact"/>
              <w:jc w:val="left"/>
            </w:pPr>
            <w:r>
              <w:t xml:space="preserve">Environmental</w:t>
            </w:r>
          </w:p>
        </w:tc>
        <w:tc>
          <w:tcPr/>
          <w:p>
            <w:pPr>
              <w:pStyle w:val="Compact"/>
              <w:jc w:val="left"/>
            </w:pPr>
            <w:r>
              <w:t xml:space="preserve">Wyoming permit expired — timely renewal pending</w:t>
            </w:r>
          </w:p>
        </w:tc>
        <w:tc>
          <w:tcPr/>
          <w:p>
            <w:pPr>
              <w:pStyle w:val="Compact"/>
              <w:jc w:val="left"/>
            </w:pPr>
            <w:r>
              <w:rPr>
                <w:b/>
                <w:bCs/>
              </w:rPr>
              <w:t xml:space="preserve">High</w:t>
            </w:r>
          </w:p>
        </w:tc>
        <w:tc>
          <w:tcPr/>
          <w:p>
            <w:pPr>
              <w:pStyle w:val="Compact"/>
              <w:jc w:val="left"/>
            </w:pPr>
            <w:r>
              <w:t xml:space="preserve">No</w:t>
            </w:r>
          </w:p>
        </w:tc>
        <w:tc>
          <w:tcPr/>
          <w:p>
            <w:pPr>
              <w:pStyle w:val="Compact"/>
              <w:jc w:val="left"/>
            </w:pPr>
            <w:r>
              <w:t xml:space="preserve">Operational disruption risk</w:t>
            </w:r>
          </w:p>
        </w:tc>
      </w:tr>
      <w:tr>
        <w:tc>
          <w:tcPr/>
          <w:p>
            <w:pPr>
              <w:pStyle w:val="Compact"/>
              <w:jc w:val="left"/>
            </w:pPr>
            <w:r>
              <w:t xml:space="preserve">RF-09</w:t>
            </w:r>
          </w:p>
        </w:tc>
        <w:tc>
          <w:tcPr/>
          <w:p>
            <w:pPr>
              <w:pStyle w:val="Compact"/>
              <w:jc w:val="left"/>
            </w:pPr>
            <w:r>
              <w:t xml:space="preserve">Environmental</w:t>
            </w:r>
          </w:p>
        </w:tc>
        <w:tc>
          <w:tcPr/>
          <w:p>
            <w:pPr>
              <w:pStyle w:val="Compact"/>
              <w:jc w:val="left"/>
            </w:pPr>
            <w:r>
              <w:t xml:space="preserve">Utah SLC permit not transferred (Pinnacle)</w:t>
            </w:r>
          </w:p>
        </w:tc>
        <w:tc>
          <w:tcPr/>
          <w:p>
            <w:pPr>
              <w:pStyle w:val="Compact"/>
              <w:jc w:val="left"/>
            </w:pPr>
            <w:r>
              <w:rPr>
                <w:b/>
                <w:bCs/>
              </w:rPr>
              <w:t xml:space="preserve">High</w:t>
            </w:r>
          </w:p>
        </w:tc>
        <w:tc>
          <w:tcPr/>
          <w:p>
            <w:pPr>
              <w:pStyle w:val="Compact"/>
              <w:jc w:val="left"/>
            </w:pPr>
            <w:r>
              <w:t xml:space="preserve">No</w:t>
            </w:r>
          </w:p>
        </w:tc>
        <w:tc>
          <w:tcPr/>
          <w:p>
            <w:pPr>
              <w:pStyle w:val="Compact"/>
              <w:jc w:val="left"/>
            </w:pPr>
            <w:r>
              <w:t xml:space="preserve">Regulatory / operational risk</w:t>
            </w:r>
          </w:p>
        </w:tc>
      </w:tr>
      <w:tr>
        <w:tc>
          <w:tcPr/>
          <w:p>
            <w:pPr>
              <w:pStyle w:val="Compact"/>
              <w:jc w:val="left"/>
            </w:pPr>
            <w:r>
              <w:t xml:space="preserve">RF-10</w:t>
            </w:r>
          </w:p>
        </w:tc>
        <w:tc>
          <w:tcPr/>
          <w:p>
            <w:pPr>
              <w:pStyle w:val="Compact"/>
              <w:jc w:val="left"/>
            </w:pPr>
            <w:r>
              <w:t xml:space="preserve">Commercial</w:t>
            </w:r>
          </w:p>
        </w:tc>
        <w:tc>
          <w:tcPr/>
          <w:p>
            <w:pPr>
              <w:pStyle w:val="Compact"/>
              <w:jc w:val="left"/>
            </w:pPr>
            <w:r>
              <w:t xml:space="preserve">DOE IDIQ ceiling near exhaustion — $12.1M headwind</w:t>
            </w:r>
          </w:p>
        </w:tc>
        <w:tc>
          <w:tcPr/>
          <w:p>
            <w:pPr>
              <w:pStyle w:val="Compact"/>
              <w:jc w:val="left"/>
            </w:pPr>
            <w:r>
              <w:rPr>
                <w:b/>
                <w:bCs/>
              </w:rPr>
              <w:t xml:space="preserve">Critical</w:t>
            </w:r>
          </w:p>
        </w:tc>
        <w:tc>
          <w:tcPr/>
          <w:p>
            <w:pPr>
              <w:pStyle w:val="Compact"/>
              <w:jc w:val="left"/>
            </w:pPr>
            <w:r>
              <w:t xml:space="preserve">No</w:t>
            </w:r>
          </w:p>
        </w:tc>
        <w:tc>
          <w:tcPr/>
          <w:p>
            <w:pPr>
              <w:pStyle w:val="Compact"/>
              <w:jc w:val="left"/>
            </w:pPr>
            <w:r>
              <w:t xml:space="preserve">$12.1M FY2025 revenue risk</w:t>
            </w:r>
          </w:p>
        </w:tc>
      </w:tr>
      <w:tr>
        <w:tc>
          <w:tcPr/>
          <w:p>
            <w:pPr>
              <w:pStyle w:val="Compact"/>
              <w:jc w:val="left"/>
            </w:pPr>
            <w:r>
              <w:t xml:space="preserve">RF-11</w:t>
            </w:r>
          </w:p>
        </w:tc>
        <w:tc>
          <w:tcPr/>
          <w:p>
            <w:pPr>
              <w:pStyle w:val="Compact"/>
              <w:jc w:val="left"/>
            </w:pPr>
            <w:r>
              <w:t xml:space="preserve">Commercial</w:t>
            </w:r>
          </w:p>
        </w:tc>
        <w:tc>
          <w:tcPr/>
          <w:p>
            <w:pPr>
              <w:pStyle w:val="Compact"/>
              <w:jc w:val="left"/>
            </w:pPr>
            <w:r>
              <w:t xml:space="preserve">SLC lease assignment unresolved — $16.2M revenue at risk</w:t>
            </w:r>
          </w:p>
        </w:tc>
        <w:tc>
          <w:tcPr/>
          <w:p>
            <w:pPr>
              <w:pStyle w:val="Compact"/>
              <w:jc w:val="left"/>
            </w:pPr>
            <w:r>
              <w:rPr>
                <w:b/>
                <w:bCs/>
              </w:rPr>
              <w:t xml:space="preserve">High</w:t>
            </w:r>
          </w:p>
        </w:tc>
        <w:tc>
          <w:tcPr/>
          <w:p>
            <w:pPr>
              <w:pStyle w:val="Compact"/>
              <w:jc w:val="left"/>
            </w:pPr>
            <w:r>
              <w:t xml:space="preserve">No</w:t>
            </w:r>
          </w:p>
        </w:tc>
        <w:tc>
          <w:tcPr/>
          <w:p>
            <w:pPr>
              <w:pStyle w:val="Compact"/>
              <w:jc w:val="left"/>
            </w:pPr>
            <w:r>
              <w:t xml:space="preserve">Lease termination risk</w:t>
            </w:r>
          </w:p>
        </w:tc>
      </w:tr>
      <w:tr>
        <w:tc>
          <w:tcPr/>
          <w:p>
            <w:pPr>
              <w:pStyle w:val="Compact"/>
              <w:jc w:val="left"/>
            </w:pPr>
            <w:r>
              <w:t xml:space="preserve">RF-12</w:t>
            </w:r>
          </w:p>
        </w:tc>
        <w:tc>
          <w:tcPr/>
          <w:p>
            <w:pPr>
              <w:pStyle w:val="Compact"/>
              <w:jc w:val="left"/>
            </w:pPr>
            <w:r>
              <w:t xml:space="preserve">Commercial</w:t>
            </w:r>
          </w:p>
        </w:tc>
        <w:tc>
          <w:tcPr/>
          <w:p>
            <w:pPr>
              <w:pStyle w:val="Compact"/>
              <w:jc w:val="left"/>
            </w:pPr>
            <w:r>
              <w:t xml:space="preserve">Customer concentration — 8 contracts with CoC provisions</w:t>
            </w:r>
          </w:p>
        </w:tc>
        <w:tc>
          <w:tcPr/>
          <w:p>
            <w:pPr>
              <w:pStyle w:val="Compact"/>
              <w:jc w:val="left"/>
            </w:pPr>
            <w:r>
              <w:rPr>
                <w:b/>
                <w:bCs/>
              </w:rPr>
              <w:t xml:space="preserve">High</w:t>
            </w:r>
          </w:p>
        </w:tc>
        <w:tc>
          <w:tcPr/>
          <w:p>
            <w:pPr>
              <w:pStyle w:val="Compact"/>
              <w:jc w:val="left"/>
            </w:pPr>
            <w:r>
              <w:t xml:space="preserve">No</w:t>
            </w:r>
          </w:p>
        </w:tc>
        <w:tc>
          <w:tcPr/>
          <w:p>
            <w:pPr>
              <w:pStyle w:val="Compact"/>
              <w:jc w:val="left"/>
            </w:pPr>
            <w:r>
              <w:t xml:space="preserve">Revenue disruption risk</w:t>
            </w:r>
          </w:p>
        </w:tc>
      </w:tr>
      <w:tr>
        <w:tc>
          <w:tcPr/>
          <w:p>
            <w:pPr>
              <w:pStyle w:val="Compact"/>
              <w:jc w:val="left"/>
            </w:pPr>
            <w:r>
              <w:t xml:space="preserve">RF-13</w:t>
            </w:r>
          </w:p>
        </w:tc>
        <w:tc>
          <w:tcPr/>
          <w:p>
            <w:pPr>
              <w:pStyle w:val="Compact"/>
              <w:jc w:val="left"/>
            </w:pPr>
            <w:r>
              <w:t xml:space="preserve">Legal</w:t>
            </w:r>
          </w:p>
        </w:tc>
        <w:tc>
          <w:tcPr/>
          <w:p>
            <w:pPr>
              <w:pStyle w:val="Compact"/>
              <w:jc w:val="left"/>
            </w:pPr>
            <w:r>
              <w:t xml:space="preserve">Ramirez personal injury — $4.8M claim, coverage uncertain</w:t>
            </w:r>
          </w:p>
        </w:tc>
        <w:tc>
          <w:tcPr/>
          <w:p>
            <w:pPr>
              <w:pStyle w:val="Compact"/>
              <w:jc w:val="left"/>
            </w:pPr>
            <w:r>
              <w:rPr>
                <w:b/>
                <w:bCs/>
              </w:rPr>
              <w:t xml:space="preserve">High</w:t>
            </w:r>
          </w:p>
        </w:tc>
        <w:tc>
          <w:tcPr/>
          <w:p>
            <w:pPr>
              <w:pStyle w:val="Compact"/>
              <w:jc w:val="left"/>
            </w:pPr>
            <w:r>
              <w:t xml:space="preserve">No</w:t>
            </w:r>
          </w:p>
        </w:tc>
        <w:tc>
          <w:tcPr/>
          <w:p>
            <w:pPr>
              <w:pStyle w:val="Compact"/>
              <w:jc w:val="left"/>
            </w:pPr>
            <w:r>
              <w:t xml:space="preserve">$500K–$4.8M</w:t>
            </w:r>
          </w:p>
        </w:tc>
      </w:tr>
      <w:tr>
        <w:tc>
          <w:tcPr/>
          <w:p>
            <w:pPr>
              <w:pStyle w:val="Compact"/>
              <w:jc w:val="left"/>
            </w:pPr>
            <w:r>
              <w:t xml:space="preserve">RF-14</w:t>
            </w:r>
          </w:p>
        </w:tc>
        <w:tc>
          <w:tcPr/>
          <w:p>
            <w:pPr>
              <w:pStyle w:val="Compact"/>
              <w:jc w:val="left"/>
            </w:pPr>
            <w:r>
              <w:t xml:space="preserve">Legal</w:t>
            </w:r>
          </w:p>
        </w:tc>
        <w:tc>
          <w:tcPr/>
          <w:p>
            <w:pPr>
              <w:pStyle w:val="Compact"/>
              <w:jc w:val="left"/>
            </w:pPr>
            <w:r>
              <w:t xml:space="preserve">Asbestos long-tail — pre-2015 work uninsured</w:t>
            </w:r>
          </w:p>
        </w:tc>
        <w:tc>
          <w:tcPr/>
          <w:p>
            <w:pPr>
              <w:pStyle w:val="Compact"/>
              <w:jc w:val="left"/>
            </w:pPr>
            <w:r>
              <w:rPr>
                <w:b/>
                <w:bCs/>
              </w:rPr>
              <w:t xml:space="preserve">High</w:t>
            </w:r>
          </w:p>
        </w:tc>
        <w:tc>
          <w:tcPr/>
          <w:p>
            <w:pPr>
              <w:pStyle w:val="Compact"/>
              <w:jc w:val="left"/>
            </w:pPr>
            <w:r>
              <w:t xml:space="preserve">No</w:t>
            </w:r>
          </w:p>
        </w:tc>
        <w:tc>
          <w:tcPr/>
          <w:p>
            <w:pPr>
              <w:pStyle w:val="Compact"/>
              <w:jc w:val="left"/>
            </w:pPr>
            <w:r>
              <w:t xml:space="preserve">Unquantifiable</w:t>
            </w:r>
          </w:p>
        </w:tc>
      </w:tr>
      <w:tr>
        <w:tc>
          <w:tcPr/>
          <w:p>
            <w:pPr>
              <w:pStyle w:val="Compact"/>
              <w:jc w:val="left"/>
            </w:pPr>
            <w:r>
              <w:t xml:space="preserve">RF-15</w:t>
            </w:r>
          </w:p>
        </w:tc>
        <w:tc>
          <w:tcPr/>
          <w:p>
            <w:pPr>
              <w:pStyle w:val="Compact"/>
              <w:jc w:val="left"/>
            </w:pPr>
            <w:r>
              <w:t xml:space="preserve">Legal</w:t>
            </w:r>
          </w:p>
        </w:tc>
        <w:tc>
          <w:tcPr/>
          <w:p>
            <w:pPr>
              <w:pStyle w:val="Compact"/>
              <w:jc w:val="left"/>
            </w:pPr>
            <w:r>
              <w:t xml:space="preserve">FLSA wage claim — former asbestos employees</w:t>
            </w:r>
          </w:p>
        </w:tc>
        <w:tc>
          <w:tcPr/>
          <w:p>
            <w:pPr>
              <w:pStyle w:val="Compact"/>
              <w:jc w:val="left"/>
            </w:pPr>
            <w:r>
              <w:rPr>
                <w:b/>
                <w:bCs/>
              </w:rPr>
              <w:t xml:space="preserve">Medium</w:t>
            </w:r>
          </w:p>
        </w:tc>
        <w:tc>
          <w:tcPr/>
          <w:p>
            <w:pPr>
              <w:pStyle w:val="Compact"/>
              <w:jc w:val="left"/>
            </w:pPr>
            <w:r>
              <w:t xml:space="preserve">No</w:t>
            </w:r>
          </w:p>
        </w:tc>
        <w:tc>
          <w:tcPr/>
          <w:p>
            <w:pPr>
              <w:pStyle w:val="Compact"/>
              <w:jc w:val="left"/>
            </w:pPr>
            <w:r>
              <w:t xml:space="preserve">$100K–$330K</w:t>
            </w:r>
          </w:p>
        </w:tc>
      </w:tr>
      <w:tr>
        <w:tc>
          <w:tcPr/>
          <w:p>
            <w:pPr>
              <w:pStyle w:val="Compact"/>
              <w:jc w:val="left"/>
            </w:pPr>
            <w:r>
              <w:t xml:space="preserve">RF-16</w:t>
            </w:r>
          </w:p>
        </w:tc>
        <w:tc>
          <w:tcPr/>
          <w:p>
            <w:pPr>
              <w:pStyle w:val="Compact"/>
              <w:jc w:val="left"/>
            </w:pPr>
            <w:r>
              <w:t xml:space="preserve">Operational</w:t>
            </w:r>
          </w:p>
        </w:tc>
        <w:tc>
          <w:tcPr/>
          <w:p>
            <w:pPr>
              <w:pStyle w:val="Compact"/>
              <w:jc w:val="left"/>
            </w:pPr>
            <w:r>
              <w:t xml:space="preserve">NLRB unionization petition — 62 field technicians</w:t>
            </w:r>
          </w:p>
        </w:tc>
        <w:tc>
          <w:tcPr/>
          <w:p>
            <w:pPr>
              <w:pStyle w:val="Compact"/>
              <w:jc w:val="left"/>
            </w:pPr>
            <w:r>
              <w:rPr>
                <w:b/>
                <w:bCs/>
              </w:rPr>
              <w:t xml:space="preserve">High</w:t>
            </w:r>
          </w:p>
        </w:tc>
        <w:tc>
          <w:tcPr/>
          <w:p>
            <w:pPr>
              <w:pStyle w:val="Compact"/>
              <w:jc w:val="left"/>
            </w:pPr>
            <w:r>
              <w:t xml:space="preserve">No</w:t>
            </w:r>
          </w:p>
        </w:tc>
        <w:tc>
          <w:tcPr/>
          <w:p>
            <w:pPr>
              <w:pStyle w:val="Compact"/>
              <w:jc w:val="left"/>
            </w:pPr>
            <w:r>
              <w:t xml:space="preserve">Labor cost / flexibility risk</w:t>
            </w:r>
          </w:p>
        </w:tc>
      </w:tr>
      <w:tr>
        <w:tc>
          <w:tcPr/>
          <w:p>
            <w:pPr>
              <w:pStyle w:val="Compact"/>
              <w:jc w:val="left"/>
            </w:pPr>
            <w:r>
              <w:t xml:space="preserve">RF-17</w:t>
            </w:r>
          </w:p>
        </w:tc>
        <w:tc>
          <w:tcPr/>
          <w:p>
            <w:pPr>
              <w:pStyle w:val="Compact"/>
              <w:jc w:val="left"/>
            </w:pPr>
            <w:r>
              <w:t xml:space="preserve">Structural</w:t>
            </w:r>
          </w:p>
        </w:tc>
        <w:tc>
          <w:tcPr/>
          <w:p>
            <w:pPr>
              <w:pStyle w:val="Compact"/>
              <w:jc w:val="left"/>
            </w:pPr>
            <w:r>
              <w:t xml:space="preserve">$3.775M CoC severance — $2.625M single-trigger, unaddressed</w:t>
            </w:r>
          </w:p>
        </w:tc>
        <w:tc>
          <w:tcPr/>
          <w:p>
            <w:pPr>
              <w:pStyle w:val="Compact"/>
              <w:jc w:val="left"/>
            </w:pPr>
            <w:r>
              <w:rPr>
                <w:b/>
                <w:bCs/>
              </w:rPr>
              <w:t xml:space="preserve">Critical</w:t>
            </w:r>
          </w:p>
        </w:tc>
        <w:tc>
          <w:tcPr/>
          <w:p>
            <w:pPr>
              <w:pStyle w:val="Compact"/>
              <w:jc w:val="left"/>
            </w:pPr>
            <w:r>
              <w:t xml:space="preserve">No</w:t>
            </w:r>
          </w:p>
        </w:tc>
        <w:tc>
          <w:tcPr/>
          <w:p>
            <w:pPr>
              <w:pStyle w:val="Compact"/>
              <w:jc w:val="left"/>
            </w:pPr>
            <w:r>
              <w:t xml:space="preserve">$3.775M certain at closing</w:t>
            </w:r>
          </w:p>
        </w:tc>
      </w:tr>
    </w:tbl>
    <w:p>
      <w:r>
        <w:pict>
          <v:rect style="width:0;height:1.5pt" o:hralign="center" o:hrstd="t" o:hr="t"/>
        </w:pict>
      </w:r>
    </w:p>
    <w:bookmarkEnd w:id="48"/>
    <w:bookmarkStart w:id="49" w:name="Xdea7e83b75a4a59e293cd5c31f7310d313a0fd8"/>
    <w:p>
      <w:pPr>
        <w:pStyle w:val="Heading2"/>
      </w:pPr>
      <w:r>
        <w:t xml:space="preserve">VI. Priority Recommended Actions Before Signing</w:t>
      </w:r>
    </w:p>
    <w:p>
      <w:pPr>
        <w:pStyle w:val="Compact"/>
        <w:numPr>
          <w:ilvl w:val="0"/>
          <w:numId w:val="1007"/>
        </w:numPr>
      </w:pPr>
      <w:r>
        <w:rPr>
          <w:b/>
          <w:bCs/>
        </w:rPr>
        <w:t xml:space="preserve">Resolve the EBITDA discrepancy</w:t>
      </w:r>
      <w:r>
        <w:t xml:space="preserve"> </w:t>
      </w:r>
      <w:r>
        <w:t xml:space="preserve">(RF-01) and obtain QofE firm sign-off on final Adjusted EBITDA before finalizing enterprise value.</w:t>
      </w:r>
    </w:p>
    <w:p>
      <w:pPr>
        <w:pStyle w:val="Compact"/>
        <w:numPr>
          <w:ilvl w:val="0"/>
          <w:numId w:val="1007"/>
        </w:numPr>
      </w:pPr>
      <w:r>
        <w:rPr>
          <w:b/>
          <w:bCs/>
        </w:rPr>
        <w:t xml:space="preserve">Commission an updated Phase II ESA and vapor intrusion assessment</w:t>
      </w:r>
      <w:r>
        <w:t xml:space="preserve"> </w:t>
      </w:r>
      <w:r>
        <w:t xml:space="preserve">(RF-06) at Grand Junction as a condition of signing or closing.</w:t>
      </w:r>
    </w:p>
    <w:p>
      <w:pPr>
        <w:pStyle w:val="Compact"/>
        <w:numPr>
          <w:ilvl w:val="0"/>
          <w:numId w:val="1007"/>
        </w:numPr>
      </w:pPr>
      <w:r>
        <w:rPr>
          <w:b/>
          <w:bCs/>
        </w:rPr>
        <w:t xml:space="preserve">Engage the DOE Contracting Officer</w:t>
      </w:r>
      <w:r>
        <w:t xml:space="preserve"> </w:t>
      </w:r>
      <w:r>
        <w:t xml:space="preserve">(RF-10) immediately to assess ceiling modification prospects and novation requirements.</w:t>
      </w:r>
    </w:p>
    <w:p>
      <w:pPr>
        <w:pStyle w:val="Compact"/>
        <w:numPr>
          <w:ilvl w:val="0"/>
          <w:numId w:val="1007"/>
        </w:numPr>
      </w:pPr>
      <w:r>
        <w:rPr>
          <w:b/>
          <w:bCs/>
        </w:rPr>
        <w:t xml:space="preserve">Obtain Salt Lake City landlord consent</w:t>
      </w:r>
      <w:r>
        <w:t xml:space="preserve"> </w:t>
      </w:r>
      <w:r>
        <w:t xml:space="preserve">(RF-11, RF-09) to both the existing assignment and the proposed acquisition.</w:t>
      </w:r>
    </w:p>
    <w:p>
      <w:pPr>
        <w:pStyle w:val="Compact"/>
        <w:numPr>
          <w:ilvl w:val="0"/>
          <w:numId w:val="1007"/>
        </w:numPr>
      </w:pPr>
      <w:r>
        <w:rPr>
          <w:b/>
          <w:bCs/>
        </w:rPr>
        <w:t xml:space="preserve">Explicitly address CoC severance</w:t>
      </w:r>
      <w:r>
        <w:t xml:space="preserve"> </w:t>
      </w:r>
      <w:r>
        <w:t xml:space="preserve">(RF-17) in the SPA purchase price mechanism and confirm classification as Transaction Expenses.</w:t>
      </w:r>
    </w:p>
    <w:p>
      <w:pPr>
        <w:pStyle w:val="Compact"/>
        <w:numPr>
          <w:ilvl w:val="0"/>
          <w:numId w:val="1007"/>
        </w:numPr>
      </w:pPr>
      <w:r>
        <w:rPr>
          <w:b/>
          <w:bCs/>
        </w:rPr>
        <w:t xml:space="preserve">Require CDPHE enforcement action resolution or escrow</w:t>
      </w:r>
      <w:r>
        <w:t xml:space="preserve"> </w:t>
      </w:r>
      <w:r>
        <w:t xml:space="preserve">(RF-07) before closing.</w:t>
      </w:r>
    </w:p>
    <w:p>
      <w:pPr>
        <w:pStyle w:val="Compact"/>
        <w:numPr>
          <w:ilvl w:val="0"/>
          <w:numId w:val="1007"/>
        </w:numPr>
      </w:pPr>
      <w:r>
        <w:rPr>
          <w:b/>
          <w:bCs/>
        </w:rPr>
        <w:t xml:space="preserve">Assess NLRB petition status</w:t>
      </w:r>
      <w:r>
        <w:t xml:space="preserve"> </w:t>
      </w:r>
      <w:r>
        <w:t xml:space="preserve">(RF-16) and develop a coordinated response strategy.</w:t>
      </w:r>
    </w:p>
    <w:p>
      <w:pPr>
        <w:pStyle w:val="Compact"/>
        <w:numPr>
          <w:ilvl w:val="0"/>
          <w:numId w:val="1007"/>
        </w:numPr>
      </w:pPr>
      <w:r>
        <w:rPr>
          <w:b/>
          <w:bCs/>
        </w:rPr>
        <w:t xml:space="preserve">Negotiate specific environmental indemnity</w:t>
      </w:r>
      <w:r>
        <w:t xml:space="preserve"> </w:t>
      </w:r>
      <w:r>
        <w:t xml:space="preserve">covering Grand Junction remediation costs above the current $2.2M accrual, asbestos long-tail exposure, and the Ramirez matter.</w:t>
      </w:r>
    </w:p>
    <w:p>
      <w:r>
        <w:pict>
          <v:rect style="width:0;height:1.5pt" o:hralign="center" o:hrstd="t" o:hr="t"/>
        </w:pict>
      </w:r>
    </w:p>
    <w:p>
      <w:pPr>
        <w:pStyle w:val="FirstParagraph"/>
      </w:pPr>
      <w:r>
        <w:rPr>
          <w:i/>
          <w:iCs/>
        </w:rPr>
        <w:t xml:space="preserve">This memorandum is prepared solely for the internal use of Sycamore Capital Partners, LP and its advisors in connection with Project Ridgeline. It does not constitute legal advice and should not be relied upon as such. All findings are based on data room materials as of December 2024 and are subject to revision as additional information becomes available.</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2026-08-25T01:24:58Z</dcterms:created>
  <dcterms:modified xsi:type="dcterms:W3CDTF">2026-08-25T01:24:58Z</dcterms:modified>
</cp:coreProperties>
</file>

<file path=docProps/custom.xml><?xml version="1.0" encoding="utf-8"?>
<Properties xmlns="http://schemas.openxmlformats.org/officeDocument/2006/custom-properties" xmlns:vt="http://schemas.openxmlformats.org/officeDocument/2006/docPropsVTypes"/>
</file>