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color w:val="1F4E78"/>
        </w:rPr>
        <w:t>RIDGELINE ENVIRONMENTAL SERVICES, INC.</w:t>
      </w:r>
    </w:p>
    <w:p>
      <w:pPr>
        <w:pStyle w:val="Heading2"/>
        <w:jc w:val="center"/>
      </w:pPr>
      <w:r>
        <w:t>ACQUISITION DUE DILIGENCE RED FLAG ANALYSIS</w:t>
      </w:r>
    </w:p>
    <w:p/>
    <w:p>
      <w:pPr>
        <w:jc w:val="center"/>
      </w:pPr>
      <w:r>
        <w:rPr>
          <w:b/>
        </w:rPr>
        <w:t>CONFIDENTIAL MEMORANDUM</w:t>
        <w:br/>
      </w:r>
      <w:r>
        <w:t>Project Ridgeline</w:t>
        <w:br/>
      </w:r>
      <w:r>
        <w:t>Prepared for: Sycamore Capital Partners, LP</w:t>
        <w:br/>
      </w:r>
      <w:r>
        <w:t>Date: December 16, 2024</w:t>
        <w:br/>
      </w:r>
      <w:r>
        <w:t>Subject: Diligence Red Flags &amp; Risk Assessment</w:t>
      </w:r>
    </w:p>
    <w:p/>
    <w:p>
      <w:pPr>
        <w:pStyle w:val="Heading1"/>
      </w:pPr>
      <w:r>
        <w:t>EXECUTIVE SUMMARY</w:t>
      </w:r>
    </w:p>
    <w:p>
      <w:r>
        <w:t>This memorandum identifies and analyzes twenty (20) material red flags identified during the review of Ridgeline Environmental Services, Inc. ("RES" or the "Company") data room documents in connection with the proposed acquisition by Sycamore Capital Partners, LP ("Buyer").</w:t>
        <w:br/>
        <w:br/>
        <w:t>The analysis categorizes red flags by severity level:</w:t>
        <w:br/>
        <w:t>• CRITICAL (4 flags): Issues requiring immediate resolution or creating material transaction risk</w:t>
        <w:br/>
        <w:t>• HIGH (8 flags): Significant issues requiring detailed due diligence and mitigation</w:t>
        <w:br/>
        <w:t>• MEDIUM (6 flags): Moderate issues requiring attention and contingency planning</w:t>
        <w:br/>
        <w:t>• LOW (2 flags): Administrative or lower-priority issues</w:t>
        <w:br/>
        <w:br/>
        <w:t>Key findings:</w:t>
        <w:br/>
        <w:t>1. Revenue concentration risk is CRITICAL, with DOE contract ceiling exhaustion projected for April-May 2025</w:t>
        <w:br/>
        <w:t>2. Debt refinancing is CRITICAL, with mandatory prepayment triggered by change of control</w:t>
        <w:br/>
        <w:t>3. Lease assignment risk is CRITICAL, with Salt Lake City facility consent still pending from March 2022</w:t>
        <w:br/>
        <w:t>4. Environmental liability is HIGH, with $1.8M-$2.6M remediation cost exposure and unresolved regulatory enforcement</w:t>
        <w:br/>
        <w:t>5. EBITDA adjustment disputes could create $35M-$58M valuation gap between management and bank definitions</w:t>
        <w:br/>
        <w:br/>
        <w:t>The Buyer should prioritize resolution of CRITICAL items prior to signing the definitive purchase agreement and should conduct detailed due diligence on HIGH-severity items to quantify financial exposure and develop mitigation strategies.</w:t>
      </w:r>
    </w:p>
    <w:p/>
    <w:p>
      <w:pPr>
        <w:pStyle w:val="Heading1"/>
      </w:pPr>
      <w:r>
        <w:t>CRITICAL ISSUES REQUIRING IMMEDIATE ATTENTION</w:t>
      </w:r>
    </w:p>
    <w:p>
      <w:pPr>
        <w:pStyle w:val="Heading2"/>
      </w:pPr>
      <w:r>
        <w:t>1. DOE Contract Ceiling Exhaustion (RF-001)</w:t>
      </w:r>
    </w:p>
    <w:p>
      <w:r>
        <w:t>The U.S. Department of Energy IDIQ contract (DE-EM-0005523) represents 19.2% of trailing twelve-month revenue ($24.4M). The contract has a $45M ceiling, of which 72.7% ($32.7M) has been utilized through September 30, 2024, leaving only $12.3M in remaining ceiling value.</w:t>
        <w:br/>
        <w:br/>
        <w:t>At the current run rate of approximately $24.4M annually ($2.03M/month), the remaining ceiling will be exhausted by approximately April-May 2025, leaving approximately 16 months of unfunded contract period through the contract expiration date of August 31, 2026.</w:t>
        <w:br/>
        <w:br/>
        <w:t>FINANCIAL IMPACT: If the ceiling is not increased or a new contract awarded, DOE revenue could decline from $24.4M (FY2024) to approximately $12.3M or less in FY2025, representing a potential revenue headwind of $12.1M+ (9.5% of current total revenue). This would materially impact consolidated revenue growth and EBITDA.</w:t>
        <w:br/>
        <w:br/>
        <w:t>RECOMMENDED ACTIONS:</w:t>
        <w:br/>
        <w:t>• Immediate engagement with DOE Contracting Officer to discuss ceiling modification or supplemental contract opportunities</w:t>
        <w:br/>
        <w:t>• Develop contingency revenue plan to offset potential DOE revenue decline</w:t>
        <w:br/>
        <w:t>• Assess likelihood and timing of ceiling increase or new contract award</w:t>
        <w:br/>
        <w:t>• Evaluate impact on valuation if revenue decline is assumed in projections</w:t>
      </w:r>
    </w:p>
    <w:p/>
    <w:p>
      <w:pPr>
        <w:pStyle w:val="Heading2"/>
      </w:pPr>
      <w:r>
        <w:t>2. Debt Refinancing &amp; Change-of-Control Prepayment (RF-003)</w:t>
      </w:r>
    </w:p>
    <w:p>
      <w:r>
        <w:t>The Company maintains a senior secured credit facility with High Plains National Bank totaling $38.7M ($12.4M revolving facility + $26.3M term loan). The credit agreement contains a mandatory prepayment provision triggered by a change of control, defined as acquisition of 50% or more of outstanding equity.</w:t>
        <w:br/>
        <w:br/>
        <w:t>The proposed 100% stock acquisition by Sycamore Capital would trigger this change-of-control provision, requiring full prepayment of all outstanding obligations within five (5) business days of closing. Additionally, the term loan is subject to a prepayment premium schedule:</w:t>
        <w:br/>
        <w:t>• Year 1 (Jan 17, 2023 - Jan 16, 2024): 2.0% premium</w:t>
        <w:br/>
        <w:t>• Year 2 (Jan 17, 2024 - Jan 16, 2025): 1.5% premium</w:t>
        <w:br/>
        <w:t>• Year 3 (Jan 17, 2025 - Jan 16, 2026): 1.0% premium</w:t>
        <w:br/>
        <w:t>• After Jan 16, 2026: No premium</w:t>
        <w:br/>
        <w:br/>
        <w:t>If closing occurs during the Year 3 period (Jan 17, 2025 - Jan 16, 2026), the prepayment premium would be 1.0% × $26.3M = $263,000.</w:t>
        <w:br/>
        <w:br/>
        <w:t>FINANCIAL IMPACT: Total estimated mandatory prepayment at closing (assuming April 30, 2025 closing date) would be approximately $39.2M-$39.3M, including:</w:t>
        <w:br/>
        <w:t>• Revolving facility principal: $12.4M</w:t>
        <w:br/>
        <w:t>• Term loan principal: $26.3M</w:t>
        <w:br/>
        <w:t>• Term loan prepayment premium: ~$263K</w:t>
        <w:br/>
        <w:t>• Accrued interest and SOFR breakage: ~$200K-$300K</w:t>
        <w:br/>
        <w:br/>
        <w:t>This represents a significant cash requirement at closing and must be factored into the purchase price structure and financing plan.</w:t>
        <w:br/>
        <w:br/>
        <w:t>RECOMMENDED ACTIONS:</w:t>
        <w:br/>
        <w:t>• Negotiate debt payoff or refinancing with High Plains National Bank prior to signing SPA</w:t>
        <w:br/>
        <w:t>• Obtain commitment letter from replacement lender for post-closing refinancing</w:t>
        <w:br/>
        <w:t>• Evaluate whether prepayment premium can be negotiated or waived</w:t>
        <w:br/>
        <w:t>• Budget prepayment premium and accrued interest in transaction economics</w:t>
        <w:br/>
        <w:t>• Confirm no other debt instruments with change-of-control provisions exist</w:t>
      </w:r>
    </w:p>
    <w:p/>
    <w:p>
      <w:pPr>
        <w:pStyle w:val="Heading2"/>
      </w:pPr>
      <w:r>
        <w:t>3. Salt Lake City Lease Assignment Consent (RF-007)</w:t>
      </w:r>
    </w:p>
    <w:p>
      <w:r>
        <w:t>The Salt Lake City transfer station facility (2100 West North Temple, Salt Lake City, UT 84116) is leased from Wasatch Industrial Properties, LLC under a commercial lease dated April 1, 2019. The lease contains an explicit change-of-control clause requiring landlord consent for any assignment or change of control of the tenant.</w:t>
        <w:br/>
        <w:br/>
        <w:t>Following RES's acquisition of Pinnacle Waste Solutions, LLC on March 15, 2022, RES submitted a written request for consent to assignment to Wasatch Industrial Properties on April 12, 2022. As of December 2024 (nearly 2.5 years later), the landlord has NOT PROVIDED WRITTEN CONSENT to the assignment.</w:t>
        <w:br/>
        <w:br/>
        <w:t>RES has been in continuous occupancy and paying rent since March 2022, and the landlord has accepted all rent payments without objection. However, the absence of formal written consent creates a legal ambiguity regarding the status of the lease.</w:t>
        <w:br/>
        <w:br/>
        <w:t>The proposed Sycamore acquisition would constitute an additional change-of-control event, potentially requiring separate landlord consent independent of the unresolved Pinnacle-to-RES assignment.</w:t>
        <w:br/>
        <w:br/>
        <w:t>FINANCIAL IMPACT: The Salt Lake City facility generates approximately $16.2M in annual revenue (12.7% of total revenue), including:</w:t>
        <w:br/>
        <w:t>• Wasatch Front Petroleum Refining: $6.4M</w:t>
        <w:br/>
        <w:t>• Silver Creek Mining: $5.8M</w:t>
        <w:br/>
        <w:t>• Utah DEQ: $4.6M (partial)</w:t>
        <w:br/>
        <w:t>• Summit County: $2.9M (partial)</w:t>
        <w:br/>
        <w:t>• Other customers: $0.5M</w:t>
        <w:br/>
        <w:br/>
        <w:t>Disruption to this facility due to lease termination or landlord refusal to consent would materially impact revenue and operations. Relocation costs and operational disruption could be substantial.</w:t>
        <w:br/>
        <w:br/>
        <w:t>RECOMMENDED ACTIONS:</w:t>
        <w:br/>
        <w:t>• Obtain written landlord consent to the original Pinnacle-to-RES assignment BEFORE signing SPA</w:t>
        <w:br/>
        <w:t>• Obtain written landlord consent to the Sycamore acquisition as a separate change-of-control event</w:t>
        <w:br/>
        <w:t>• Negotiate lease amendment if landlord demands rent increase or other modifications</w:t>
        <w:br/>
        <w:t>• Evaluate alternative facility options in Salt Lake City area as contingency</w:t>
        <w:br/>
        <w:t>• Obtain representation and warranty from sellers regarding lease status and landlord consent</w:t>
      </w:r>
    </w:p>
    <w:p/>
    <w:p>
      <w:pPr>
        <w:pStyle w:val="Heading2"/>
      </w:pPr>
      <w:r>
        <w:t>4. EBITDA Adjustment Disputes &amp; Valuation Gap (RF-009)</w:t>
      </w:r>
    </w:p>
    <w:p>
      <w:r>
        <w:t>Management has presented Adjusted EBITDA of $22.8M for FY2024 (TTM ending September 30, 2024), which is used as the basis for the indicative enterprise value range of $182M-$205M (8.0x-9.0x multiple).</w:t>
        <w:br/>
        <w:br/>
        <w:t>However, the Company's senior secured credit facility with High Plains National Bank defines "Consolidated EBITDA" for covenant purposes in a manner that excludes many of the adjustments made by management. Under the bank definition, Consolidated EBITDA for FY2024 is approximately $18.4M.</w:t>
        <w:br/>
        <w:br/>
        <w:t>The key difference is that the bank definition expressly excludes:</w:t>
        <w:br/>
        <w:t>• Management fees, consulting fees, or transaction-related fees paid to equity holders</w:t>
        <w:br/>
        <w:t>• One-time cost savings, synergies, or restructuring adjustments</w:t>
        <w:br/>
        <w:t>• Add-backs for discontinued operations or service line wind-downs</w:t>
        <w:br/>
        <w:t>• Normalization adjustments to owner or officer compensation</w:t>
        <w:br/>
        <w:t>• Any adjustments not in accordance with GAAP</w:t>
        <w:br/>
        <w:br/>
        <w:t>Management's $5.4M in adjustments include:</w:t>
        <w:br/>
        <w:t>• Owner compensation normalization: $950K (Calloway brothers' salaries reduced to market rate)</w:t>
        <w:br/>
        <w:t>• One-time litigation settlement: $1.2M (Clearwater Logistics dispute)</w:t>
        <w:br/>
        <w:t>• ERP implementation costs: $650K (non-recurring)</w:t>
        <w:br/>
        <w:t>• Pinnacle acquisition integration costs: $800K (non-recurring)</w:t>
        <w:br/>
        <w:t>• Asbestos abatement wind-down costs: $1.8M (discontinued service line)</w:t>
        <w:br/>
        <w:br/>
        <w:t>VALUATION IMPACT: The difference between management Adjusted EBITDA ($22.8M) and bank Consolidated EBITDA ($18.4M) creates a significant valuation gap:</w:t>
        <w:br/>
        <w:t>• At 8.0x multiple: $182.4M (management) vs. $147.2M (bank) = $35.2M gap</w:t>
        <w:br/>
        <w:t>• At 9.0x multiple: $205.2M (management) vs. $165.6M (bank) = $39.6M gap</w:t>
        <w:br/>
        <w:br/>
        <w:t>The Buyer may challenge the propriety of certain adjustments, particularly:</w:t>
        <w:br/>
        <w:t>• Owner compensation normalization (is $875K salary truly above-market for a founder-CEO?)</w:t>
        <w:br/>
        <w:t>• Litigation settlement (is this truly non-recurring or indicative of operational issues?)</w:t>
        <w:br/>
        <w:t>• Asbestos wind-down (was this a strategic decision or forced by regulatory/market pressures?)</w:t>
        <w:br/>
        <w:br/>
        <w:t>RECOMMENDED ACTIONS:</w:t>
        <w:br/>
        <w:t>• Prepare detailed support and benchmarking analysis for each adjustment category</w:t>
        <w:br/>
        <w:t>• Obtain independent compensation study confirming market rates for CEO/COO positions</w:t>
        <w:br/>
        <w:t>• Evaluate whether adjustments are defensible under GAAP and bank definition standards</w:t>
        <w:br/>
        <w:t>• Consider conservative adjustment approach to reduce valuation disputes</w:t>
        <w:br/>
        <w:t>• Negotiate EBITDA definition in SPA to clarify which adjustments are permitted</w:t>
        <w:br/>
        <w:t>• Model valuation sensitivity to different EBITDA assumptions</w:t>
      </w:r>
    </w:p>
    <w:p/>
    <w:p>
      <w:pPr>
        <w:pStyle w:val="Heading1"/>
      </w:pPr>
      <w:r>
        <w:t>HIGH-SEVERITY ISSUES REQUIRING DETAILED DUE DILIGENCE</w:t>
      </w:r>
    </w:p>
    <w:p>
      <w:r>
        <w:t>The following eight (8) high-severity issues require detailed due diligence and mitigation planning:</w:t>
        <w:br/>
        <w:br/>
        <w:t>RF-002 (Customer Concentration): Top 10 customers = 67% of revenue; top 5 = 50.4%. Consolidated Mining MSA has 60-day termination for convenience. Loss of major customer would materially impact revenue.</w:t>
        <w:br/>
        <w:br/>
        <w:t>RF-004 (Environmental Liability): Grand Junction facility has documented soil/groundwater contamination. Phase II ESA (June 2019) estimated remediation cost of $1.8M-$2.6M. No updated ESA since 2019. Vapor intrusion risk in occupied building.</w:t>
        <w:br/>
        <w:br/>
        <w:t>RF-005 (CDPHE Enforcement): Notice of Violation (Docket CDPHE-HW-2024-0093) for improper hazardous waste storage. Penalty exposure: $200K-$450K (company position) to $1.16M (CDPHE position). Settlement negotiations ongoing.</w:t>
        <w:br/>
        <w:br/>
        <w:t>RF-006 (Ramirez Litigation): Personal injury action filed August 2024 by former field technician alleging occupational exposure to VOCs/heavy metals. Damages sought: $4.8M. Coverage determination pending with insurer. Potential uninsured liability: $500K-$1.5M.</w:t>
        <w:br/>
        <w:br/>
        <w:t>RF-008 (Permit Transfer): Salt Lake City transfer station permit (UTH-0441) remains in Pinnacle name. Transfer application pending with Utah Division of Waste Management since March 2022. Operational and regulatory compliance risk.</w:t>
        <w:br/>
        <w:br/>
        <w:t>RF-010 (Change-of-Control Severance): Five executive employment agreements contain $3.775M in change-of-control severance obligations. Derek &amp; Jason Calloway: $1.3125M each (single-trigger, payable at closing). Other executives: $1.15M (double-trigger).</w:t>
        <w:br/>
        <w:br/>
        <w:t>RF-011 (Fleet Age &amp; Capex): 44.7% of fleet at or past useful life. Estimated replacement cost for past-life units: $9.8M. Deferred replacement during Pinnacle integration. Estimated $3.3M/year catch-up capex for 3 years.</w:t>
        <w:br/>
        <w:br/>
        <w:t>RF-012 (Asbestos Tail Liability): Company operated asbestos abatement service line FY2012-FY2023. Two open workers' compensation claims from former employees. Pre-2015 work not covered by current pollution liability policy. Unquantifiable long-tail exposure.</w:t>
      </w:r>
    </w:p>
    <w:p/>
    <w:p>
      <w:pPr>
        <w:pStyle w:val="Heading1"/>
      </w:pPr>
      <w:r>
        <w:t>MEDIUM-SEVERITY ISSUES REQUIRING ATTENTION</w:t>
      </w:r>
    </w:p>
    <w:p>
      <w:r>
        <w:t>Six (6) medium-severity issues require attention and contingency planning:</w:t>
        <w:br/>
        <w:br/>
        <w:t>RF-013 (Threatened Wage Claim): Former employee wage claim from ~8 asbestos abatement technicians alleging unpaid overtime. Claimed exposure: $330K. Potential $100K-$200K actual exposure if claim filed.</w:t>
        <w:br/>
        <w:br/>
        <w:t>RF-014 (Union Organizing): NLRB election petition filed November 2024 by Teamsters Local 455 covering 62 field technicians at Grand Junction and Casper facilities. Potential unionization of 12.8% of workforce.</w:t>
        <w:br/>
        <w:br/>
        <w:t>RF-018 (Revenue Decline Trend): FY2024 revenue growth of 11.1% is lowest in 4-year period. Reported EBITDA declined 27% YoY. Slowing growth trajectory raises sustainability questions.</w:t>
        <w:br/>
        <w:br/>
        <w:t>RF-019 (Gross Margin Compression): FY2024 gross margin of 35.0% at low end of historical range. Waste Transportation margin compressed due to diesel costs and disposal fee escalation.</w:t>
        <w:br/>
        <w:br/>
        <w:t>RF-020 (Management Continuity): Founders Derek and Jason Calloway (65% combined ownership) expected to continue post-closing. Change-of-control severance provisions ($2.625M) create incentive for departure. Non-compete enforceability varies by state.</w:t>
        <w:br/>
        <w:br/>
        <w:t>RF-015, RF-016, RF-017 (Administrative): Wyoming permit renewal pending (expected Q1 2025), Pinnacle integration status, and facility lease expirations within 24 months of closing.</w:t>
      </w:r>
    </w:p>
    <w:p/>
    <w:p>
      <w:pPr>
        <w:pStyle w:val="Heading1"/>
      </w:pPr>
      <w:r>
        <w:t>RED FLAG SUMMARY TABLE</w:t>
      </w:r>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r>
              <w:t>ID</w:t>
            </w:r>
          </w:p>
        </w:tc>
        <w:tc>
          <w:tcPr>
            <w:tcW w:type="dxa" w:w="1872"/>
          </w:tcPr>
          <w:p>
            <w:r>
              <w:t>Category</w:t>
            </w:r>
          </w:p>
        </w:tc>
        <w:tc>
          <w:tcPr>
            <w:tcW w:type="dxa" w:w="1872"/>
          </w:tcPr>
          <w:p>
            <w:r>
              <w:t>Severity</w:t>
            </w:r>
          </w:p>
        </w:tc>
        <w:tc>
          <w:tcPr>
            <w:tcW w:type="dxa" w:w="1872"/>
          </w:tcPr>
          <w:p>
            <w:r>
              <w:t>Financial Impact</w:t>
            </w:r>
          </w:p>
        </w:tc>
        <w:tc>
          <w:tcPr>
            <w:tcW w:type="dxa" w:w="1872"/>
          </w:tcPr>
          <w:p>
            <w:r>
              <w:t>Status</w:t>
            </w:r>
          </w:p>
        </w:tc>
      </w:tr>
      <w:tr>
        <w:tc>
          <w:tcPr>
            <w:tcW w:type="dxa" w:w="1872"/>
          </w:tcPr>
          <w:p>
            <w:r>
              <w:t>RF-001</w:t>
            </w:r>
          </w:p>
        </w:tc>
        <w:tc>
          <w:tcPr>
            <w:tcW w:type="dxa" w:w="1872"/>
          </w:tcPr>
          <w:p>
            <w:r>
              <w:t>DOE Revenue Concentration</w:t>
            </w:r>
          </w:p>
        </w:tc>
        <w:tc>
          <w:tcPr>
            <w:tcW w:type="dxa" w:w="1872"/>
          </w:tcPr>
          <w:p>
            <w:r>
              <w:t>CRITICAL</w:t>
            </w:r>
          </w:p>
        </w:tc>
        <w:tc>
          <w:tcPr>
            <w:tcW w:type="dxa" w:w="1872"/>
          </w:tcPr>
          <w:p>
            <w:r>
              <w:t>$12.1M+ FY2025 headwind</w:t>
            </w:r>
          </w:p>
        </w:tc>
        <w:tc>
          <w:tcPr>
            <w:tcW w:type="dxa" w:w="1872"/>
          </w:tcPr>
          <w:p>
            <w:r>
              <w:t>Active Risk</w:t>
            </w:r>
          </w:p>
        </w:tc>
      </w:tr>
      <w:tr>
        <w:tc>
          <w:tcPr>
            <w:tcW w:type="dxa" w:w="1872"/>
          </w:tcPr>
          <w:p>
            <w:r>
              <w:t>RF-003</w:t>
            </w:r>
          </w:p>
        </w:tc>
        <w:tc>
          <w:tcPr>
            <w:tcW w:type="dxa" w:w="1872"/>
          </w:tcPr>
          <w:p>
            <w:r>
              <w:t>Debt Refinancing</w:t>
            </w:r>
          </w:p>
        </w:tc>
        <w:tc>
          <w:tcPr>
            <w:tcW w:type="dxa" w:w="1872"/>
          </w:tcPr>
          <w:p>
            <w:r>
              <w:t>CRITICAL</w:t>
            </w:r>
          </w:p>
        </w:tc>
        <w:tc>
          <w:tcPr>
            <w:tcW w:type="dxa" w:w="1872"/>
          </w:tcPr>
          <w:p>
            <w:r>
              <w:t>$39.2M+ cash requirement</w:t>
            </w:r>
          </w:p>
        </w:tc>
        <w:tc>
          <w:tcPr>
            <w:tcW w:type="dxa" w:w="1872"/>
          </w:tcPr>
          <w:p>
            <w:r>
              <w:t>Contractual</w:t>
            </w:r>
          </w:p>
        </w:tc>
      </w:tr>
      <w:tr>
        <w:tc>
          <w:tcPr>
            <w:tcW w:type="dxa" w:w="1872"/>
          </w:tcPr>
          <w:p>
            <w:r>
              <w:t>RF-007</w:t>
            </w:r>
          </w:p>
        </w:tc>
        <w:tc>
          <w:tcPr>
            <w:tcW w:type="dxa" w:w="1872"/>
          </w:tcPr>
          <w:p>
            <w:r>
              <w:t>Lease Assignment</w:t>
            </w:r>
          </w:p>
        </w:tc>
        <w:tc>
          <w:tcPr>
            <w:tcW w:type="dxa" w:w="1872"/>
          </w:tcPr>
          <w:p>
            <w:r>
              <w:t>CRITICAL</w:t>
            </w:r>
          </w:p>
        </w:tc>
        <w:tc>
          <w:tcPr>
            <w:tcW w:type="dxa" w:w="1872"/>
          </w:tcPr>
          <w:p>
            <w:r>
              <w:t>$16.2M revenue at risk</w:t>
            </w:r>
          </w:p>
        </w:tc>
        <w:tc>
          <w:tcPr>
            <w:tcW w:type="dxa" w:w="1872"/>
          </w:tcPr>
          <w:p>
            <w:r>
              <w:t>Unresolved</w:t>
            </w:r>
          </w:p>
        </w:tc>
      </w:tr>
      <w:tr>
        <w:tc>
          <w:tcPr>
            <w:tcW w:type="dxa" w:w="1872"/>
          </w:tcPr>
          <w:p>
            <w:r>
              <w:t>RF-009</w:t>
            </w:r>
          </w:p>
        </w:tc>
        <w:tc>
          <w:tcPr>
            <w:tcW w:type="dxa" w:w="1872"/>
          </w:tcPr>
          <w:p>
            <w:r>
              <w:t>EBITDA Adjustments</w:t>
            </w:r>
          </w:p>
        </w:tc>
        <w:tc>
          <w:tcPr>
            <w:tcW w:type="dxa" w:w="1872"/>
          </w:tcPr>
          <w:p>
            <w:r>
              <w:t>HIGH</w:t>
            </w:r>
          </w:p>
        </w:tc>
        <w:tc>
          <w:tcPr>
            <w:tcW w:type="dxa" w:w="1872"/>
          </w:tcPr>
          <w:p>
            <w:r>
              <w:t>$35M-$58M valuation gap</w:t>
            </w:r>
          </w:p>
        </w:tc>
        <w:tc>
          <w:tcPr>
            <w:tcW w:type="dxa" w:w="1872"/>
          </w:tcPr>
          <w:p>
            <w:r>
              <w:t>Dispute Risk</w:t>
            </w:r>
          </w:p>
        </w:tc>
      </w:tr>
      <w:tr>
        <w:tc>
          <w:tcPr>
            <w:tcW w:type="dxa" w:w="1872"/>
          </w:tcPr>
          <w:p>
            <w:r>
              <w:t>RF-002</w:t>
            </w:r>
          </w:p>
        </w:tc>
        <w:tc>
          <w:tcPr>
            <w:tcW w:type="dxa" w:w="1872"/>
          </w:tcPr>
          <w:p>
            <w:r>
              <w:t>Customer Concentration</w:t>
            </w:r>
          </w:p>
        </w:tc>
        <w:tc>
          <w:tcPr>
            <w:tcW w:type="dxa" w:w="1872"/>
          </w:tcPr>
          <w:p>
            <w:r>
              <w:t>HIGH</w:t>
            </w:r>
          </w:p>
        </w:tc>
        <w:tc>
          <w:tcPr>
            <w:tcW w:type="dxa" w:w="1872"/>
          </w:tcPr>
          <w:p>
            <w:r>
              <w:t>Material revenue loss risk</w:t>
            </w:r>
          </w:p>
        </w:tc>
        <w:tc>
          <w:tcPr>
            <w:tcW w:type="dxa" w:w="1872"/>
          </w:tcPr>
          <w:p>
            <w:r>
              <w:t>Ongoing</w:t>
            </w:r>
          </w:p>
        </w:tc>
      </w:tr>
      <w:tr>
        <w:tc>
          <w:tcPr>
            <w:tcW w:type="dxa" w:w="1872"/>
          </w:tcPr>
          <w:p>
            <w:r>
              <w:t>RF-004</w:t>
            </w:r>
          </w:p>
        </w:tc>
        <w:tc>
          <w:tcPr>
            <w:tcW w:type="dxa" w:w="1872"/>
          </w:tcPr>
          <w:p>
            <w:r>
              <w:t>Environmental Liability</w:t>
            </w:r>
          </w:p>
        </w:tc>
        <w:tc>
          <w:tcPr>
            <w:tcW w:type="dxa" w:w="1872"/>
          </w:tcPr>
          <w:p>
            <w:r>
              <w:t>HIGH</w:t>
            </w:r>
          </w:p>
        </w:tc>
        <w:tc>
          <w:tcPr>
            <w:tcW w:type="dxa" w:w="1872"/>
          </w:tcPr>
          <w:p>
            <w:r>
              <w:t>$1.8M-$2.6M remediation</w:t>
            </w:r>
          </w:p>
        </w:tc>
        <w:tc>
          <w:tcPr>
            <w:tcW w:type="dxa" w:w="1872"/>
          </w:tcPr>
          <w:p>
            <w:r>
              <w:t>Ongoing</w:t>
            </w:r>
          </w:p>
        </w:tc>
      </w:tr>
      <w:tr>
        <w:tc>
          <w:tcPr>
            <w:tcW w:type="dxa" w:w="1872"/>
          </w:tcPr>
          <w:p>
            <w:r>
              <w:t>RF-005</w:t>
            </w:r>
          </w:p>
        </w:tc>
        <w:tc>
          <w:tcPr>
            <w:tcW w:type="dxa" w:w="1872"/>
          </w:tcPr>
          <w:p>
            <w:r>
              <w:t>CDPHE Enforcement</w:t>
            </w:r>
          </w:p>
        </w:tc>
        <w:tc>
          <w:tcPr>
            <w:tcW w:type="dxa" w:w="1872"/>
          </w:tcPr>
          <w:p>
            <w:r>
              <w:t>HIGH</w:t>
            </w:r>
          </w:p>
        </w:tc>
        <w:tc>
          <w:tcPr>
            <w:tcW w:type="dxa" w:w="1872"/>
          </w:tcPr>
          <w:p>
            <w:r>
              <w:t>$200K-$1.16M penalty</w:t>
            </w:r>
          </w:p>
        </w:tc>
        <w:tc>
          <w:tcPr>
            <w:tcW w:type="dxa" w:w="1872"/>
          </w:tcPr>
          <w:p>
            <w:r>
              <w:t>Pending</w:t>
            </w:r>
          </w:p>
        </w:tc>
      </w:tr>
      <w:tr>
        <w:tc>
          <w:tcPr>
            <w:tcW w:type="dxa" w:w="1872"/>
          </w:tcPr>
          <w:p>
            <w:r>
              <w:t>RF-006</w:t>
            </w:r>
          </w:p>
        </w:tc>
        <w:tc>
          <w:tcPr>
            <w:tcW w:type="dxa" w:w="1872"/>
          </w:tcPr>
          <w:p>
            <w:r>
              <w:t>Ramirez Litigation</w:t>
            </w:r>
          </w:p>
        </w:tc>
        <w:tc>
          <w:tcPr>
            <w:tcW w:type="dxa" w:w="1872"/>
          </w:tcPr>
          <w:p>
            <w:r>
              <w:t>HIGH</w:t>
            </w:r>
          </w:p>
        </w:tc>
        <w:tc>
          <w:tcPr>
            <w:tcW w:type="dxa" w:w="1872"/>
          </w:tcPr>
          <w:p>
            <w:r>
              <w:t>$500K-$1.5M exposure</w:t>
            </w:r>
          </w:p>
        </w:tc>
        <w:tc>
          <w:tcPr>
            <w:tcW w:type="dxa" w:w="1872"/>
          </w:tcPr>
          <w:p>
            <w:r>
              <w:t>Pending</w:t>
            </w:r>
          </w:p>
        </w:tc>
      </w:tr>
      <w:tr>
        <w:tc>
          <w:tcPr>
            <w:tcW w:type="dxa" w:w="1872"/>
          </w:tcPr>
          <w:p>
            <w:r>
              <w:t>RF-010</w:t>
            </w:r>
          </w:p>
        </w:tc>
        <w:tc>
          <w:tcPr>
            <w:tcW w:type="dxa" w:w="1872"/>
          </w:tcPr>
          <w:p>
            <w:r>
              <w:t>Severance Obligations</w:t>
            </w:r>
          </w:p>
        </w:tc>
        <w:tc>
          <w:tcPr>
            <w:tcW w:type="dxa" w:w="1872"/>
          </w:tcPr>
          <w:p>
            <w:r>
              <w:t>HIGH</w:t>
            </w:r>
          </w:p>
        </w:tc>
        <w:tc>
          <w:tcPr>
            <w:tcW w:type="dxa" w:w="1872"/>
          </w:tcPr>
          <w:p>
            <w:r>
              <w:t>$3.775M total</w:t>
            </w:r>
          </w:p>
        </w:tc>
        <w:tc>
          <w:tcPr>
            <w:tcW w:type="dxa" w:w="1872"/>
          </w:tcPr>
          <w:p>
            <w:r>
              <w:t>Contractual</w:t>
            </w:r>
          </w:p>
        </w:tc>
      </w:tr>
      <w:tr>
        <w:tc>
          <w:tcPr>
            <w:tcW w:type="dxa" w:w="1872"/>
          </w:tcPr>
          <w:p>
            <w:r>
              <w:t>RF-011</w:t>
            </w:r>
          </w:p>
        </w:tc>
        <w:tc>
          <w:tcPr>
            <w:tcW w:type="dxa" w:w="1872"/>
          </w:tcPr>
          <w:p>
            <w:r>
              <w:t>Fleet Replacement</w:t>
            </w:r>
          </w:p>
        </w:tc>
        <w:tc>
          <w:tcPr>
            <w:tcW w:type="dxa" w:w="1872"/>
          </w:tcPr>
          <w:p>
            <w:r>
              <w:t>MEDIUM</w:t>
            </w:r>
          </w:p>
        </w:tc>
        <w:tc>
          <w:tcPr>
            <w:tcW w:type="dxa" w:w="1872"/>
          </w:tcPr>
          <w:p>
            <w:r>
              <w:t>$3.3M/year × 3 years</w:t>
            </w:r>
          </w:p>
        </w:tc>
        <w:tc>
          <w:tcPr>
            <w:tcW w:type="dxa" w:w="1872"/>
          </w:tcPr>
          <w:p>
            <w:r>
              <w:t>Ongoing</w:t>
            </w:r>
          </w:p>
        </w:tc>
      </w:tr>
      <w:tr>
        <w:tc>
          <w:tcPr>
            <w:tcW w:type="dxa" w:w="1872"/>
          </w:tcPr>
          <w:p>
            <w:r>
              <w:t>RF-013</w:t>
            </w:r>
          </w:p>
        </w:tc>
        <w:tc>
          <w:tcPr>
            <w:tcW w:type="dxa" w:w="1872"/>
          </w:tcPr>
          <w:p>
            <w:r>
              <w:t>Wage Claim</w:t>
            </w:r>
          </w:p>
        </w:tc>
        <w:tc>
          <w:tcPr>
            <w:tcW w:type="dxa" w:w="1872"/>
          </w:tcPr>
          <w:p>
            <w:r>
              <w:t>MEDIUM</w:t>
            </w:r>
          </w:p>
        </w:tc>
        <w:tc>
          <w:tcPr>
            <w:tcW w:type="dxa" w:w="1872"/>
          </w:tcPr>
          <w:p>
            <w:r>
              <w:t>$100K-$200K exposure</w:t>
            </w:r>
          </w:p>
        </w:tc>
        <w:tc>
          <w:tcPr>
            <w:tcW w:type="dxa" w:w="1872"/>
          </w:tcPr>
          <w:p>
            <w:r>
              <w:t>Threatened</w:t>
            </w:r>
          </w:p>
        </w:tc>
      </w:tr>
      <w:tr>
        <w:tc>
          <w:tcPr>
            <w:tcW w:type="dxa" w:w="1872"/>
          </w:tcPr>
          <w:p>
            <w:r>
              <w:t>RF-014</w:t>
            </w:r>
          </w:p>
        </w:tc>
        <w:tc>
          <w:tcPr>
            <w:tcW w:type="dxa" w:w="1872"/>
          </w:tcPr>
          <w:p>
            <w:r>
              <w:t>Union Organizing</w:t>
            </w:r>
          </w:p>
        </w:tc>
        <w:tc>
          <w:tcPr>
            <w:tcW w:type="dxa" w:w="1872"/>
          </w:tcPr>
          <w:p>
            <w:r>
              <w:t>MEDIUM</w:t>
            </w:r>
          </w:p>
        </w:tc>
        <w:tc>
          <w:tcPr>
            <w:tcW w:type="dxa" w:w="1872"/>
          </w:tcPr>
          <w:p>
            <w:r>
              <w:t>Labor cost increase</w:t>
            </w:r>
          </w:p>
        </w:tc>
        <w:tc>
          <w:tcPr>
            <w:tcW w:type="dxa" w:w="1872"/>
          </w:tcPr>
          <w:p>
            <w:r>
              <w:t>Pending</w:t>
            </w:r>
          </w:p>
        </w:tc>
      </w:tr>
    </w:tbl>
    <w:p/>
    <w:p>
      <w:pPr>
        <w:pStyle w:val="Heading1"/>
      </w:pPr>
      <w:r>
        <w:t>RECOMMENDED ACTIONS &amp; NEXT STEPS</w:t>
      </w:r>
    </w:p>
    <w:p>
      <w:r>
        <w:t>1. IMMEDIATE ACTIONS (Pre-SPA Signing):</w:t>
        <w:br/>
        <w:t xml:space="preserve">   • Obtain written landlord consent to Salt Lake City lease assignment from Wasatch Industrial Properties</w:t>
        <w:br/>
        <w:t xml:space="preserve">   • Negotiate debt refinancing or payoff commitment with High Plains National Bank</w:t>
        <w:br/>
        <w:t xml:space="preserve">   • Obtain CDPHE settlement agreement or penalty determination on Notice of Violation</w:t>
        <w:br/>
        <w:t xml:space="preserve">   • Obtain coverage determination from Frontier Specialty Insurance Group on Ramirez litigation</w:t>
        <w:br/>
        <w:t xml:space="preserve">   • Commission updated Phase II ESA at Grand Junction facility</w:t>
        <w:br/>
        <w:t xml:space="preserve">   • Conduct vapor intrusion assessment of occupied building at Grand Junction</w:t>
        <w:br/>
        <w:br/>
        <w:t>2. DUE DILIGENCE PRIORITIES (Pre-Closing):</w:t>
        <w:br/>
        <w:t xml:space="preserve">   • Detailed customer concentration analysis and customer retention strategy</w:t>
        <w:br/>
        <w:t xml:space="preserve">   • Environmental remediation cost estimate update and off-site monitoring well assessment</w:t>
        <w:br/>
        <w:t xml:space="preserve">   • Litigation risk assessment and tail coverage evaluation</w:t>
        <w:br/>
        <w:t xml:space="preserve">   • Fleet condition assessment and replacement plan</w:t>
        <w:br/>
        <w:t xml:space="preserve">   • Permit transfer status confirmation (Salt Lake City, Wyoming renewal)</w:t>
        <w:br/>
        <w:t xml:space="preserve">   • Management retention agreement negotiations with founders</w:t>
        <w:br/>
        <w:br/>
        <w:t>3. SPA NEGOTIATION POINTS:</w:t>
        <w:br/>
        <w:t xml:space="preserve">   • EBITDA definition and adjustment categories</w:t>
        <w:br/>
        <w:t xml:space="preserve">   • Environmental representations and survival periods</w:t>
        <w:br/>
        <w:t xml:space="preserve">   • Litigation and regulatory matter representations</w:t>
        <w:br/>
        <w:t xml:space="preserve">   • Customer concentration and revenue decline representations</w:t>
        <w:br/>
        <w:t xml:space="preserve">   • Change-of-control severance treatment (seller vs. buyer cost)</w:t>
        <w:br/>
        <w:t xml:space="preserve">   • Lease assignment and permit transfer conditions to closing</w:t>
        <w:br/>
        <w:br/>
        <w:t>4. VALUATION ADJUSTMENTS:</w:t>
        <w:br/>
        <w:t xml:space="preserve">   • Conservative EBITDA definition (bank definition vs. management definition)</w:t>
        <w:br/>
        <w:t xml:space="preserve">   • Environmental remediation reserve adequacy</w:t>
        <w:br/>
        <w:t xml:space="preserve">   • Contingent liability reserves for litigation and regulatory matters</w:t>
        <w:br/>
        <w:t xml:space="preserve">   • Fleet replacement capex assumptions</w:t>
        <w:br/>
        <w:t xml:space="preserve">   • Revenue decline assumptions for DOE contract ceiling exhaustion</w:t>
        <w:br/>
        <w:br/>
        <w:t>5. POST-CLOSING INTEGRATION:</w:t>
        <w:br/>
        <w:t xml:space="preserve">   • Fleet replacement plan ($3.3M/year × 3 years)</w:t>
        <w:br/>
        <w:t xml:space="preserve">   • Customer diversification and retention initiatives</w:t>
        <w:br/>
        <w:t xml:space="preserve">   • Environmental remediation execution plan</w:t>
        <w:br/>
        <w:t xml:space="preserve">   • Management retention and incentive alignment</w:t>
        <w:br/>
        <w:t xml:space="preserve">   • Union negotiation strategy (if election proceeds)</w:t>
        <w:br/>
        <w:t xml:space="preserve">   • Operational efficiency and margin improvement initiatives</w:t>
      </w:r>
    </w:p>
    <w:p/>
    <w:p>
      <w:pPr>
        <w:pStyle w:val="Heading1"/>
      </w:pPr>
      <w:r>
        <w:t>CONCLUSION</w:t>
      </w:r>
    </w:p>
    <w:p>
      <w:r>
        <w:t>The proposed acquisition of Ridgeline Environmental Services, Inc. presents a compelling platform opportunity in the fragmented Mountain West environmental services market. However, the transaction is subject to material risks that require careful due diligence and mitigation planning.</w:t>
        <w:br/>
        <w:br/>
        <w:t>The four CRITICAL issues—DOE revenue concentration, debt refinancing, lease assignment, and EBITDA adjustment disputes—must be resolved or substantially mitigated prior to signing the definitive purchase agreement. The eight HIGH-severity issues require detailed due diligence to quantify financial exposure and develop appropriate representations, warranties, and indemnification provisions.</w:t>
        <w:br/>
        <w:br/>
        <w:t>The Buyer should prioritize the immediate actions outlined above and should not proceed to SPA signing until the CRITICAL issues have been substantially resolved. The recommended due diligence priorities should be completed prior to closing to ensure that all material risks have been identified and appropriately addressed in the transaction structure and purchase price.</w:t>
        <w:br/>
        <w:br/>
        <w:t>With appropriate due diligence and risk mitigation, the transaction can proceed on a sound financial and operational basis.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