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2" w:name="due-diligence-red-flag-memorandum"/>
    <w:p>
      <w:pPr>
        <w:pStyle w:val="Heading1"/>
      </w:pPr>
      <w:r>
        <w:t xml:space="preserve">Due Diligence Red Flag Memorandum</w:t>
      </w:r>
    </w:p>
    <w:p>
      <w:pPr>
        <w:pStyle w:val="FirstParagraph"/>
      </w:pPr>
      <w:r>
        <w:rPr>
          <w:b/>
          <w:bCs/>
        </w:rPr>
        <w:t xml:space="preserve">Project Ridgeline — Proposed Acquisition of Ridgeline Environmental Services, Inc.</w:t>
      </w:r>
    </w:p>
    <w:p>
      <w:pPr>
        <w:pStyle w:val="BodyText"/>
      </w:pPr>
      <w:r>
        <w:rPr>
          <w:b/>
          <w:bCs/>
        </w:rPr>
        <w:t xml:space="preserve">Prepared for:</w:t>
      </w:r>
      <w:r>
        <w:t xml:space="preserve"> </w:t>
      </w:r>
      <w:r>
        <w:t xml:space="preserve">Sycamore Capital Partners, LP / Thornfield &amp; Associates LLP</w:t>
      </w:r>
    </w:p>
    <w:p>
      <w:pPr>
        <w:pStyle w:val="BodyText"/>
      </w:pPr>
      <w:r>
        <w:rPr>
          <w:b/>
          <w:bCs/>
        </w:rPr>
        <w:t xml:space="preserve">Prepared by:</w:t>
      </w:r>
      <w:r>
        <w:t xml:space="preserve"> </w:t>
      </w:r>
      <w:r>
        <w:t xml:space="preserve">Diligence Review Team</w:t>
      </w:r>
    </w:p>
    <w:p>
      <w:pPr>
        <w:pStyle w:val="BodyText"/>
      </w:pPr>
      <w:r>
        <w:rPr>
          <w:b/>
          <w:bCs/>
        </w:rPr>
        <w:t xml:space="preserve">Date:</w:t>
      </w:r>
      <w:r>
        <w:t xml:space="preserve"> </w:t>
      </w:r>
      <w:r>
        <w:t xml:space="preserve">December 2024</w:t>
      </w:r>
    </w:p>
    <w:p>
      <w:pPr>
        <w:pStyle w:val="BodyText"/>
      </w:pPr>
      <w:r>
        <w:rPr>
          <w:b/>
          <w:bCs/>
        </w:rPr>
        <w:t xml:space="preserve">Subject:</w:t>
      </w:r>
      <w:r>
        <w:t xml:space="preserve"> </w:t>
      </w:r>
      <w:r>
        <w:t xml:space="preserve">Summary of Material Red Flags Identified in Data Room Review</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material red flags and diligence concerns identified through a comprehensive review of the Project Ridgeline data room, including the Confidential Information Memorandum, Quality of Earnings data package, Litigation and Regulatory Summary, Real Property and Lease Schedule, Phase II Environmental Site Assessment, Credit Agreement Summary, Customer Contract Summary, Employment Agreements Summary, Insurance Program Summary, Environmental Permit Schedule, and related corporate documents.</w:t>
      </w:r>
    </w:p>
    <w:p>
      <w:pPr>
        <w:pStyle w:val="BodyText"/>
      </w:pPr>
      <w:r>
        <w:t xml:space="preserve">The proposed transaction contemplates a 100% stock acquisition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at an indicative enterprise value of $182–$205 million (8.0x–9.0x Adjusted EBITDA of $22.8 million). Our review has identified</w:t>
      </w:r>
      <w:r>
        <w:t xml:space="preserve"> </w:t>
      </w:r>
      <w:r>
        <w:rPr>
          <w:b/>
          <w:bCs/>
        </w:rPr>
        <w:t xml:space="preserve">eighteen (18) material red flags</w:t>
      </w:r>
      <w:r>
        <w:t xml:space="preserve"> </w:t>
      </w:r>
      <w:r>
        <w:t xml:space="preserve">across six categories: (1) Financial / Quality of Earnings, (2) Environmental &amp; Regulatory, (3) Commercial / Customer Concentration, (4) Real Property &amp; Permitting, (5) Legal &amp; Litigation, and (6) Human Capital &amp; Governance.</w:t>
      </w:r>
    </w:p>
    <w:p>
      <w:pPr>
        <w:pStyle w:val="BodyText"/>
      </w:pPr>
      <w:r>
        <w:t xml:space="preserve">The following key findings are identified in this memorandum:</w:t>
      </w:r>
    </w:p>
    <w:p>
      <w:pPr>
        <w:pStyle w:val="Compact"/>
        <w:numPr>
          <w:ilvl w:val="0"/>
          <w:numId w:val="1001"/>
        </w:numPr>
      </w:pPr>
      <w:r>
        <w:rPr>
          <w:b/>
          <w:bCs/>
        </w:rPr>
        <w:t xml:space="preserve">RF-01 — EBITDA Reconciliation Discrepancy (CRITICAL):</w:t>
      </w:r>
      <w:r>
        <w:t xml:space="preserve"> </w:t>
      </w:r>
      <w:r>
        <w:t xml:space="preserve">A $1.0M unexplained gap exists between the CIM’s stated Adjusted EBITDA of $22.8M and the QofE data package figure of $23.8M, creating $8–9M of enterprise value uncertainty.</w:t>
      </w:r>
    </w:p>
    <w:p>
      <w:pPr>
        <w:pStyle w:val="Compact"/>
        <w:numPr>
          <w:ilvl w:val="0"/>
          <w:numId w:val="1001"/>
        </w:numPr>
      </w:pPr>
      <w:r>
        <w:rPr>
          <w:b/>
          <w:bCs/>
        </w:rPr>
        <w:t xml:space="preserve">RF-02 — Aggressive EBITDA Add-Backs (HIGH):</w:t>
      </w:r>
      <w:r>
        <w:t xml:space="preserve"> </w:t>
      </w:r>
      <w:r>
        <w:t xml:space="preserve">$5.4M in management add-backs are largely disallowed under the bank’s credit agreement definition; owner compensation normalization understates true replacement cost; integration costs span three years.</w:t>
      </w:r>
    </w:p>
    <w:p>
      <w:pPr>
        <w:pStyle w:val="Compact"/>
        <w:numPr>
          <w:ilvl w:val="0"/>
          <w:numId w:val="1001"/>
        </w:numPr>
      </w:pPr>
      <w:r>
        <w:rPr>
          <w:b/>
          <w:bCs/>
        </w:rPr>
        <w:t xml:space="preserve">RF-04 — Fleet Replacement Backlog (HIGH):</w:t>
      </w:r>
      <w:r>
        <w:t xml:space="preserve"> </w:t>
      </w:r>
      <w:r>
        <w:t xml:space="preserve">38 of 85 fleet assets (44.7%) are at or past useful life, representing $9.8M in deferred capex that understates true normalized maintenance capital requirements by approximately $3M per year.</w:t>
      </w:r>
    </w:p>
    <w:p>
      <w:pPr>
        <w:pStyle w:val="Compact"/>
        <w:numPr>
          <w:ilvl w:val="0"/>
          <w:numId w:val="1001"/>
        </w:numPr>
      </w:pPr>
      <w:r>
        <w:rPr>
          <w:b/>
          <w:bCs/>
        </w:rPr>
        <w:t xml:space="preserve">RF-06 — Stale Phase II ESA / Vapor Intrusion Risk (CRITICAL):</w:t>
      </w:r>
      <w:r>
        <w:t xml:space="preserve"> </w:t>
      </w:r>
      <w:r>
        <w:t xml:space="preserve">The 2019 Phase II ESA is 5.5 years old; vapor intrusion into an occupied building has never been assessed; off-site plume migration is unconfirmed; the Pollution Legal Liability policy excludes gradual contamination at owned facilities.</w:t>
      </w:r>
    </w:p>
    <w:p>
      <w:pPr>
        <w:pStyle w:val="Compact"/>
        <w:numPr>
          <w:ilvl w:val="0"/>
          <w:numId w:val="1001"/>
        </w:numPr>
      </w:pPr>
      <w:r>
        <w:rPr>
          <w:b/>
          <w:bCs/>
        </w:rPr>
        <w:t xml:space="preserve">RF-07 — Active CDPHE Enforcement Action (HIGH):</w:t>
      </w:r>
      <w:r>
        <w:t xml:space="preserve"> </w:t>
      </w:r>
      <w:r>
        <w:t xml:space="preserve">An unaccrued RCRA penalty of $200K–$1.16M is pending at the Grand Junction facility, with no balance sheet reserve recorded.</w:t>
      </w:r>
    </w:p>
    <w:p>
      <w:pPr>
        <w:pStyle w:val="Compact"/>
        <w:numPr>
          <w:ilvl w:val="0"/>
          <w:numId w:val="1001"/>
        </w:numPr>
      </w:pPr>
      <w:r>
        <w:rPr>
          <w:b/>
          <w:bCs/>
        </w:rPr>
        <w:t xml:space="preserve">RF-09 — Salt Lake City Permit Not Transferred (HIGH):</w:t>
      </w:r>
      <w:r>
        <w:t xml:space="preserve"> </w:t>
      </w:r>
      <w:r>
        <w:t xml:space="preserve">Utah hazardous waste permit UTH-0441 remains in the name of Pinnacle Waste Solutions, LLC more than 2.5 years post-acquisition, creating regulatory compliance risk for $16.2M of annual revenue.</w:t>
      </w:r>
    </w:p>
    <w:p>
      <w:pPr>
        <w:pStyle w:val="Compact"/>
        <w:numPr>
          <w:ilvl w:val="0"/>
          <w:numId w:val="1001"/>
        </w:numPr>
      </w:pPr>
      <w:r>
        <w:rPr>
          <w:b/>
          <w:bCs/>
        </w:rPr>
        <w:t xml:space="preserve">RF-10 — DOE Contract Ceiling Exhaustion (CRITICAL):</w:t>
      </w:r>
      <w:r>
        <w:t xml:space="preserve"> </w:t>
      </w:r>
      <w:r>
        <w:t xml:space="preserve">The DOE IDIQ contract ceiling will be exhausted by approximately April–May 2025, creating a $12.1M revenue headwind (9.5% of total revenue) that is not disclosed in the CIM.</w:t>
      </w:r>
    </w:p>
    <w:p>
      <w:pPr>
        <w:pStyle w:val="Compact"/>
        <w:numPr>
          <w:ilvl w:val="0"/>
          <w:numId w:val="1001"/>
        </w:numPr>
      </w:pPr>
      <w:r>
        <w:rPr>
          <w:b/>
          <w:bCs/>
        </w:rPr>
        <w:t xml:space="preserve">RF-11 — DOE Contract Non-Assignability (HIGH):</w:t>
      </w:r>
      <w:r>
        <w:t xml:space="preserve"> </w:t>
      </w:r>
      <w:r>
        <w:t xml:space="preserve">The DOE contract requires Contracting Officer notification and potential novation in connection with the proposed acquisition; failure to comply could constitute grounds for termination for default.</w:t>
      </w:r>
    </w:p>
    <w:p>
      <w:pPr>
        <w:pStyle w:val="Compact"/>
        <w:numPr>
          <w:ilvl w:val="0"/>
          <w:numId w:val="1001"/>
        </w:numPr>
      </w:pPr>
      <w:r>
        <w:rPr>
          <w:b/>
          <w:bCs/>
        </w:rPr>
        <w:t xml:space="preserve">RF-13 — Salt Lake City Lease Dual Assignment Default (CRITICAL):</w:t>
      </w:r>
      <w:r>
        <w:t xml:space="preserve"> </w:t>
      </w:r>
      <w:r>
        <w:t xml:space="preserve">The SLC transfer station lease has been in an unconsented assignment status for 2.5 years; the proposed Sycamore acquisition would layer a second change-of-control event on top of the unresolved first assignment, threatening $16.2M of revenue.</w:t>
      </w:r>
    </w:p>
    <w:p>
      <w:pPr>
        <w:pStyle w:val="Compact"/>
        <w:numPr>
          <w:ilvl w:val="0"/>
          <w:numId w:val="1001"/>
        </w:numPr>
      </w:pPr>
      <w:r>
        <w:rPr>
          <w:b/>
          <w:bCs/>
        </w:rPr>
        <w:t xml:space="preserve">RF-15 — Ramirez Personal Injury / Insurance Coverage Gap (HIGH):</w:t>
      </w:r>
      <w:r>
        <w:t xml:space="preserve"> </w:t>
      </w:r>
      <w:r>
        <w:t xml:space="preserve">A $4.8M personal injury claim is pending with a reservation of rights from the insurer; coverage determination remains unresolved.</w:t>
      </w:r>
    </w:p>
    <w:p>
      <w:pPr>
        <w:pStyle w:val="Compact"/>
        <w:numPr>
          <w:ilvl w:val="0"/>
          <w:numId w:val="1001"/>
        </w:numPr>
      </w:pPr>
      <w:r>
        <w:rPr>
          <w:b/>
          <w:bCs/>
        </w:rPr>
        <w:t xml:space="preserve">RF-16 — Asbestos Long-Tail Exposure / Pre-2015 Coverage Gap (MEDIUM):</w:t>
      </w:r>
      <w:r>
        <w:t xml:space="preserve"> </w:t>
      </w:r>
      <w:r>
        <w:t xml:space="preserve">Work performed from 2012–2014 is uninsured under the current Pollution Legal Liability policy’s retroactive date; no completed operations tail coverage has been procured.</w:t>
      </w:r>
    </w:p>
    <w:p>
      <w:pPr>
        <w:pStyle w:val="Compact"/>
        <w:numPr>
          <w:ilvl w:val="0"/>
          <w:numId w:val="1001"/>
        </w:numPr>
      </w:pPr>
      <w:r>
        <w:rPr>
          <w:b/>
          <w:bCs/>
        </w:rPr>
        <w:t xml:space="preserve">RF-17 — NLRB Union Petition (HIGH):</w:t>
      </w:r>
      <w:r>
        <w:t xml:space="preserve"> </w:t>
      </w:r>
      <w:r>
        <w:t xml:space="preserve">An NLRB election petition filed November 4, 2024 by the Teamsters covering 62 field technicians at Grand Junction and Casper was disclosed only in a footnote of the Employee Benefits Summary and not in the CIM or Litigation Summary.</w:t>
      </w:r>
    </w:p>
    <w:p>
      <w:pPr>
        <w:pStyle w:val="FirstParagraph"/>
      </w:pPr>
      <w:r>
        <w:rPr>
          <w:b/>
          <w:bCs/>
        </w:rPr>
        <w:t xml:space="preserve">Overall Assessment:</w:t>
      </w:r>
      <w:r>
        <w:t xml:space="preserve"> </w:t>
      </w:r>
      <w:r>
        <w:t xml:space="preserve">The transaction presents a meaningful risk profile that warrants significant price adjustment, enhanced indemnification protections, and resolution of several pre-closing conditions before Sycamore should proceed to signing. The four most critical issues are the DOE contract ceiling exhaustion, the Salt Lake City lease dual assignment default, the stale Phase II ESA with unquantified vapor intrusion risk, and the EBITDA reconciliation discrepancy.</w:t>
      </w:r>
    </w:p>
    <w:p>
      <w:r>
        <w:pict>
          <v:rect style="width:0;height:1.5pt" o:hralign="center" o:hrstd="t" o:hr="t"/>
        </w:pict>
      </w:r>
    </w:p>
    <w:bookmarkEnd w:id="21"/>
    <w:bookmarkStart w:id="27" w:name="X59cfcd553f6657b8a6b60b470b5bf36b9e4aecd"/>
    <w:p>
      <w:pPr>
        <w:pStyle w:val="Heading2"/>
      </w:pPr>
      <w:r>
        <w:t xml:space="preserve">II. Financial / Quality of Earnings Red Flags</w:t>
      </w:r>
    </w:p>
    <w:bookmarkStart w:id="22" w:name="Xa25e7345aadf2031fbb3caab0aef85187107dab"/>
    <w:p>
      <w:pPr>
        <w:pStyle w:val="Heading3"/>
      </w:pPr>
      <w:r>
        <w:t xml:space="preserve">RF-01 | EBITDA Reconciliation Discrepancy — $1.0M Unexplained Gap |</w:t>
      </w:r>
      <w:r>
        <w:t xml:space="preserve"> </w:t>
      </w:r>
      <w:r>
        <w:rPr>
          <w:b/>
          <w:bCs/>
        </w:rPr>
        <w:t xml:space="preserve">CRITICAL</w:t>
      </w:r>
    </w:p>
    <w:p>
      <w:pPr>
        <w:pStyle w:val="FirstParagraph"/>
      </w:pPr>
      <w:r>
        <w:rPr>
          <w:b/>
          <w:bCs/>
        </w:rPr>
        <w:t xml:space="preserve">Finding:</w:t>
      </w:r>
      <w:r>
        <w:t xml:space="preserve"> </w:t>
      </w:r>
      <w:r>
        <w:t xml:space="preserve">The QofE data package (EBITDA Bridge tab) shows Management Adjusted EBITDA of</w:t>
      </w:r>
      <w:r>
        <w:t xml:space="preserve"> </w:t>
      </w:r>
      <w:r>
        <w:rPr>
          <w:b/>
          <w:bCs/>
        </w:rPr>
        <w:t xml:space="preserve">$23.8 million</w:t>
      </w:r>
      <w:r>
        <w:t xml:space="preserve">, while the CIM and LOI both reference</w:t>
      </w:r>
      <w:r>
        <w:t xml:space="preserve"> </w:t>
      </w:r>
      <w:r>
        <w:rPr>
          <w:b/>
          <w:bCs/>
        </w:rPr>
        <w:t xml:space="preserve">$22.8 million</w:t>
      </w:r>
      <w:r>
        <w:t xml:space="preserve"> </w:t>
      </w:r>
      <w:r>
        <w:t xml:space="preserve">— a $1.0 million discrepancy. The data package itself acknowledges:</w:t>
      </w:r>
      <w:r>
        <w:t xml:space="preserve"> </w:t>
      </w:r>
      <w:r>
        <w:rPr>
          <w:i/>
          <w:iCs/>
        </w:rPr>
        <w:t xml:space="preserve">“</w:t>
      </w:r>
      <w:r>
        <w:rPr>
          <w:i/>
          <w:iCs/>
        </w:rPr>
        <w:t xml:space="preserve">Management intends to reconcile the difference and will provide an updated schedule. The specific adjustment category causing the discrepancy has not been identified.</w:t>
      </w:r>
      <w:r>
        <w:rPr>
          <w:i/>
          <w:iCs/>
        </w:rPr>
        <w:t xml:space="preserve">”</w:t>
      </w:r>
      <w:r>
        <w:t xml:space="preserve"> </w:t>
      </w:r>
      <w:r>
        <w:t xml:space="preserve">The entire enterprise value range ($182–$205M) is anchored to the $22.8M figure. If the correct number is $23.8M, the valuation could be argued upward; if the $22.8M figure is itself overstated, the multiple is understated and the true EBITDA lower.</w:t>
      </w:r>
    </w:p>
    <w:p>
      <w:pPr>
        <w:pStyle w:val="BodyText"/>
      </w:pPr>
      <w:r>
        <w:rPr>
          <w:b/>
          <w:bCs/>
        </w:rPr>
        <w:t xml:space="preserve">Implication:</w:t>
      </w:r>
      <w:r>
        <w:t xml:space="preserve"> </w:t>
      </w:r>
      <w:r>
        <w:t xml:space="preserve">The QofE team must resolve this discrepancy before signing. A $1.0M swing at 8.0–9.0x implies $8–9M of enterprise value uncertainty. Buyer should not proceed to a definitive agreement until a fully reconciled, audited EBITDA bridge is delivered.</w:t>
      </w:r>
    </w:p>
    <w:p>
      <w:pPr>
        <w:pStyle w:val="BodyText"/>
      </w:pPr>
      <w:r>
        <w:rPr>
          <w:b/>
          <w:bCs/>
        </w:rPr>
        <w:t xml:space="preserve">Action Required:</w:t>
      </w:r>
      <w:r>
        <w:t xml:space="preserve"> </w:t>
      </w:r>
      <w:r>
        <w:t xml:space="preserve">Demand a line-by-line reconciliation from management. Confirm which figure is correct and whether any adjustment category has been double-counted or omitted.</w:t>
      </w:r>
    </w:p>
    <w:p>
      <w:r>
        <w:pict>
          <v:rect style="width:0;height:1.5pt" o:hralign="center" o:hrstd="t" o:hr="t"/>
        </w:pict>
      </w:r>
    </w:p>
    <w:bookmarkEnd w:id="22"/>
    <w:bookmarkStart w:id="23" w:name="Xa715a636acec85cf6af509b5c213fa6cdb67dda"/>
    <w:p>
      <w:pPr>
        <w:pStyle w:val="Heading3"/>
      </w:pPr>
      <w:r>
        <w:t xml:space="preserve">RF-02 | Aggressive EBITDA Add-Backs — $5.4M in Adjustments, Most Disallowed by Bank |</w:t>
      </w:r>
      <w:r>
        <w:t xml:space="preserve"> </w:t>
      </w:r>
      <w:r>
        <w:rPr>
          <w:b/>
          <w:bCs/>
        </w:rPr>
        <w:t xml:space="preserve">HIGH</w:t>
      </w:r>
    </w:p>
    <w:p>
      <w:pPr>
        <w:pStyle w:val="FirstParagraph"/>
      </w:pPr>
      <w:r>
        <w:rPr>
          <w:b/>
          <w:bCs/>
        </w:rPr>
        <w:t xml:space="preserve">Finding:</w:t>
      </w:r>
      <w:r>
        <w:t xml:space="preserve"> </w:t>
      </w:r>
      <w:r>
        <w:t xml:space="preserve">Management’s $5.4M in add-backs bridge reported EBITDA of $18.4M to adjusted EBITDA of $23.8M. The Credit Agreement’s definition of Consolidated EBITDA permits only up to $500K of non-recurring charges; all five management adjustments are expressly excluded under the bank definition. Specific concerns:</w:t>
      </w:r>
    </w:p>
    <w:p>
      <w:pPr>
        <w:pStyle w:val="Compact"/>
        <w:numPr>
          <w:ilvl w:val="0"/>
          <w:numId w:val="1002"/>
        </w:numPr>
      </w:pPr>
      <w:r>
        <w:rPr>
          <w:b/>
          <w:bCs/>
        </w:rPr>
        <w:t xml:space="preserve">Owner Compensation Normalization ($950K):</w:t>
      </w:r>
      <w:r>
        <w:t xml:space="preserve"> </w:t>
      </w:r>
      <w:r>
        <w:t xml:space="preserve">CEO and COO are each paid $875K (total $1.75M). The proposed market-rate replacement is $400K each ($800K total). However, the employment agreements show bonus targets of 50% of base salary ($437.5K each), meaning total target compensation is $1.3125M per executive — far above the $400K</w:t>
      </w:r>
      <w:r>
        <w:t xml:space="preserve"> </w:t>
      </w:r>
      <w:r>
        <w:t xml:space="preserve">“</w:t>
      </w:r>
      <w:r>
        <w:t xml:space="preserve">market rate.</w:t>
      </w:r>
      <w:r>
        <w:t xml:space="preserve">”</w:t>
      </w:r>
      <w:r>
        <w:t xml:space="preserve"> </w:t>
      </w:r>
      <w:r>
        <w:t xml:space="preserve">The normalization understates true replacement cost.</w:t>
      </w:r>
    </w:p>
    <w:p>
      <w:pPr>
        <w:pStyle w:val="Compact"/>
        <w:numPr>
          <w:ilvl w:val="0"/>
          <w:numId w:val="1002"/>
        </w:numPr>
      </w:pPr>
      <w:r>
        <w:rPr>
          <w:b/>
          <w:bCs/>
        </w:rPr>
        <w:t xml:space="preserve">Asbestos Wind-Down ($1.8M):</w:t>
      </w:r>
      <w:r>
        <w:t xml:space="preserve"> </w:t>
      </w:r>
      <w:r>
        <w:t xml:space="preserve">Characterized as non-recurring, but the service line generated losses in FY2023 ($686K negative contribution) and the wind-down costs span two fiscal years (FY2023: $920K; FY2024: $1.8M), suggesting a recurring pattern of cost rather than a single event.</w:t>
      </w:r>
    </w:p>
    <w:p>
      <w:pPr>
        <w:pStyle w:val="Compact"/>
        <w:numPr>
          <w:ilvl w:val="0"/>
          <w:numId w:val="1002"/>
        </w:numPr>
      </w:pPr>
      <w:r>
        <w:rPr>
          <w:b/>
          <w:bCs/>
        </w:rPr>
        <w:t xml:space="preserve">Pinnacle Integration ($800K in FY2024):</w:t>
      </w:r>
      <w:r>
        <w:t xml:space="preserve"> </w:t>
      </w:r>
      <w:r>
        <w:t xml:space="preserve">The acquisition closed in March 2022. Integration costs in FY2024 — 2.5 years post-close — are difficult to characterize as non-recurring. The same category was added back in FY2022 ($1.24M) and FY2023 ($620K), totaling $2.66M over three years.</w:t>
      </w:r>
    </w:p>
    <w:p>
      <w:pPr>
        <w:pStyle w:val="Compact"/>
        <w:numPr>
          <w:ilvl w:val="0"/>
          <w:numId w:val="1002"/>
        </w:numPr>
      </w:pPr>
      <w:r>
        <w:rPr>
          <w:b/>
          <w:bCs/>
        </w:rPr>
        <w:t xml:space="preserve">ERP Implementation ($650K):</w:t>
      </w:r>
      <w:r>
        <w:t xml:space="preserve"> </w:t>
      </w:r>
      <w:r>
        <w:t xml:space="preserve">The data package notes Phase 2 is expected to complete in Q2 FY2025, suggesting additional costs will be incurred post-closing.</w:t>
      </w:r>
    </w:p>
    <w:p>
      <w:pPr>
        <w:pStyle w:val="FirstParagraph"/>
      </w:pPr>
      <w:r>
        <w:rPr>
          <w:b/>
          <w:bCs/>
        </w:rPr>
        <w:t xml:space="preserve">Implication:</w:t>
      </w:r>
      <w:r>
        <w:t xml:space="preserve"> </w:t>
      </w:r>
      <w:r>
        <w:t xml:space="preserve">A buyer-adjusted EBITDA, applying more conservative add-back standards, could be materially lower than $22.8M. At a 50% haircut to add-backs, adjusted EBITDA would be approximately $20.5M, implying a purchase price of $164–$185M at the same multiple — a $18–20M reduction from the midpoint of the indicative range.</w:t>
      </w:r>
    </w:p>
    <w:p>
      <w:pPr>
        <w:pStyle w:val="BodyText"/>
      </w:pPr>
      <w:r>
        <w:rPr>
          <w:b/>
          <w:bCs/>
        </w:rPr>
        <w:t xml:space="preserve">Action Required:</w:t>
      </w:r>
      <w:r>
        <w:t xml:space="preserve"> </w:t>
      </w:r>
      <w:r>
        <w:t xml:space="preserve">QofE team should independently validate each add-back category, apply buyer-standard normalization, and restate EBITDA on a defensible basis before finalizing valuation.</w:t>
      </w:r>
    </w:p>
    <w:p>
      <w:r>
        <w:pict>
          <v:rect style="width:0;height:1.5pt" o:hralign="center" o:hrstd="t" o:hr="t"/>
        </w:pict>
      </w:r>
    </w:p>
    <w:bookmarkEnd w:id="23"/>
    <w:bookmarkStart w:id="24" w:name="X78a0c7a1d0d7a189b1ac62aef6b7b1abe10e681"/>
    <w:p>
      <w:pPr>
        <w:pStyle w:val="Heading3"/>
      </w:pPr>
      <w:r>
        <w:t xml:space="preserve">RF-03 | Reported EBITDA Decline — FY2024 Reported EBITDA Down 27% YoY |</w:t>
      </w:r>
      <w:r>
        <w:t xml:space="preserve"> </w:t>
      </w:r>
      <w:r>
        <w:rPr>
          <w:b/>
          <w:bCs/>
        </w:rPr>
        <w:t xml:space="preserve">HIGH</w:t>
      </w:r>
    </w:p>
    <w:p>
      <w:pPr>
        <w:pStyle w:val="FirstParagraph"/>
      </w:pPr>
      <w:r>
        <w:rPr>
          <w:b/>
          <w:bCs/>
        </w:rPr>
        <w:t xml:space="preserve">Finding:</w:t>
      </w:r>
      <w:r>
        <w:t xml:space="preserve"> </w:t>
      </w:r>
      <w:r>
        <w:t xml:space="preserve">The Historical P&amp;L shows reported EBITDA declining from $25.2M in FY2023 to $18.4M in FY2024 — a</w:t>
      </w:r>
      <w:r>
        <w:t xml:space="preserve"> </w:t>
      </w:r>
      <w:r>
        <w:rPr>
          <w:b/>
          <w:bCs/>
        </w:rPr>
        <w:t xml:space="preserve">27% year-over-year decline</w:t>
      </w:r>
      <w:r>
        <w:t xml:space="preserve"> </w:t>
      </w:r>
      <w:r>
        <w:t xml:space="preserve">— even as revenue grew 11.1%. This is masked in the CIM, which presents only Adjusted EBITDA. The decline reflects $5.4M in add-backs concentrated in FY2024, but also a meaningful compression in EBIT margin (from 16.0% to 14.5%). The CIM presents gross margin as</w:t>
      </w:r>
      <w:r>
        <w:t xml:space="preserve"> </w:t>
      </w:r>
      <w:r>
        <w:t xml:space="preserve">“</w:t>
      </w:r>
      <w:r>
        <w:t xml:space="preserve">stable at approximately 35%,</w:t>
      </w:r>
      <w:r>
        <w:t xml:space="preserve">”</w:t>
      </w:r>
      <w:r>
        <w:t xml:space="preserve"> </w:t>
      </w:r>
      <w:r>
        <w:t xml:space="preserve">but the P&amp;L shows gross margin was 36% in FY2021 and FY2023, declining to 35% in FY2024.</w:t>
      </w:r>
    </w:p>
    <w:p>
      <w:pPr>
        <w:pStyle w:val="BodyText"/>
      </w:pPr>
      <w:r>
        <w:rPr>
          <w:b/>
          <w:bCs/>
        </w:rPr>
        <w:t xml:space="preserve">Implication:</w:t>
      </w:r>
      <w:r>
        <w:t xml:space="preserve"> </w:t>
      </w:r>
      <w:r>
        <w:t xml:space="preserve">The business is generating less cash than the adjusted figures suggest. The reported EBITDA trajectory raises questions about whether the add-backs are masking underlying margin deterioration.</w:t>
      </w:r>
    </w:p>
    <w:p>
      <w:pPr>
        <w:pStyle w:val="BodyText"/>
      </w:pPr>
      <w:r>
        <w:rPr>
          <w:b/>
          <w:bCs/>
        </w:rPr>
        <w:t xml:space="preserve">Action Required:</w:t>
      </w:r>
      <w:r>
        <w:t xml:space="preserve"> </w:t>
      </w:r>
      <w:r>
        <w:t xml:space="preserve">Analyze the drivers of EBIT margin compression. Confirm whether the FY2024 add-backs are truly non-recurring or whether they reflect structural cost increases.</w:t>
      </w:r>
    </w:p>
    <w:p>
      <w:r>
        <w:pict>
          <v:rect style="width:0;height:1.5pt" o:hralign="center" o:hrstd="t" o:hr="t"/>
        </w:pict>
      </w:r>
    </w:p>
    <w:bookmarkEnd w:id="24"/>
    <w:bookmarkStart w:id="25" w:name="X1acbece0c327ebb63b3f050600234b9632b9d41"/>
    <w:p>
      <w:pPr>
        <w:pStyle w:val="Heading3"/>
      </w:pPr>
      <w:r>
        <w:t xml:space="preserve">RF-04 | Fleet Replacement Backlog — $9.8M Deferred Capex Liability |</w:t>
      </w:r>
      <w:r>
        <w:t xml:space="preserve"> </w:t>
      </w:r>
      <w:r>
        <w:rPr>
          <w:b/>
          <w:bCs/>
        </w:rPr>
        <w:t xml:space="preserve">HIGH</w:t>
      </w:r>
    </w:p>
    <w:p>
      <w:pPr>
        <w:pStyle w:val="FirstParagraph"/>
      </w:pPr>
      <w:r>
        <w:rPr>
          <w:b/>
          <w:bCs/>
        </w:rPr>
        <w:t xml:space="preserve">Finding:</w:t>
      </w:r>
      <w:r>
        <w:t xml:space="preserve"> </w:t>
      </w:r>
      <w:r>
        <w:t xml:space="preserve">The Fleet &amp; Equipment Schedule reveals that</w:t>
      </w:r>
      <w:r>
        <w:t xml:space="preserve"> </w:t>
      </w:r>
      <w:r>
        <w:rPr>
          <w:b/>
          <w:bCs/>
        </w:rPr>
        <w:t xml:space="preserve">38 of 85 assets (44.7%) are at or past their stated useful life</w:t>
      </w:r>
      <w:r>
        <w:t xml:space="preserve">, with an average fleet age of 8.2 years against a 7.0-year weighted average useful life. Total estimated replacement cost for past-useful-life units is</w:t>
      </w:r>
      <w:r>
        <w:t xml:space="preserve"> </w:t>
      </w:r>
      <w:r>
        <w:rPr>
          <w:b/>
          <w:bCs/>
        </w:rPr>
        <w:t xml:space="preserve">$9.8M</w:t>
      </w:r>
      <w:r>
        <w:t xml:space="preserve">. Several units are flagged</w:t>
      </w:r>
      <w:r>
        <w:t xml:space="preserve"> </w:t>
      </w:r>
      <w:r>
        <w:t xml:space="preserve">“</w:t>
      </w:r>
      <w:r>
        <w:t xml:space="preserve">At End of Life — No Replacement Scheduled,</w:t>
      </w:r>
      <w:r>
        <w:t xml:space="preserve">”</w:t>
      </w:r>
      <w:r>
        <w:t xml:space="preserve"> </w:t>
      </w:r>
      <w:r>
        <w:t xml:space="preserve">meaning no capital plan exists for their replacement. Management’s normalized maintenance capex estimate of $4.0–$4.5M per year appears understated given the deferred replacement backlog; spreading the $9.8M backlog over three years implies approximately $3.3M per year in catch-up capex above the stated run-rate.</w:t>
      </w:r>
    </w:p>
    <w:p>
      <w:pPr>
        <w:pStyle w:val="BodyText"/>
      </w:pPr>
      <w:r>
        <w:rPr>
          <w:b/>
          <w:bCs/>
        </w:rPr>
        <w:t xml:space="preserve">Implication:</w:t>
      </w:r>
      <w:r>
        <w:t xml:space="preserve"> </w:t>
      </w:r>
      <w:r>
        <w:t xml:space="preserve">True normalized maintenance capex is likely $7.3–$7.8M per year (stated $4.0–$4.5M plus $3.3M catch-up), not $4.0–$4.5M. This reduces normalized free cash flow by approximately $3M annually and implies a higher effective purchase price multiple on a free cash flow basis.</w:t>
      </w:r>
    </w:p>
    <w:p>
      <w:pPr>
        <w:pStyle w:val="BodyText"/>
      </w:pPr>
      <w:r>
        <w:rPr>
          <w:b/>
          <w:bCs/>
        </w:rPr>
        <w:t xml:space="preserve">Action Required:</w:t>
      </w:r>
      <w:r>
        <w:t xml:space="preserve"> </w:t>
      </w:r>
      <w:r>
        <w:t xml:space="preserve">Obtain an independent fleet appraisal. Require management to provide a detailed fleet replacement plan and revised capex budget. Adjust valuation for the deferred capex liability.</w:t>
      </w:r>
    </w:p>
    <w:p>
      <w:r>
        <w:pict>
          <v:rect style="width:0;height:1.5pt" o:hralign="center" o:hrstd="t" o:hr="t"/>
        </w:pict>
      </w:r>
    </w:p>
    <w:bookmarkEnd w:id="25"/>
    <w:bookmarkStart w:id="26" w:name="X260e2a1b1aebe432d4a58f2c2b9b30a422c98cd"/>
    <w:p>
      <w:pPr>
        <w:pStyle w:val="Heading3"/>
      </w:pPr>
      <w:r>
        <w:t xml:space="preserve">RF-05 | Audit Quality — No Audited FY2024 Financials; Prior Auditor Change |</w:t>
      </w:r>
      <w:r>
        <w:t xml:space="preserve"> </w:t>
      </w:r>
      <w:r>
        <w:rPr>
          <w:b/>
          <w:bCs/>
        </w:rPr>
        <w:t xml:space="preserve">MEDIUM</w:t>
      </w:r>
    </w:p>
    <w:p>
      <w:pPr>
        <w:pStyle w:val="FirstParagraph"/>
      </w:pPr>
      <w:r>
        <w:rPr>
          <w:b/>
          <w:bCs/>
        </w:rPr>
        <w:t xml:space="preserve">Finding:</w:t>
      </w:r>
      <w:r>
        <w:t xml:space="preserve"> </w:t>
      </w:r>
      <w:r>
        <w:t xml:space="preserve">The CIM states that financial statements are</w:t>
      </w:r>
      <w:r>
        <w:t xml:space="preserve"> </w:t>
      </w:r>
      <w:r>
        <w:t xml:space="preserve">“</w:t>
      </w:r>
      <w:r>
        <w:t xml:space="preserve">reviewed</w:t>
      </w:r>
      <w:r>
        <w:t xml:space="preserve">”</w:t>
      </w:r>
      <w:r>
        <w:t xml:space="preserve"> </w:t>
      </w:r>
      <w:r>
        <w:t xml:space="preserve">(not audited) by Hansen &amp; Whitfield, CPAs of Grand Junction. The QofE cover sheet states FY2020–FY2023 were audited by Plante Moran PLLC, while FY2024 is</w:t>
      </w:r>
      <w:r>
        <w:t xml:space="preserve"> </w:t>
      </w:r>
      <w:r>
        <w:t xml:space="preserve">“</w:t>
      </w:r>
      <w:r>
        <w:t xml:space="preserve">reviewed (unaudited).</w:t>
      </w:r>
      <w:r>
        <w:t xml:space="preserve">”</w:t>
      </w:r>
      <w:r>
        <w:t xml:space="preserve"> </w:t>
      </w:r>
      <w:r>
        <w:t xml:space="preserve">The LOI requires delivery of audited FY2022, FY2023, and FY2024 financials as a closing condition. The change from Plante Moran (a national firm) to Hansen &amp; Whitfield (a local Grand Junction firm) for the review engagement raises questions about the quality of financial oversight.</w:t>
      </w:r>
    </w:p>
    <w:p>
      <w:pPr>
        <w:pStyle w:val="BodyText"/>
      </w:pPr>
      <w:r>
        <w:rPr>
          <w:b/>
          <w:bCs/>
        </w:rPr>
        <w:t xml:space="preserve">Implication:</w:t>
      </w:r>
      <w:r>
        <w:t xml:space="preserve"> </w:t>
      </w:r>
      <w:r>
        <w:t xml:space="preserve">The absence of audited FY2024 financials means the QofE is working from unaudited management-prepared data. The auditor change may signal a cost-cutting measure or a desire for less rigorous oversight. Audited FY2024 financials may reveal adjustments to the reviewed figures.</w:t>
      </w:r>
    </w:p>
    <w:p>
      <w:pPr>
        <w:pStyle w:val="BodyText"/>
      </w:pPr>
      <w:r>
        <w:rPr>
          <w:b/>
          <w:bCs/>
        </w:rPr>
        <w:t xml:space="preserve">Action Required:</w:t>
      </w:r>
      <w:r>
        <w:t xml:space="preserve"> </w:t>
      </w:r>
      <w:r>
        <w:t xml:space="preserve">Require delivery of audited FY2024 financials (Plante Moran or equivalent) as a pre-signing condition, not merely a closing condition. Investigate the reason for the auditor change.</w:t>
      </w:r>
    </w:p>
    <w:p>
      <w:r>
        <w:pict>
          <v:rect style="width:0;height:1.5pt" o:hralign="center" o:hrstd="t" o:hr="t"/>
        </w:pict>
      </w:r>
    </w:p>
    <w:bookmarkEnd w:id="26"/>
    <w:bookmarkEnd w:id="27"/>
    <w:bookmarkStart w:id="32" w:name="iii.-environmental-regulatory-red-flags"/>
    <w:p>
      <w:pPr>
        <w:pStyle w:val="Heading2"/>
      </w:pPr>
      <w:r>
        <w:t xml:space="preserve">III. Environmental &amp; Regulatory Red Flags</w:t>
      </w:r>
    </w:p>
    <w:bookmarkStart w:id="28" w:name="X77a358e56c15149a5c22b37d9e3c06323ff6649"/>
    <w:p>
      <w:pPr>
        <w:pStyle w:val="Heading3"/>
      </w:pPr>
      <w:r>
        <w:t xml:space="preserve">RF-06 | Stale Phase II ESA — 5.5 Years Old; Vapor Intrusion Risk Unquantified |</w:t>
      </w:r>
      <w:r>
        <w:t xml:space="preserve"> </w:t>
      </w:r>
      <w:r>
        <w:rPr>
          <w:b/>
          <w:bCs/>
        </w:rPr>
        <w:t xml:space="preserve">CRITICAL</w:t>
      </w:r>
    </w:p>
    <w:p>
      <w:pPr>
        <w:pStyle w:val="FirstParagraph"/>
      </w:pPr>
      <w:r>
        <w:rPr>
          <w:b/>
          <w:bCs/>
        </w:rPr>
        <w:t xml:space="preserve">Finding:</w:t>
      </w:r>
      <w:r>
        <w:t xml:space="preserve"> </w:t>
      </w:r>
      <w:r>
        <w:t xml:space="preserve">The Phase II ESA for the Grand Junction headquarters (the Company’s only owned property) was completed in</w:t>
      </w:r>
      <w:r>
        <w:t xml:space="preserve"> </w:t>
      </w:r>
      <w:r>
        <w:rPr>
          <w:b/>
          <w:bCs/>
        </w:rPr>
        <w:t xml:space="preserve">June 2019</w:t>
      </w:r>
      <w:r>
        <w:t xml:space="preserve"> </w:t>
      </w:r>
      <w:r>
        <w:t xml:space="preserve">— over five years ago. The ESA identified:</w:t>
      </w:r>
    </w:p>
    <w:p>
      <w:pPr>
        <w:pStyle w:val="Compact"/>
        <w:numPr>
          <w:ilvl w:val="0"/>
          <w:numId w:val="1003"/>
        </w:numPr>
      </w:pPr>
      <w:r>
        <w:rPr>
          <w:b/>
          <w:bCs/>
        </w:rPr>
        <w:t xml:space="preserve">Petroleum hydrocarbon contamination</w:t>
      </w:r>
      <w:r>
        <w:t xml:space="preserve"> </w:t>
      </w:r>
      <w:r>
        <w:t xml:space="preserve">(TPH-diesel up to 4,200 mg/kg; benzene at 2.4 mg/kg) in the former UST area;</w:t>
      </w:r>
    </w:p>
    <w:p>
      <w:pPr>
        <w:pStyle w:val="Compact"/>
        <w:numPr>
          <w:ilvl w:val="0"/>
          <w:numId w:val="1003"/>
        </w:numPr>
      </w:pPr>
      <w:r>
        <w:rPr>
          <w:b/>
          <w:bCs/>
        </w:rPr>
        <w:t xml:space="preserve">Chlorinated solvent contamination</w:t>
      </w:r>
      <w:r>
        <w:t xml:space="preserve"> </w:t>
      </w:r>
      <w:r>
        <w:t xml:space="preserve">(PCE up to 18 mg/kg; TCE up to 6.8 mg/kg) in the former degreasing area, with active reductive dechlorination indicating an ongoing contaminant source;</w:t>
      </w:r>
    </w:p>
    <w:p>
      <w:pPr>
        <w:pStyle w:val="Compact"/>
        <w:numPr>
          <w:ilvl w:val="0"/>
          <w:numId w:val="1003"/>
        </w:numPr>
      </w:pPr>
      <w:r>
        <w:rPr>
          <w:b/>
          <w:bCs/>
        </w:rPr>
        <w:t xml:space="preserve">Groundwater impacts</w:t>
      </w:r>
      <w:r>
        <w:t xml:space="preserve"> </w:t>
      </w:r>
      <w:r>
        <w:t xml:space="preserve">(benzene at 12 µg/L; PCE at 22 µg/L; TCE at 8.7 µg/L) confirmed in monitoring wells;</w:t>
      </w:r>
    </w:p>
    <w:p>
      <w:pPr>
        <w:pStyle w:val="Compact"/>
        <w:numPr>
          <w:ilvl w:val="0"/>
          <w:numId w:val="1003"/>
        </w:numPr>
      </w:pPr>
      <w:r>
        <w:rPr>
          <w:b/>
          <w:bCs/>
        </w:rPr>
        <w:t xml:space="preserve">Vapor intrusion risk</w:t>
      </w:r>
      <w:r>
        <w:t xml:space="preserve"> </w:t>
      </w:r>
      <w:r>
        <w:t xml:space="preserve">at the eastern vehicle maintenance building (PCE at 450 µg/m³; TCE at 120 µg/m³ in soil gas — both exceeding EPA RSLs), with</w:t>
      </w:r>
      <w:r>
        <w:t xml:space="preserve"> </w:t>
      </w:r>
      <w:r>
        <w:rPr>
          <w:b/>
          <w:bCs/>
        </w:rPr>
        <w:t xml:space="preserve">no vapor intrusion assessment completed</w:t>
      </w:r>
      <w:r>
        <w:t xml:space="preserve">.</w:t>
      </w:r>
    </w:p>
    <w:p>
      <w:pPr>
        <w:pStyle w:val="FirstParagraph"/>
      </w:pPr>
      <w:r>
        <w:t xml:space="preserve">The ESA explicitly recommended: (a) off-site downgradient monitoring wells to confirm plume containment; (b) a vapor intrusion assessment of the occupied maintenance building; and (c) updated site characterization before any property transaction.</w:t>
      </w:r>
      <w:r>
        <w:t xml:space="preserve"> </w:t>
      </w:r>
      <w:r>
        <w:rPr>
          <w:b/>
          <w:bCs/>
        </w:rPr>
        <w:t xml:space="preserve">None of these recommendations have been implemented in five years.</w:t>
      </w:r>
    </w:p>
    <w:p>
      <w:pPr>
        <w:pStyle w:val="BodyText"/>
      </w:pPr>
      <w:r>
        <w:t xml:space="preserve">The Company’s remediation accrual of $2.2M for Grand Junction is based on the 2019 cost estimate of $1.8–$2.6M. The ESA itself warns that chlorinated solvent (DNAPL) remediation costs carry</w:t>
      </w:r>
      <w:r>
        <w:t xml:space="preserve"> </w:t>
      </w:r>
      <w:r>
        <w:t xml:space="preserve">“</w:t>
      </w:r>
      <w:r>
        <w:t xml:space="preserve">significant cost uncertainty</w:t>
      </w:r>
      <w:r>
        <w:t xml:space="preserve">”</w:t>
      </w:r>
      <w:r>
        <w:t xml:space="preserve"> </w:t>
      </w:r>
      <w:r>
        <w:t xml:space="preserve">and that costs could be materially higher if off-site migration is confirmed. The 2019 estimate is in 2019 dollars and does not include vapor intrusion mitigation or off-site remediation.</w:t>
      </w:r>
    </w:p>
    <w:p>
      <w:pPr>
        <w:pStyle w:val="BodyText"/>
      </w:pPr>
      <w:r>
        <w:rPr>
          <w:b/>
          <w:bCs/>
        </w:rPr>
        <w:t xml:space="preserve">Implication:</w:t>
      </w:r>
      <w:r>
        <w:t xml:space="preserve"> </w:t>
      </w:r>
      <w:r>
        <w:t xml:space="preserve">The true remediation liability is unknown and potentially materially higher than the $2.2M accrual. Vapor intrusion into an occupied building creates occupational health liability. Off-site plume migration (unconfirmed due to absence of sentinel wells) could trigger additional regulatory requirements and third-party claims. The Pollution Legal Liability policy</w:t>
      </w:r>
      <w:r>
        <w:t xml:space="preserve"> </w:t>
      </w:r>
      <w:r>
        <w:rPr>
          <w:b/>
          <w:bCs/>
        </w:rPr>
        <w:t xml:space="preserve">explicitly excludes gradual contamination at owned facilities</w:t>
      </w:r>
      <w:r>
        <w:t xml:space="preserve">, meaning this liability is uninsured.</w:t>
      </w:r>
    </w:p>
    <w:p>
      <w:pPr>
        <w:pStyle w:val="BodyText"/>
      </w:pPr>
      <w:r>
        <w:rPr>
          <w:b/>
          <w:bCs/>
        </w:rPr>
        <w:t xml:space="preserve">Action Required:</w:t>
      </w:r>
      <w:r>
        <w:t xml:space="preserve"> </w:t>
      </w:r>
      <w:r>
        <w:t xml:space="preserve">Commission an updated Phase II ESA and vapor intrusion assessment immediately, at seller’s expense, as a pre-signing condition. Require installation of off-site monitoring wells. Obtain an updated remediation cost estimate from an independent environmental consultant. Negotiate a specific environmental indemnity with a separate escrow and extended survival period (the LOI contemplates 6-year survival for environmental reps, which is appropriate but may be insufficient given DNAPL remediation timelines).</w:t>
      </w:r>
    </w:p>
    <w:p>
      <w:r>
        <w:pict>
          <v:rect style="width:0;height:1.5pt" o:hralign="center" o:hrstd="t" o:hr="t"/>
        </w:pict>
      </w:r>
    </w:p>
    <w:bookmarkEnd w:id="28"/>
    <w:bookmarkStart w:id="29" w:name="X12c7c734eb44540ba5978ec4e05a9c0a86e2ef5"/>
    <w:p>
      <w:pPr>
        <w:pStyle w:val="Heading3"/>
      </w:pPr>
      <w:r>
        <w:t xml:space="preserve">RF-07 | CDPHE Enforcement Action — Active NOV; Penalty Up to $1.16M |</w:t>
      </w:r>
      <w:r>
        <w:t xml:space="preserve"> </w:t>
      </w:r>
      <w:r>
        <w:rPr>
          <w:b/>
          <w:bCs/>
        </w:rPr>
        <w:t xml:space="preserve">HIGH</w:t>
      </w:r>
    </w:p>
    <w:p>
      <w:pPr>
        <w:pStyle w:val="FirstParagraph"/>
      </w:pPr>
      <w:r>
        <w:rPr>
          <w:b/>
          <w:bCs/>
        </w:rPr>
        <w:t xml:space="preserve">Finding:</w:t>
      </w:r>
      <w:r>
        <w:t xml:space="preserve"> </w:t>
      </w:r>
      <w:r>
        <w:t xml:space="preserve">CDPHE issued a Notice of Violation (Docket No. CDPHE-HW-2024-0093) on July 18, 2024, alleging improper storage of approximately 14,000 gallons of F001/F002 listed hazardous waste at the Grand Junction facility. The parties dispute the violation period: RES claims 12 days (maximum penalty $450K); CDPHE claims 31 days (maximum penalty $1.16M).</w:t>
      </w:r>
      <w:r>
        <w:t xml:space="preserve"> </w:t>
      </w:r>
      <w:r>
        <w:rPr>
          <w:b/>
          <w:bCs/>
        </w:rPr>
        <w:t xml:space="preserve">No accrual has been recorded</w:t>
      </w:r>
      <w:r>
        <w:t xml:space="preserve"> </w:t>
      </w:r>
      <w:r>
        <w:t xml:space="preserve">on the balance sheet as of September 30, 2024. The matter is in administrative negotiation with a settlement conference expected in Q1 2025.</w:t>
      </w:r>
    </w:p>
    <w:p>
      <w:pPr>
        <w:pStyle w:val="BodyText"/>
      </w:pPr>
      <w:r>
        <w:rPr>
          <w:b/>
          <w:bCs/>
        </w:rPr>
        <w:t xml:space="preserve">Implication:</w:t>
      </w:r>
      <w:r>
        <w:t xml:space="preserve"> </w:t>
      </w:r>
      <w:r>
        <w:t xml:space="preserve">The unaccrued penalty exposure of $200K–$1.16M is a direct liability that should be deducted from the purchase price or escrowed. More significantly, an active RCRA enforcement action at the Company’s primary permitted facility creates permit renewal risk — the Grand Junction RCRA Part B permit expires December 31, 2026, and an unresolved enforcement action could complicate renewal.</w:t>
      </w:r>
    </w:p>
    <w:p>
      <w:pPr>
        <w:pStyle w:val="BodyText"/>
      </w:pPr>
      <w:r>
        <w:rPr>
          <w:b/>
          <w:bCs/>
        </w:rPr>
        <w:t xml:space="preserve">Action Required:</w:t>
      </w:r>
      <w:r>
        <w:t xml:space="preserve"> </w:t>
      </w:r>
      <w:r>
        <w:t xml:space="preserve">Require resolution of the CDPHE enforcement action before closing, or establish a specific escrow for the full CDPHE maximum exposure ($1.16M). Confirm that the enforcement action will not affect the 2026 permit renewal. Treat the unaccrued penalty as a purchase price adjustment.</w:t>
      </w:r>
    </w:p>
    <w:p>
      <w:r>
        <w:pict>
          <v:rect style="width:0;height:1.5pt" o:hralign="center" o:hrstd="t" o:hr="t"/>
        </w:pict>
      </w:r>
    </w:p>
    <w:bookmarkEnd w:id="29"/>
    <w:bookmarkStart w:id="30" w:name="X33ff18bd5174bb9375e2618ecc7c22adc87b905"/>
    <w:p>
      <w:pPr>
        <w:pStyle w:val="Heading3"/>
      </w:pPr>
      <w:r>
        <w:t xml:space="preserve">RF-08 | Wyoming Permit Expired — Casper Facility Operating Under Timely Renewal |</w:t>
      </w:r>
      <w:r>
        <w:t xml:space="preserve"> </w:t>
      </w:r>
      <w:r>
        <w:rPr>
          <w:b/>
          <w:bCs/>
        </w:rPr>
        <w:t xml:space="preserve">MEDIUM</w:t>
      </w:r>
    </w:p>
    <w:p>
      <w:pPr>
        <w:pStyle w:val="FirstParagraph"/>
      </w:pPr>
      <w:r>
        <w:rPr>
          <w:b/>
          <w:bCs/>
        </w:rPr>
        <w:t xml:space="preserve">Finding:</w:t>
      </w:r>
      <w:r>
        <w:t xml:space="preserve"> </w:t>
      </w:r>
      <w:r>
        <w:t xml:space="preserve">Wyoming Hazardous Waste Permit WY-HW-2019-033 for the Casper facility expired</w:t>
      </w:r>
      <w:r>
        <w:t xml:space="preserve"> </w:t>
      </w:r>
      <w:r>
        <w:rPr>
          <w:b/>
          <w:bCs/>
        </w:rPr>
        <w:t xml:space="preserve">November 30, 2024</w:t>
      </w:r>
      <w:r>
        <w:t xml:space="preserve">. A renewal application was filed October 15, 2024. The facility is currently operating under</w:t>
      </w:r>
      <w:r>
        <w:t xml:space="preserve"> </w:t>
      </w:r>
      <w:r>
        <w:t xml:space="preserve">“</w:t>
      </w:r>
      <w:r>
        <w:t xml:space="preserve">timely renewal provisions</w:t>
      </w:r>
      <w:r>
        <w:t xml:space="preserve">”</w:t>
      </w:r>
      <w:r>
        <w:t xml:space="preserve"> </w:t>
      </w:r>
      <w:r>
        <w:t xml:space="preserve">— a regulatory grace period that allows continued operations while the renewal is pending. The Credit Agreement lists permit revocation or non-renewal as an Event of Default.</w:t>
      </w:r>
    </w:p>
    <w:p>
      <w:pPr>
        <w:pStyle w:val="BodyText"/>
      </w:pPr>
      <w:r>
        <w:rPr>
          <w:b/>
          <w:bCs/>
        </w:rPr>
        <w:t xml:space="preserve">Implication:</w:t>
      </w:r>
      <w:r>
        <w:t xml:space="preserve"> </w:t>
      </w:r>
      <w:r>
        <w:t xml:space="preserve">While timely renewal provisions are standard and the renewal is expected in Q1 2025, the permit is technically expired at the time of this review. Any adverse finding during the renewal review (e.g., the CDPHE enforcement action at Grand Junction being flagged by Wyoming DEQ) could delay or complicate renewal. The Casper facility serves approximately $30M of Wyoming revenue.</w:t>
      </w:r>
    </w:p>
    <w:p>
      <w:pPr>
        <w:pStyle w:val="BodyText"/>
      </w:pPr>
      <w:r>
        <w:rPr>
          <w:b/>
          <w:bCs/>
        </w:rPr>
        <w:t xml:space="preserve">Action Required:</w:t>
      </w:r>
      <w:r>
        <w:t xml:space="preserve"> </w:t>
      </w:r>
      <w:r>
        <w:t xml:space="preserve">Confirm Wyoming DEQ renewal timeline and obtain written confirmation that the timely renewal provisions are in effect. Make permit renewal a closing condition.</w:t>
      </w:r>
    </w:p>
    <w:p>
      <w:r>
        <w:pict>
          <v:rect style="width:0;height:1.5pt" o:hralign="center" o:hrstd="t" o:hr="t"/>
        </w:pict>
      </w:r>
    </w:p>
    <w:bookmarkEnd w:id="30"/>
    <w:bookmarkStart w:id="31" w:name="Xd5075fb9b9372469f07b93d5731bed11cd97a39"/>
    <w:p>
      <w:pPr>
        <w:pStyle w:val="Heading3"/>
      </w:pPr>
      <w:r>
        <w:t xml:space="preserve">RF-09 | Salt Lake City Permit Not Transferred — Operating Under Subsidiary’s Permit |</w:t>
      </w:r>
      <w:r>
        <w:t xml:space="preserve"> </w:t>
      </w:r>
      <w:r>
        <w:rPr>
          <w:b/>
          <w:bCs/>
        </w:rPr>
        <w:t xml:space="preserve">HIGH</w:t>
      </w:r>
    </w:p>
    <w:p>
      <w:pPr>
        <w:pStyle w:val="FirstParagraph"/>
      </w:pPr>
      <w:r>
        <w:rPr>
          <w:b/>
          <w:bCs/>
        </w:rPr>
        <w:t xml:space="preserve">Finding:</w:t>
      </w:r>
      <w:r>
        <w:t xml:space="preserve"> </w:t>
      </w:r>
      <w:r>
        <w:t xml:space="preserve">Utah Hazardous Waste Transfer Station Permit UTH-0441 for the Salt Lake City facility remains in the name of</w:t>
      </w:r>
      <w:r>
        <w:t xml:space="preserve"> </w:t>
      </w:r>
      <w:r>
        <w:rPr>
          <w:b/>
          <w:bCs/>
        </w:rPr>
        <w:t xml:space="preserve">Pinnacle Waste Solutions, LLC</w:t>
      </w:r>
      <w:r>
        <w:t xml:space="preserve"> </w:t>
      </w:r>
      <w:r>
        <w:t xml:space="preserve">— not RES — more than 2.5 years after the Pinnacle acquisition. The permit transfer application has been pending with the Utah Division of Waste Management since 2022. The facility is operated by RES personnel but under Pinnacle’s permit. Utah Administrative Code R315-3 requires Division approval for permit modifications reflecting changes in ownership or operational control.</w:t>
      </w:r>
    </w:p>
    <w:p>
      <w:pPr>
        <w:pStyle w:val="BodyText"/>
      </w:pPr>
      <w:r>
        <w:rPr>
          <w:b/>
          <w:bCs/>
        </w:rPr>
        <w:t xml:space="preserve">Implication:</w:t>
      </w:r>
      <w:r>
        <w:t xml:space="preserve"> </w:t>
      </w:r>
      <w:r>
        <w:t xml:space="preserve">Operating a hazardous waste facility under a permit issued to a different entity (even a wholly-owned subsidiary) creates regulatory compliance risk. If the Utah Division of Waste Management determines that the current arrangement constitutes unauthorized operation, it could issue a stop-work order or enforcement action. The Salt Lake City facility serves approximately $16.2M of annual revenue (12.7% of total). The proposed Sycamore acquisition would layer a second change-of-control event on top of the unresolved Pinnacle-to-RES transfer.</w:t>
      </w:r>
    </w:p>
    <w:p>
      <w:pPr>
        <w:pStyle w:val="BodyText"/>
      </w:pPr>
      <w:r>
        <w:rPr>
          <w:b/>
          <w:bCs/>
        </w:rPr>
        <w:t xml:space="preserve">Action Required:</w:t>
      </w:r>
      <w:r>
        <w:t xml:space="preserve"> </w:t>
      </w:r>
      <w:r>
        <w:t xml:space="preserve">Require completion of the Utah permit transfer as a pre-closing condition. Obtain written confirmation from the Utah Division of Waste Management that the current operating arrangement is acceptable pending transfer completion.</w:t>
      </w:r>
    </w:p>
    <w:p>
      <w:r>
        <w:pict>
          <v:rect style="width:0;height:1.5pt" o:hralign="center" o:hrstd="t" o:hr="t"/>
        </w:pict>
      </w:r>
    </w:p>
    <w:bookmarkEnd w:id="31"/>
    <w:bookmarkEnd w:id="32"/>
    <w:bookmarkStart w:id="36" w:name="X4e312bd5e2eb0d113e0bab1284a8e4602946357"/>
    <w:p>
      <w:pPr>
        <w:pStyle w:val="Heading2"/>
      </w:pPr>
      <w:r>
        <w:t xml:space="preserve">IV. Commercial / Customer Concentration Red Flags</w:t>
      </w:r>
    </w:p>
    <w:bookmarkStart w:id="33" w:name="Xdc009f2694a096f55b643ebcb5e5876a1ad0014"/>
    <w:p>
      <w:pPr>
        <w:pStyle w:val="Heading3"/>
      </w:pPr>
      <w:r>
        <w:t xml:space="preserve">RF-10 | DOE Contract Ceiling Exhaustion — $12.1M Revenue Headwind in FY2025 |</w:t>
      </w:r>
      <w:r>
        <w:t xml:space="preserve"> </w:t>
      </w:r>
      <w:r>
        <w:rPr>
          <w:b/>
          <w:bCs/>
        </w:rPr>
        <w:t xml:space="preserve">CRITICAL</w:t>
      </w:r>
    </w:p>
    <w:p>
      <w:pPr>
        <w:pStyle w:val="FirstParagraph"/>
      </w:pPr>
      <w:r>
        <w:rPr>
          <w:b/>
          <w:bCs/>
        </w:rPr>
        <w:t xml:space="preserve">Finding:</w:t>
      </w:r>
      <w:r>
        <w:t xml:space="preserve"> </w:t>
      </w:r>
      <w:r>
        <w:t xml:space="preserve">The DOE IDIQ contract (DE-EM-0005523) is the Company’s largest customer at $24.4M (19.2% of revenue). The contract has a $45M ceiling value, of which</w:t>
      </w:r>
      <w:r>
        <w:t xml:space="preserve"> </w:t>
      </w:r>
      <w:r>
        <w:rPr>
          <w:b/>
          <w:bCs/>
        </w:rPr>
        <w:t xml:space="preserve">$32.7M has been consumed</w:t>
      </w:r>
      <w:r>
        <w:t xml:space="preserve"> </w:t>
      </w:r>
      <w:r>
        <w:t xml:space="preserve">(72.7% of ceiling) in 61.7% of the contract period. At the current run rate of approximately $2.03M per month, the remaining $12.3M ceiling will be</w:t>
      </w:r>
      <w:r>
        <w:t xml:space="preserve"> </w:t>
      </w:r>
      <w:r>
        <w:rPr>
          <w:b/>
          <w:bCs/>
        </w:rPr>
        <w:t xml:space="preserve">exhausted by approximately April–May 2025</w:t>
      </w:r>
      <w:r>
        <w:t xml:space="preserve"> </w:t>
      </w:r>
      <w:r>
        <w:t xml:space="preserve">— coinciding with the target closing date. The contract does not expire until August 31, 2026, leaving approximately 16 months of unfunded contract period.</w:t>
      </w:r>
    </w:p>
    <w:p>
      <w:pPr>
        <w:pStyle w:val="BodyText"/>
      </w:pPr>
      <w:r>
        <w:rPr>
          <w:b/>
          <w:bCs/>
        </w:rPr>
        <w:t xml:space="preserve">Implication:</w:t>
      </w:r>
      <w:r>
        <w:t xml:space="preserve"> </w:t>
      </w:r>
      <w:r>
        <w:t xml:space="preserve">Unless DOE issues a ceiling modification or a new contract is awarded, DOE revenue could decline from $24.4M in FY2024 to approximately $12.3M or less in FY2025 — a</w:t>
      </w:r>
      <w:r>
        <w:t xml:space="preserve"> </w:t>
      </w:r>
      <w:r>
        <w:rPr>
          <w:b/>
          <w:bCs/>
        </w:rPr>
        <w:t xml:space="preserve">$12.1M revenue headwind representing 9.5% of total revenue</w:t>
      </w:r>
      <w:r>
        <w:t xml:space="preserve">. This is not disclosed in the CIM, which presents the DOE relationship as a</w:t>
      </w:r>
      <w:r>
        <w:t xml:space="preserve"> </w:t>
      </w:r>
      <w:r>
        <w:t xml:space="preserve">“</w:t>
      </w:r>
      <w:r>
        <w:t xml:space="preserve">cornerstone</w:t>
      </w:r>
      <w:r>
        <w:t xml:space="preserve">”</w:t>
      </w:r>
      <w:r>
        <w:t xml:space="preserve"> </w:t>
      </w:r>
      <w:r>
        <w:t xml:space="preserve">providing</w:t>
      </w:r>
      <w:r>
        <w:t xml:space="preserve"> </w:t>
      </w:r>
      <w:r>
        <w:t xml:space="preserve">“</w:t>
      </w:r>
      <w:r>
        <w:t xml:space="preserve">substantial near-term revenue visibility.</w:t>
      </w:r>
      <w:r>
        <w:t xml:space="preserve">”</w:t>
      </w:r>
      <w:r>
        <w:t xml:space="preserve"> </w:t>
      </w:r>
      <w:r>
        <w:t xml:space="preserve">The CIM’s characterization is materially misleading. At a 35% gross margin, the revenue decline implies approximately $4.2M of gross profit at risk.</w:t>
      </w:r>
    </w:p>
    <w:p>
      <w:pPr>
        <w:pStyle w:val="BodyText"/>
      </w:pPr>
      <w:r>
        <w:rPr>
          <w:b/>
          <w:bCs/>
        </w:rPr>
        <w:t xml:space="preserve">Action Required:</w:t>
      </w:r>
      <w:r>
        <w:t xml:space="preserve"> </w:t>
      </w:r>
      <w:r>
        <w:t xml:space="preserve">Obtain written confirmation from DOE regarding ceiling modification prospects or new contract award timeline. Adjust the financial model to reflect the ceiling exhaustion scenario. Consider a revenue-based earnout tied to DOE contract continuation. This issue alone may warrant a $15–20M reduction in enterprise value.</w:t>
      </w:r>
    </w:p>
    <w:p>
      <w:r>
        <w:pict>
          <v:rect style="width:0;height:1.5pt" o:hralign="center" o:hrstd="t" o:hr="t"/>
        </w:pict>
      </w:r>
    </w:p>
    <w:bookmarkEnd w:id="33"/>
    <w:bookmarkStart w:id="34" w:name="X5be90881c6e4797feebdfb7a3ff9f4a498af49a"/>
    <w:p>
      <w:pPr>
        <w:pStyle w:val="Heading3"/>
      </w:pPr>
      <w:r>
        <w:t xml:space="preserve">RF-11 | DOE Contract Non-Assignability — Novation Required |</w:t>
      </w:r>
      <w:r>
        <w:t xml:space="preserve"> </w:t>
      </w:r>
      <w:r>
        <w:rPr>
          <w:b/>
          <w:bCs/>
        </w:rPr>
        <w:t xml:space="preserve">HIGH</w:t>
      </w:r>
    </w:p>
    <w:p>
      <w:pPr>
        <w:pStyle w:val="FirstParagraph"/>
      </w:pPr>
      <w:r>
        <w:rPr>
          <w:b/>
          <w:bCs/>
        </w:rPr>
        <w:t xml:space="preserve">Finding:</w:t>
      </w:r>
      <w:r>
        <w:t xml:space="preserve"> </w:t>
      </w:r>
      <w:r>
        <w:t xml:space="preserve">The DOE IDIQ contract is subject to the Anti-Assignment Act (41 U.S.C. § 6305) and FAR 42.12. The contract’s Section H, Clause H-12 requires written notification to the Contracting Officer within 30 days of any change in ownership. While a stock acquisition may not technically constitute an assignment, the contract requires a novation agreement if the Government determines one is necessary. The novation process can take 3–6 months and requires Government approval.</w:t>
      </w:r>
    </w:p>
    <w:p>
      <w:pPr>
        <w:pStyle w:val="BodyText"/>
      </w:pPr>
      <w:r>
        <w:rPr>
          <w:b/>
          <w:bCs/>
        </w:rPr>
        <w:t xml:space="preserve">Implication:</w:t>
      </w:r>
      <w:r>
        <w:t xml:space="preserve"> </w:t>
      </w:r>
      <w:r>
        <w:t xml:space="preserve">Failure to notify DOE or obtain required approvals could constitute grounds for termination for default. The DOE relationship represents $24.4M of revenue. Even if the stock acquisition does not technically require a novation, the notification requirement must be satisfied, and the Government retains discretion to require additional steps.</w:t>
      </w:r>
    </w:p>
    <w:p>
      <w:pPr>
        <w:pStyle w:val="BodyText"/>
      </w:pPr>
      <w:r>
        <w:rPr>
          <w:b/>
          <w:bCs/>
        </w:rPr>
        <w:t xml:space="preserve">Action Required:</w:t>
      </w:r>
      <w:r>
        <w:t xml:space="preserve"> </w:t>
      </w:r>
      <w:r>
        <w:t xml:space="preserve">Engage DOE Contracting Officer pre-signing to confirm notification requirements and novation process. Make DOE notification/approval a closing condition. Do not close without written confirmation from the Contracting Officer.</w:t>
      </w:r>
    </w:p>
    <w:p>
      <w:r>
        <w:pict>
          <v:rect style="width:0;height:1.5pt" o:hralign="center" o:hrstd="t" o:hr="t"/>
        </w:pict>
      </w:r>
    </w:p>
    <w:bookmarkEnd w:id="34"/>
    <w:bookmarkStart w:id="35" w:name="X73c3e67afb1d0e52528e0841cc7a0b908a6bf9b"/>
    <w:p>
      <w:pPr>
        <w:pStyle w:val="Heading3"/>
      </w:pPr>
      <w:r>
        <w:t xml:space="preserve">RF-12 | Customer Concentration — Top 5 Customers = 50.4% of Revenue |</w:t>
      </w:r>
      <w:r>
        <w:t xml:space="preserve"> </w:t>
      </w:r>
      <w:r>
        <w:rPr>
          <w:b/>
          <w:bCs/>
        </w:rPr>
        <w:t xml:space="preserve">MEDIUM</w:t>
      </w:r>
    </w:p>
    <w:p>
      <w:pPr>
        <w:pStyle w:val="FirstParagraph"/>
      </w:pPr>
      <w:r>
        <w:rPr>
          <w:b/>
          <w:bCs/>
        </w:rPr>
        <w:t xml:space="preserve">Finding:</w:t>
      </w:r>
      <w:r>
        <w:t xml:space="preserve"> </w:t>
      </w:r>
      <w:r>
        <w:t xml:space="preserve">The top 5 customers account for 50.4% of TTM revenue ($64.1M of $127.3M). Beyond the DOE ceiling issue (RF-10), additional concentration risks include:</w:t>
      </w:r>
    </w:p>
    <w:p>
      <w:pPr>
        <w:pStyle w:val="Compact"/>
        <w:numPr>
          <w:ilvl w:val="0"/>
          <w:numId w:val="1004"/>
        </w:numPr>
      </w:pPr>
      <w:r>
        <w:rPr>
          <w:b/>
          <w:bCs/>
        </w:rPr>
        <w:t xml:space="preserve">Consolidated Mining &amp; Minerals Corp. (11.4%, $14.5M):</w:t>
      </w:r>
      <w:r>
        <w:t xml:space="preserve"> </w:t>
      </w:r>
      <w:r>
        <w:t xml:space="preserve">MSA subject to 60-day termination for convenience. No minimum volume commitments.</w:t>
      </w:r>
    </w:p>
    <w:p>
      <w:pPr>
        <w:pStyle w:val="Compact"/>
        <w:numPr>
          <w:ilvl w:val="0"/>
          <w:numId w:val="1004"/>
        </w:numPr>
      </w:pPr>
      <w:r>
        <w:rPr>
          <w:b/>
          <w:bCs/>
        </w:rPr>
        <w:t xml:space="preserve">Intermountain Health Systems (5.6%, $7.1M):</w:t>
      </w:r>
      <w:r>
        <w:t xml:space="preserve"> </w:t>
      </w:r>
      <w:r>
        <w:t xml:space="preserve">Contract expires June 30, 2025 (within the target closing window). Renewal option not yet exercised; renewal decision expected February 2025. Assignment requires prior written consent.</w:t>
      </w:r>
    </w:p>
    <w:p>
      <w:pPr>
        <w:pStyle w:val="Compact"/>
        <w:numPr>
          <w:ilvl w:val="0"/>
          <w:numId w:val="1004"/>
        </w:numPr>
      </w:pPr>
      <w:r>
        <w:rPr>
          <w:b/>
          <w:bCs/>
        </w:rPr>
        <w:t xml:space="preserve">8 of Top 20 contracts</w:t>
      </w:r>
      <w:r>
        <w:t xml:space="preserve"> </w:t>
      </w:r>
      <w:r>
        <w:t xml:space="preserve">contain assignment, change-of-control, or notification provisions requiring action in connection with the proposed transaction.</w:t>
      </w:r>
    </w:p>
    <w:p>
      <w:pPr>
        <w:pStyle w:val="Compact"/>
        <w:numPr>
          <w:ilvl w:val="0"/>
          <w:numId w:val="1004"/>
        </w:numPr>
      </w:pPr>
      <w:r>
        <w:rPr>
          <w:b/>
          <w:bCs/>
        </w:rPr>
        <w:t xml:space="preserve">12 of Top 20 contracts</w:t>
      </w:r>
      <w:r>
        <w:t xml:space="preserve"> </w:t>
      </w:r>
      <w:r>
        <w:t xml:space="preserve">include termination for convenience clauses with ≤60 days notice.</w:t>
      </w:r>
    </w:p>
    <w:p>
      <w:pPr>
        <w:pStyle w:val="FirstParagraph"/>
      </w:pPr>
      <w:r>
        <w:rPr>
          <w:b/>
          <w:bCs/>
        </w:rPr>
        <w:t xml:space="preserve">Implication:</w:t>
      </w:r>
      <w:r>
        <w:t xml:space="preserve"> </w:t>
      </w:r>
      <w:r>
        <w:t xml:space="preserve">The revenue base is more fragile than the CIM suggests. Multiple contracts require consent or notification in connection with the transaction, creating closing risk and potential customer disruption.</w:t>
      </w:r>
    </w:p>
    <w:p>
      <w:pPr>
        <w:pStyle w:val="BodyText"/>
      </w:pPr>
      <w:r>
        <w:rPr>
          <w:b/>
          <w:bCs/>
        </w:rPr>
        <w:t xml:space="preserve">Action Required:</w:t>
      </w:r>
      <w:r>
        <w:t xml:space="preserve"> </w:t>
      </w:r>
      <w:r>
        <w:t xml:space="preserve">Map all contract consent requirements and develop a pre-closing consent solicitation plan. Confirm Intermountain Health renewal status before signing.</w:t>
      </w:r>
    </w:p>
    <w:p>
      <w:r>
        <w:pict>
          <v:rect style="width:0;height:1.5pt" o:hralign="center" o:hrstd="t" o:hr="t"/>
        </w:pict>
      </w:r>
    </w:p>
    <w:bookmarkEnd w:id="35"/>
    <w:bookmarkEnd w:id="36"/>
    <w:bookmarkStart w:id="39" w:name="v.-real-property-lease-red-flags"/>
    <w:p>
      <w:pPr>
        <w:pStyle w:val="Heading2"/>
      </w:pPr>
      <w:r>
        <w:t xml:space="preserve">V. Real Property &amp; Lease Red Flags</w:t>
      </w:r>
    </w:p>
    <w:bookmarkStart w:id="37" w:name="X30774607f82439376b37ba94ea06146a0756799"/>
    <w:p>
      <w:pPr>
        <w:pStyle w:val="Heading3"/>
      </w:pPr>
      <w:r>
        <w:t xml:space="preserve">RF-13 | Salt Lake City Lease — Dual Assignment Default; Landlord Consent Unresolved |</w:t>
      </w:r>
      <w:r>
        <w:t xml:space="preserve"> </w:t>
      </w:r>
      <w:r>
        <w:rPr>
          <w:b/>
          <w:bCs/>
        </w:rPr>
        <w:t xml:space="preserve">CRITICAL</w:t>
      </w:r>
    </w:p>
    <w:p>
      <w:pPr>
        <w:pStyle w:val="FirstParagraph"/>
      </w:pPr>
      <w:r>
        <w:rPr>
          <w:b/>
          <w:bCs/>
        </w:rPr>
        <w:t xml:space="preserve">Finding:</w:t>
      </w:r>
      <w:r>
        <w:t xml:space="preserve"> </w:t>
      </w:r>
      <w:r>
        <w:t xml:space="preserve">The Salt Lake City transfer station lease (2100 West North Temple) was originally executed by Pinnacle Waste Solutions, LLC. Following the March 2022 Pinnacle acquisition, RES submitted a consent-to-assignment request to landlord Wasatch Industrial Properties, LLC on April 12, 2022.</w:t>
      </w:r>
      <w:r>
        <w:t xml:space="preserve"> </w:t>
      </w:r>
      <w:r>
        <w:rPr>
          <w:b/>
          <w:bCs/>
        </w:rPr>
        <w:t xml:space="preserve">As of December 2024 — 2.5 years later — no written consent has been received.</w:t>
      </w:r>
      <w:r>
        <w:t xml:space="preserve"> </w:t>
      </w:r>
      <w:r>
        <w:t xml:space="preserve">The lease’s Section 14 defines any change of control of the tenant as an assignment requiring landlord consent. The proposed Sycamore acquisition would constitute a second change-of-control event layered on top of the unresolved first assignment.</w:t>
      </w:r>
    </w:p>
    <w:p>
      <w:pPr>
        <w:pStyle w:val="BodyText"/>
      </w:pPr>
      <w:r>
        <w:t xml:space="preserve">The landlord has recently sent correspondence (November 2024) inquiring about the current tenant of record and referencing the consent-to-assignment clause — suggesting the landlord is aware of the issue and may be positioning to assert rights.</w:t>
      </w:r>
    </w:p>
    <w:p>
      <w:pPr>
        <w:pStyle w:val="BodyText"/>
      </w:pPr>
      <w:r>
        <w:rPr>
          <w:b/>
          <w:bCs/>
        </w:rPr>
        <w:t xml:space="preserve">Implication:</w:t>
      </w:r>
      <w:r>
        <w:t xml:space="preserve"> </w:t>
      </w:r>
      <w:r>
        <w:t xml:space="preserve">The Salt Lake City facility serves approximately $16.2M of annual revenue (12.7% of total) and houses the Utah hazardous waste transfer station permit (UTH-0441). A landlord refusal to consent, or a landlord-declared default, could result in lease termination — eliminating the facility, the permit, and the associated revenue. The landlord’s recent inquiry suggests this is not a dormant issue.</w:t>
      </w:r>
    </w:p>
    <w:p>
      <w:pPr>
        <w:pStyle w:val="BodyText"/>
      </w:pPr>
      <w:r>
        <w:rPr>
          <w:b/>
          <w:bCs/>
        </w:rPr>
        <w:t xml:space="preserve">Action Required:</w:t>
      </w:r>
      <w:r>
        <w:t xml:space="preserve"> </w:t>
      </w:r>
      <w:r>
        <w:t xml:space="preserve">Obtain landlord consent to both the existing Pinnacle-to-RES assignment and the proposed Sycamore acquisition as a</w:t>
      </w:r>
      <w:r>
        <w:t xml:space="preserve"> </w:t>
      </w:r>
      <w:r>
        <w:rPr>
          <w:b/>
          <w:bCs/>
        </w:rPr>
        <w:t xml:space="preserve">pre-closing condition</w:t>
      </w:r>
      <w:r>
        <w:t xml:space="preserve">. If consent cannot be obtained, evaluate alternative facility options and the impact on Utah operations. Do not close without written landlord consent.</w:t>
      </w:r>
    </w:p>
    <w:p>
      <w:r>
        <w:pict>
          <v:rect style="width:0;height:1.5pt" o:hralign="center" o:hrstd="t" o:hr="t"/>
        </w:pict>
      </w:r>
    </w:p>
    <w:bookmarkEnd w:id="37"/>
    <w:bookmarkStart w:id="38" w:name="X061a7efe74535f96ecf9639d10d830f595ac2da"/>
    <w:p>
      <w:pPr>
        <w:pStyle w:val="Heading3"/>
      </w:pPr>
      <w:r>
        <w:t xml:space="preserve">RF-14 | Multiple Lease Consent Requirements — 7 of 10 Leases Require Landlord Consent |</w:t>
      </w:r>
      <w:r>
        <w:t xml:space="preserve"> </w:t>
      </w:r>
      <w:r>
        <w:rPr>
          <w:b/>
          <w:bCs/>
        </w:rPr>
        <w:t xml:space="preserve">MEDIUM</w:t>
      </w:r>
    </w:p>
    <w:p>
      <w:pPr>
        <w:pStyle w:val="FirstParagraph"/>
      </w:pPr>
      <w:r>
        <w:rPr>
          <w:b/>
          <w:bCs/>
        </w:rPr>
        <w:t xml:space="preserve">Finding:</w:t>
      </w:r>
      <w:r>
        <w:t xml:space="preserve"> </w:t>
      </w:r>
      <w:r>
        <w:t xml:space="preserve">Seven of the ten leased facilities require landlord consent for assignment or change of control in connection with the proposed transaction. In addition, the Pueblo Storage Yard lease expires April 30, 2025 — on or about the target closing date — and renewal negotiations are underway. The Rock Springs Field Office lease (expires October 31, 2026) has no renewal options.</w:t>
      </w:r>
    </w:p>
    <w:p>
      <w:pPr>
        <w:pStyle w:val="BodyText"/>
      </w:pPr>
      <w:r>
        <w:rPr>
          <w:b/>
          <w:bCs/>
        </w:rPr>
        <w:t xml:space="preserve">Implication:</w:t>
      </w:r>
      <w:r>
        <w:t xml:space="preserve"> </w:t>
      </w:r>
      <w:r>
        <w:t xml:space="preserve">Obtaining seven landlord consents creates closing risk and timeline pressure. Failure to obtain any consent could result in a lease default post-closing.</w:t>
      </w:r>
    </w:p>
    <w:p>
      <w:pPr>
        <w:pStyle w:val="BodyText"/>
      </w:pPr>
      <w:r>
        <w:rPr>
          <w:b/>
          <w:bCs/>
        </w:rPr>
        <w:t xml:space="preserve">Action Required:</w:t>
      </w:r>
      <w:r>
        <w:t xml:space="preserve"> </w:t>
      </w:r>
      <w:r>
        <w:t xml:space="preserve">Initiate landlord consent solicitation immediately. Prioritize Salt Lake City (RF-13) and any facility with significant operational impact. Make all required consents a closing condition.</w:t>
      </w:r>
    </w:p>
    <w:p>
      <w:r>
        <w:pict>
          <v:rect style="width:0;height:1.5pt" o:hralign="center" o:hrstd="t" o:hr="t"/>
        </w:pict>
      </w:r>
    </w:p>
    <w:bookmarkEnd w:id="38"/>
    <w:bookmarkEnd w:id="39"/>
    <w:bookmarkStart w:id="42" w:name="vi.-legal-litigation-red-flags"/>
    <w:p>
      <w:pPr>
        <w:pStyle w:val="Heading2"/>
      </w:pPr>
      <w:r>
        <w:t xml:space="preserve">VI. Legal &amp; Litigation Red Flags</w:t>
      </w:r>
    </w:p>
    <w:bookmarkStart w:id="40" w:name="Xdf3b5087937500bbfacba7aea32be5013069eb2"/>
    <w:p>
      <w:pPr>
        <w:pStyle w:val="Heading3"/>
      </w:pPr>
      <w:r>
        <w:t xml:space="preserve">RF-15 | Ramirez Personal Injury — $4.8M Claim; Insurance Coverage Uncertain |</w:t>
      </w:r>
      <w:r>
        <w:t xml:space="preserve"> </w:t>
      </w:r>
      <w:r>
        <w:rPr>
          <w:b/>
          <w:bCs/>
        </w:rPr>
        <w:t xml:space="preserve">HIGH</w:t>
      </w:r>
    </w:p>
    <w:p>
      <w:pPr>
        <w:pStyle w:val="FirstParagraph"/>
      </w:pPr>
      <w:r>
        <w:rPr>
          <w:b/>
          <w:bCs/>
        </w:rPr>
        <w:t xml:space="preserve">Finding:</w:t>
      </w:r>
      <w:r>
        <w:t xml:space="preserve"> </w:t>
      </w:r>
      <w:r>
        <w:t xml:space="preserve">Miguel Ramirez, a former field technician, filed a personal injury action (Case No. 2:24-cv-00187, D. Wyo.) on August 12, 2024, alleging VOC and heavy metal exposure at a Sheridan, Wyoming job site. The complaint seeks $4.8M including punitive damages. The insurer (Frontier Specialty Insurance Group) has issued a</w:t>
      </w:r>
      <w:r>
        <w:t xml:space="preserve"> </w:t>
      </w:r>
      <w:r>
        <w:rPr>
          <w:b/>
          <w:bCs/>
        </w:rPr>
        <w:t xml:space="preserve">reservation of rights letter</w:t>
      </w:r>
      <w:r>
        <w:t xml:space="preserve"> </w:t>
      </w:r>
      <w:r>
        <w:t xml:space="preserve">dated September 19, 2024, and coverage determination remains pending. No accrual has been recorded.</w:t>
      </w:r>
    </w:p>
    <w:p>
      <w:pPr>
        <w:pStyle w:val="BodyText"/>
      </w:pPr>
      <w:r>
        <w:rPr>
          <w:b/>
          <w:bCs/>
        </w:rPr>
        <w:t xml:space="preserve">Implication:</w:t>
      </w:r>
      <w:r>
        <w:t xml:space="preserve"> </w:t>
      </w:r>
      <w:r>
        <w:t xml:space="preserve">If coverage is denied, the Company faces uninsured exposure of up to $4.8M. The reservation of rights suggests the insurer has identified potential coverage defenses. The punitive damages claim, if successful, would not be insurable in most jurisdictions. The case is in early stages with a trial date of February 2026.</w:t>
      </w:r>
    </w:p>
    <w:p>
      <w:pPr>
        <w:pStyle w:val="BodyText"/>
      </w:pPr>
      <w:r>
        <w:rPr>
          <w:b/>
          <w:bCs/>
        </w:rPr>
        <w:t xml:space="preserve">Action Required:</w:t>
      </w:r>
      <w:r>
        <w:t xml:space="preserve"> </w:t>
      </w:r>
      <w:r>
        <w:t xml:space="preserve">Obtain a copy of the reservation of rights letter and assess the coverage defenses being asserted. Require a specific indemnity escrow for this matter. Confirm that the Ramirez claim is disclosed in the SPA representations and warranties.</w:t>
      </w:r>
    </w:p>
    <w:p>
      <w:r>
        <w:pict>
          <v:rect style="width:0;height:1.5pt" o:hralign="center" o:hrstd="t" o:hr="t"/>
        </w:pict>
      </w:r>
    </w:p>
    <w:bookmarkEnd w:id="40"/>
    <w:bookmarkStart w:id="41" w:name="X60a36e9a31b62fc8017c4abbfaaf9c9f0afbe5d"/>
    <w:p>
      <w:pPr>
        <w:pStyle w:val="Heading3"/>
      </w:pPr>
      <w:r>
        <w:t xml:space="preserve">RF-16 | Asbestos Long-Tail Exposure — Pre-2015 Work Uninsured |</w:t>
      </w:r>
      <w:r>
        <w:t xml:space="preserve"> </w:t>
      </w:r>
      <w:r>
        <w:rPr>
          <w:b/>
          <w:bCs/>
        </w:rPr>
        <w:t xml:space="preserve">MEDIUM</w:t>
      </w:r>
    </w:p>
    <w:p>
      <w:pPr>
        <w:pStyle w:val="FirstParagraph"/>
      </w:pPr>
      <w:r>
        <w:rPr>
          <w:b/>
          <w:bCs/>
        </w:rPr>
        <w:t xml:space="preserve">Finding:</w:t>
      </w:r>
      <w:r>
        <w:t xml:space="preserve"> </w:t>
      </w:r>
      <w:r>
        <w:t xml:space="preserve">RES operated an asbestos abatement service line from 2012 through September 30, 2023, performing work at approximately 145 commercial and industrial sites across Colorado, Utah, and Wyoming. The current Pollution Legal Liability policy has a</w:t>
      </w:r>
      <w:r>
        <w:t xml:space="preserve"> </w:t>
      </w:r>
      <w:r>
        <w:rPr>
          <w:b/>
          <w:bCs/>
        </w:rPr>
        <w:t xml:space="preserve">retroactive date of January 1, 2015</w:t>
      </w:r>
      <w:r>
        <w:t xml:space="preserve">, meaning claims arising from work performed from 2012 through 2014 are</w:t>
      </w:r>
      <w:r>
        <w:t xml:space="preserve"> </w:t>
      </w:r>
      <w:r>
        <w:rPr>
          <w:b/>
          <w:bCs/>
        </w:rPr>
        <w:t xml:space="preserve">not covered</w:t>
      </w:r>
      <w:r>
        <w:t xml:space="preserve"> </w:t>
      </w:r>
      <w:r>
        <w:t xml:space="preserve">under the current policy. Two workers’ compensation claims from former asbestos abatement employees remain open (filed 2021 and 2022), alleging occupational respiratory exposure. The CGL policy contains a</w:t>
      </w:r>
      <w:r>
        <w:t xml:space="preserve"> </w:t>
      </w:r>
      <w:r>
        <w:rPr>
          <w:b/>
          <w:bCs/>
        </w:rPr>
        <w:t xml:space="preserve">blanket asbestos exclusion</w:t>
      </w:r>
      <w:r>
        <w:t xml:space="preserve"> </w:t>
      </w:r>
      <w:r>
        <w:t xml:space="preserve">with no tail coverage procured.</w:t>
      </w:r>
    </w:p>
    <w:p>
      <w:pPr>
        <w:pStyle w:val="BodyText"/>
      </w:pPr>
      <w:r>
        <w:rPr>
          <w:b/>
          <w:bCs/>
        </w:rPr>
        <w:t xml:space="preserve">Implication:</w:t>
      </w:r>
      <w:r>
        <w:t xml:space="preserve"> </w:t>
      </w:r>
      <w:r>
        <w:t xml:space="preserve">Asbestos-related personal injury claims can have latency periods of 20–40 years. The 2012–2014 work period is uninsured. While management characterizes the probability of future claims as</w:t>
      </w:r>
      <w:r>
        <w:t xml:space="preserve"> </w:t>
      </w:r>
      <w:r>
        <w:t xml:space="preserve">“</w:t>
      </w:r>
      <w:r>
        <w:t xml:space="preserve">Remote,</w:t>
      </w:r>
      <w:r>
        <w:t xml:space="preserve">”</w:t>
      </w:r>
      <w:r>
        <w:t xml:space="preserve"> </w:t>
      </w:r>
      <w:r>
        <w:t xml:space="preserve">the absence of tail coverage for completed operations creates an unquantifiable long-tail liability that will survive the transaction.</w:t>
      </w:r>
    </w:p>
    <w:p>
      <w:pPr>
        <w:pStyle w:val="BodyText"/>
      </w:pPr>
      <w:r>
        <w:rPr>
          <w:b/>
          <w:bCs/>
        </w:rPr>
        <w:t xml:space="preserve">Action Required:</w:t>
      </w:r>
      <w:r>
        <w:t xml:space="preserve"> </w:t>
      </w:r>
      <w:r>
        <w:t xml:space="preserve">Obtain a specific asbestos indemnity from sellers with an extended survival period (minimum 10 years). Consider requiring sellers to procure a completed operations tail policy covering the 2012–2014 period. Quantify the exposure based on the number of sites, types of materials, and employee exposure records.</w:t>
      </w:r>
    </w:p>
    <w:p>
      <w:r>
        <w:pict>
          <v:rect style="width:0;height:1.5pt" o:hralign="center" o:hrstd="t" o:hr="t"/>
        </w:pict>
      </w:r>
    </w:p>
    <w:bookmarkEnd w:id="41"/>
    <w:bookmarkEnd w:id="42"/>
    <w:bookmarkStart w:id="45" w:name="vii.-human-capital-governance-red-flags"/>
    <w:p>
      <w:pPr>
        <w:pStyle w:val="Heading2"/>
      </w:pPr>
      <w:r>
        <w:t xml:space="preserve">VII. Human Capital &amp; Governance Red Flags</w:t>
      </w:r>
    </w:p>
    <w:bookmarkStart w:id="43" w:name="X7ea8364e70ca940eea95301ba657e771fddef2f"/>
    <w:p>
      <w:pPr>
        <w:pStyle w:val="Heading3"/>
      </w:pPr>
      <w:r>
        <w:t xml:space="preserve">RF-17 | NLRB Union Petition — 62 Employees at Grand Junction and Casper |</w:t>
      </w:r>
      <w:r>
        <w:t xml:space="preserve"> </w:t>
      </w:r>
      <w:r>
        <w:rPr>
          <w:b/>
          <w:bCs/>
        </w:rPr>
        <w:t xml:space="preserve">HIGH</w:t>
      </w:r>
    </w:p>
    <w:p>
      <w:pPr>
        <w:pStyle w:val="FirstParagraph"/>
      </w:pPr>
      <w:r>
        <w:rPr>
          <w:b/>
          <w:bCs/>
        </w:rPr>
        <w:t xml:space="preserve">Finding:</w:t>
      </w:r>
      <w:r>
        <w:t xml:space="preserve"> </w:t>
      </w:r>
      <w:r>
        <w:t xml:space="preserve">A footnote in the Employee Benefits Summary discloses that the Company received notice of an</w:t>
      </w:r>
      <w:r>
        <w:t xml:space="preserve"> </w:t>
      </w:r>
      <w:r>
        <w:rPr>
          <w:b/>
          <w:bCs/>
        </w:rPr>
        <w:t xml:space="preserve">NLRB election petition filed November 4, 2024</w:t>
      </w:r>
      <w:r>
        <w:t xml:space="preserve">, by the International Brotherhood of Teamsters Local 455, covering 62 field technicians at the Grand Junction and Casper facilities. This disclosure was buried in a footnote and was not mentioned in the CIM, the Litigation and Regulatory Summary, or any other primary data room document.</w:t>
      </w:r>
    </w:p>
    <w:p>
      <w:pPr>
        <w:pStyle w:val="BodyText"/>
      </w:pPr>
      <w:r>
        <w:rPr>
          <w:b/>
          <w:bCs/>
        </w:rPr>
        <w:t xml:space="preserve">Implication:</w:t>
      </w:r>
      <w:r>
        <w:t xml:space="preserve"> </w:t>
      </w:r>
      <w:r>
        <w:t xml:space="preserve">A successful union election would fundamentally change the Company’s labor cost structure and operational flexibility. Grand Junction and Casper are the two largest facilities, employing approximately 210 field personnel and serving as the primary hubs for remediation and emergency spill response. Unionization could increase labor costs, reduce scheduling flexibility, and complicate the post-closing integration. The petition also raises questions about employee morale and management’s characterization of</w:t>
      </w:r>
      <w:r>
        <w:t xml:space="preserve"> </w:t>
      </w:r>
      <w:r>
        <w:t xml:space="preserve">“</w:t>
      </w:r>
      <w:r>
        <w:t xml:space="preserve">positive and productive relations with employees.</w:t>
      </w:r>
      <w:r>
        <w:t xml:space="preserve">”</w:t>
      </w:r>
    </w:p>
    <w:p>
      <w:pPr>
        <w:pStyle w:val="BodyText"/>
      </w:pPr>
      <w:r>
        <w:rPr>
          <w:b/>
          <w:bCs/>
        </w:rPr>
        <w:t xml:space="preserve">Action Required:</w:t>
      </w:r>
      <w:r>
        <w:t xml:space="preserve"> </w:t>
      </w:r>
      <w:r>
        <w:t xml:space="preserve">Obtain full details of the NLRB petition, including the bargaining unit description, election timeline, and the Company’s response strategy. Assess the likelihood of a successful union election. Evaluate the financial impact of potential collective bargaining. This issue should be prominently disclosed in the SPA representations and warranties.</w:t>
      </w:r>
    </w:p>
    <w:p>
      <w:r>
        <w:pict>
          <v:rect style="width:0;height:1.5pt" o:hralign="center" o:hrstd="t" o:hr="t"/>
        </w:pict>
      </w:r>
    </w:p>
    <w:bookmarkEnd w:id="43"/>
    <w:bookmarkStart w:id="44" w:name="X9a022293b324daac66de0a9dd16e4e078f80fb0"/>
    <w:p>
      <w:pPr>
        <w:pStyle w:val="Heading3"/>
      </w:pPr>
      <w:r>
        <w:t xml:space="preserve">RF-18 | Single-Trigger CoC Severance — $2.625M Payable at Closing |</w:t>
      </w:r>
      <w:r>
        <w:t xml:space="preserve"> </w:t>
      </w:r>
      <w:r>
        <w:rPr>
          <w:b/>
          <w:bCs/>
        </w:rPr>
        <w:t xml:space="preserve">MEDIUM</w:t>
      </w:r>
    </w:p>
    <w:p>
      <w:pPr>
        <w:pStyle w:val="FirstParagraph"/>
      </w:pPr>
      <w:r>
        <w:rPr>
          <w:b/>
          <w:bCs/>
        </w:rPr>
        <w:t xml:space="preserve">Finding:</w:t>
      </w:r>
      <w:r>
        <w:t xml:space="preserve"> </w:t>
      </w:r>
      <w:r>
        <w:t xml:space="preserve">The employment agreements for Derek Calloway (CEO) and Jason Calloway (COO) contain</w:t>
      </w:r>
      <w:r>
        <w:t xml:space="preserve"> </w:t>
      </w:r>
      <w:r>
        <w:rPr>
          <w:b/>
          <w:bCs/>
        </w:rPr>
        <w:t xml:space="preserve">single-trigger</w:t>
      </w:r>
      <w:r>
        <w:t xml:space="preserve"> </w:t>
      </w:r>
      <w:r>
        <w:t xml:space="preserve">change-of-control severance provisions totaling</w:t>
      </w:r>
      <w:r>
        <w:t xml:space="preserve"> </w:t>
      </w:r>
      <w:r>
        <w:rPr>
          <w:b/>
          <w:bCs/>
        </w:rPr>
        <w:t xml:space="preserve">$2.625M</w:t>
      </w:r>
      <w:r>
        <w:t xml:space="preserve"> </w:t>
      </w:r>
      <w:r>
        <w:t xml:space="preserve">($1.3125M each), payable within 30 days of closing regardless of post-closing employment status. The LOI’s definition of Transaction Expenses does not expressly address whether these payments are seller-borne or buyer-borne. Total CoC severance across all five executives is $3.775M.</w:t>
      </w:r>
    </w:p>
    <w:p>
      <w:pPr>
        <w:pStyle w:val="BodyText"/>
      </w:pPr>
      <w:r>
        <w:rPr>
          <w:b/>
          <w:bCs/>
        </w:rPr>
        <w:t xml:space="preserve">Implication:</w:t>
      </w:r>
      <w:r>
        <w:t xml:space="preserve"> </w:t>
      </w:r>
      <w:r>
        <w:t xml:space="preserve">The $2.625M single-trigger payment is a certain closing cost that has not been clearly allocated in the LOI. If treated as a Transaction Expense (deducted from purchase price), it reduces seller proceeds. If treated as a buyer obligation, it increases the effective acquisition cost. The ambiguity creates negotiation risk.</w:t>
      </w:r>
    </w:p>
    <w:p>
      <w:pPr>
        <w:pStyle w:val="BodyText"/>
      </w:pPr>
      <w:r>
        <w:rPr>
          <w:b/>
          <w:bCs/>
        </w:rPr>
        <w:t xml:space="preserve">Action Required:</w:t>
      </w:r>
      <w:r>
        <w:t xml:space="preserve"> </w:t>
      </w:r>
      <w:r>
        <w:t xml:space="preserve">Confirm in the SPA that all CoC severance payments are treated as Transaction Expenses deducted from the purchase price. Negotiate post-closing employment arrangements with the Calloway brothers that provide retention incentives in lieu of or in addition to the severance payments.</w:t>
      </w:r>
    </w:p>
    <w:p>
      <w:r>
        <w:pict>
          <v:rect style="width:0;height:1.5pt" o:hralign="center" o:hrstd="t" o:hr="t"/>
        </w:pict>
      </w:r>
    </w:p>
    <w:bookmarkEnd w:id="44"/>
    <w:bookmarkEnd w:id="45"/>
    <w:bookmarkStart w:id="46" w:name="viii.-summary-risk-matrix"/>
    <w:p>
      <w:pPr>
        <w:pStyle w:val="Heading2"/>
      </w:pPr>
      <w:r>
        <w:t xml:space="preserve">VIII. Summary Risk Matrix</w:t>
      </w:r>
    </w:p>
    <w:tbl>
      <w:tblPr>
        <w:tblStyle w:val="Table"/>
        <w:tblW w:type="pct" w:w="5000"/>
        <w:jc w:val="left"/>
        <w:tblLayout w:type="fixed"/>
        <w:tblLook w:firstRow="1" w:lastRow="0" w:firstColumn="0" w:lastColumn="0" w:noHBand="0" w:noVBand="0" w:val="0020"/>
      </w:tblPr>
      <w:tblGrid>
        <w:gridCol w:w="416"/>
        <w:gridCol w:w="1389"/>
        <w:gridCol w:w="1389"/>
        <w:gridCol w:w="1389"/>
        <w:gridCol w:w="3334"/>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Est. Financial Exposure</w:t>
            </w:r>
          </w:p>
        </w:tc>
      </w:tr>
      <w:tr>
        <w:tc>
          <w:tcPr/>
          <w:p>
            <w:pPr>
              <w:pStyle w:val="Compact"/>
              <w:jc w:val="left"/>
            </w:pPr>
            <w:r>
              <w:t xml:space="preserve">RF-01</w:t>
            </w:r>
          </w:p>
        </w:tc>
        <w:tc>
          <w:tcPr/>
          <w:p>
            <w:pPr>
              <w:pStyle w:val="Compact"/>
              <w:jc w:val="left"/>
            </w:pPr>
            <w:r>
              <w:t xml:space="preserve">EBITDA Reconciliation Discrepancy</w:t>
            </w:r>
          </w:p>
        </w:tc>
        <w:tc>
          <w:tcPr/>
          <w:p>
            <w:pPr>
              <w:pStyle w:val="Compact"/>
              <w:jc w:val="left"/>
            </w:pPr>
            <w:r>
              <w:t xml:space="preserve">Financial / QofE</w:t>
            </w:r>
          </w:p>
        </w:tc>
        <w:tc>
          <w:tcPr/>
          <w:p>
            <w:pPr>
              <w:pStyle w:val="Compact"/>
              <w:jc w:val="left"/>
            </w:pPr>
            <w:r>
              <w:rPr>
                <w:b/>
                <w:bCs/>
              </w:rPr>
              <w:t xml:space="preserve">CRITICAL</w:t>
            </w:r>
          </w:p>
        </w:tc>
        <w:tc>
          <w:tcPr/>
          <w:p>
            <w:pPr>
              <w:pStyle w:val="Compact"/>
              <w:jc w:val="left"/>
            </w:pPr>
            <w:r>
              <w:t xml:space="preserve">$8–9M valuation uncertainty</w:t>
            </w:r>
          </w:p>
        </w:tc>
      </w:tr>
      <w:tr>
        <w:tc>
          <w:tcPr/>
          <w:p>
            <w:pPr>
              <w:pStyle w:val="Compact"/>
              <w:jc w:val="left"/>
            </w:pPr>
            <w:r>
              <w:t xml:space="preserve">RF-02</w:t>
            </w:r>
          </w:p>
        </w:tc>
        <w:tc>
          <w:tcPr/>
          <w:p>
            <w:pPr>
              <w:pStyle w:val="Compact"/>
              <w:jc w:val="left"/>
            </w:pPr>
            <w:r>
              <w:t xml:space="preserve">Aggressive EBITDA Add-Backs</w:t>
            </w:r>
          </w:p>
        </w:tc>
        <w:tc>
          <w:tcPr/>
          <w:p>
            <w:pPr>
              <w:pStyle w:val="Compact"/>
              <w:jc w:val="left"/>
            </w:pPr>
            <w:r>
              <w:t xml:space="preserve">Financial / QofE</w:t>
            </w:r>
          </w:p>
        </w:tc>
        <w:tc>
          <w:tcPr/>
          <w:p>
            <w:pPr>
              <w:pStyle w:val="Compact"/>
              <w:jc w:val="left"/>
            </w:pPr>
            <w:r>
              <w:rPr>
                <w:b/>
                <w:bCs/>
              </w:rPr>
              <w:t xml:space="preserve">HIGH</w:t>
            </w:r>
          </w:p>
        </w:tc>
        <w:tc>
          <w:tcPr/>
          <w:p>
            <w:pPr>
              <w:pStyle w:val="Compact"/>
              <w:jc w:val="left"/>
            </w:pPr>
            <w:r>
              <w:t xml:space="preserve">$15–20M valuation impact</w:t>
            </w:r>
          </w:p>
        </w:tc>
      </w:tr>
      <w:tr>
        <w:tc>
          <w:tcPr/>
          <w:p>
            <w:pPr>
              <w:pStyle w:val="Compact"/>
              <w:jc w:val="left"/>
            </w:pPr>
            <w:r>
              <w:t xml:space="preserve">RF-03</w:t>
            </w:r>
          </w:p>
        </w:tc>
        <w:tc>
          <w:tcPr/>
          <w:p>
            <w:pPr>
              <w:pStyle w:val="Compact"/>
              <w:jc w:val="left"/>
            </w:pPr>
            <w:r>
              <w:t xml:space="preserve">Reported EBITDA Decline (27% YoY)</w:t>
            </w:r>
          </w:p>
        </w:tc>
        <w:tc>
          <w:tcPr/>
          <w:p>
            <w:pPr>
              <w:pStyle w:val="Compact"/>
              <w:jc w:val="left"/>
            </w:pPr>
            <w:r>
              <w:t xml:space="preserve">Financial / QofE</w:t>
            </w:r>
          </w:p>
        </w:tc>
        <w:tc>
          <w:tcPr/>
          <w:p>
            <w:pPr>
              <w:pStyle w:val="Compact"/>
              <w:jc w:val="left"/>
            </w:pPr>
            <w:r>
              <w:rPr>
                <w:b/>
                <w:bCs/>
              </w:rPr>
              <w:t xml:space="preserve">HIGH</w:t>
            </w:r>
          </w:p>
        </w:tc>
        <w:tc>
          <w:tcPr/>
          <w:p>
            <w:pPr>
              <w:pStyle w:val="Compact"/>
              <w:jc w:val="left"/>
            </w:pPr>
            <w:r>
              <w:t xml:space="preserve">Margin quality concern</w:t>
            </w:r>
          </w:p>
        </w:tc>
      </w:tr>
      <w:tr>
        <w:tc>
          <w:tcPr/>
          <w:p>
            <w:pPr>
              <w:pStyle w:val="Compact"/>
              <w:jc w:val="left"/>
            </w:pPr>
            <w:r>
              <w:t xml:space="preserve">RF-04</w:t>
            </w:r>
          </w:p>
        </w:tc>
        <w:tc>
          <w:tcPr/>
          <w:p>
            <w:pPr>
              <w:pStyle w:val="Compact"/>
              <w:jc w:val="left"/>
            </w:pPr>
            <w:r>
              <w:t xml:space="preserve">Fleet Replacement Backlog</w:t>
            </w:r>
          </w:p>
        </w:tc>
        <w:tc>
          <w:tcPr/>
          <w:p>
            <w:pPr>
              <w:pStyle w:val="Compact"/>
              <w:jc w:val="left"/>
            </w:pPr>
            <w:r>
              <w:t xml:space="preserve">Financial / QofE</w:t>
            </w:r>
          </w:p>
        </w:tc>
        <w:tc>
          <w:tcPr/>
          <w:p>
            <w:pPr>
              <w:pStyle w:val="Compact"/>
              <w:jc w:val="left"/>
            </w:pPr>
            <w:r>
              <w:rPr>
                <w:b/>
                <w:bCs/>
              </w:rPr>
              <w:t xml:space="preserve">HIGH</w:t>
            </w:r>
          </w:p>
        </w:tc>
        <w:tc>
          <w:tcPr/>
          <w:p>
            <w:pPr>
              <w:pStyle w:val="Compact"/>
              <w:jc w:val="left"/>
            </w:pPr>
            <w:r>
              <w:t xml:space="preserve">~$9.8M deferred capex</w:t>
            </w:r>
          </w:p>
        </w:tc>
      </w:tr>
      <w:tr>
        <w:tc>
          <w:tcPr/>
          <w:p>
            <w:pPr>
              <w:pStyle w:val="Compact"/>
              <w:jc w:val="left"/>
            </w:pPr>
            <w:r>
              <w:t xml:space="preserve">RF-05</w:t>
            </w:r>
          </w:p>
        </w:tc>
        <w:tc>
          <w:tcPr/>
          <w:p>
            <w:pPr>
              <w:pStyle w:val="Compact"/>
              <w:jc w:val="left"/>
            </w:pPr>
            <w:r>
              <w:t xml:space="preserve">Audit Quality / Auditor Change</w:t>
            </w:r>
          </w:p>
        </w:tc>
        <w:tc>
          <w:tcPr/>
          <w:p>
            <w:pPr>
              <w:pStyle w:val="Compact"/>
              <w:jc w:val="left"/>
            </w:pPr>
            <w:r>
              <w:t xml:space="preserve">Financial / QofE</w:t>
            </w:r>
          </w:p>
        </w:tc>
        <w:tc>
          <w:tcPr/>
          <w:p>
            <w:pPr>
              <w:pStyle w:val="Compact"/>
              <w:jc w:val="left"/>
            </w:pPr>
            <w:r>
              <w:rPr>
                <w:b/>
                <w:bCs/>
              </w:rPr>
              <w:t xml:space="preserve">MEDIUM</w:t>
            </w:r>
          </w:p>
        </w:tc>
        <w:tc>
          <w:tcPr/>
          <w:p>
            <w:pPr>
              <w:pStyle w:val="Compact"/>
              <w:jc w:val="left"/>
            </w:pPr>
            <w:r>
              <w:t xml:space="preserve">Unquantified restatement risk</w:t>
            </w:r>
          </w:p>
        </w:tc>
      </w:tr>
      <w:tr>
        <w:tc>
          <w:tcPr/>
          <w:p>
            <w:pPr>
              <w:pStyle w:val="Compact"/>
              <w:jc w:val="left"/>
            </w:pPr>
            <w:r>
              <w:t xml:space="preserve">RF-06</w:t>
            </w:r>
          </w:p>
        </w:tc>
        <w:tc>
          <w:tcPr/>
          <w:p>
            <w:pPr>
              <w:pStyle w:val="Compact"/>
              <w:jc w:val="left"/>
            </w:pPr>
            <w:r>
              <w:t xml:space="preserve">Stale Phase II ESA / Vapor Intrusion</w:t>
            </w:r>
          </w:p>
        </w:tc>
        <w:tc>
          <w:tcPr/>
          <w:p>
            <w:pPr>
              <w:pStyle w:val="Compact"/>
              <w:jc w:val="left"/>
            </w:pPr>
            <w:r>
              <w:t xml:space="preserve">Environmental</w:t>
            </w:r>
          </w:p>
        </w:tc>
        <w:tc>
          <w:tcPr/>
          <w:p>
            <w:pPr>
              <w:pStyle w:val="Compact"/>
              <w:jc w:val="left"/>
            </w:pPr>
            <w:r>
              <w:rPr>
                <w:b/>
                <w:bCs/>
              </w:rPr>
              <w:t xml:space="preserve">CRITICAL</w:t>
            </w:r>
          </w:p>
        </w:tc>
        <w:tc>
          <w:tcPr/>
          <w:p>
            <w:pPr>
              <w:pStyle w:val="Compact"/>
              <w:jc w:val="left"/>
            </w:pPr>
            <w:r>
              <w:t xml:space="preserve">$2.6M–$10M+ (unquantified)</w:t>
            </w:r>
          </w:p>
        </w:tc>
      </w:tr>
      <w:tr>
        <w:tc>
          <w:tcPr/>
          <w:p>
            <w:pPr>
              <w:pStyle w:val="Compact"/>
              <w:jc w:val="left"/>
            </w:pPr>
            <w:r>
              <w:t xml:space="preserve">RF-07</w:t>
            </w:r>
          </w:p>
        </w:tc>
        <w:tc>
          <w:tcPr/>
          <w:p>
            <w:pPr>
              <w:pStyle w:val="Compact"/>
              <w:jc w:val="left"/>
            </w:pPr>
            <w:r>
              <w:t xml:space="preserve">CDPHE Enforcement Action</w:t>
            </w:r>
          </w:p>
        </w:tc>
        <w:tc>
          <w:tcPr/>
          <w:p>
            <w:pPr>
              <w:pStyle w:val="Compact"/>
              <w:jc w:val="left"/>
            </w:pPr>
            <w:r>
              <w:t xml:space="preserve">Environmental</w:t>
            </w:r>
          </w:p>
        </w:tc>
        <w:tc>
          <w:tcPr/>
          <w:p>
            <w:pPr>
              <w:pStyle w:val="Compact"/>
              <w:jc w:val="left"/>
            </w:pPr>
            <w:r>
              <w:rPr>
                <w:b/>
                <w:bCs/>
              </w:rPr>
              <w:t xml:space="preserve">HIGH</w:t>
            </w:r>
          </w:p>
        </w:tc>
        <w:tc>
          <w:tcPr/>
          <w:p>
            <w:pPr>
              <w:pStyle w:val="Compact"/>
              <w:jc w:val="left"/>
            </w:pPr>
            <w:r>
              <w:t xml:space="preserve">$200K–$1.16M unaccrued</w:t>
            </w:r>
          </w:p>
        </w:tc>
      </w:tr>
      <w:tr>
        <w:tc>
          <w:tcPr/>
          <w:p>
            <w:pPr>
              <w:pStyle w:val="Compact"/>
              <w:jc w:val="left"/>
            </w:pPr>
            <w:r>
              <w:t xml:space="preserve">RF-08</w:t>
            </w:r>
          </w:p>
        </w:tc>
        <w:tc>
          <w:tcPr/>
          <w:p>
            <w:pPr>
              <w:pStyle w:val="Compact"/>
              <w:jc w:val="left"/>
            </w:pPr>
            <w:r>
              <w:t xml:space="preserve">Wyoming Permit Expired</w:t>
            </w:r>
          </w:p>
        </w:tc>
        <w:tc>
          <w:tcPr/>
          <w:p>
            <w:pPr>
              <w:pStyle w:val="Compact"/>
              <w:jc w:val="left"/>
            </w:pPr>
            <w:r>
              <w:t xml:space="preserve">Environmental</w:t>
            </w:r>
          </w:p>
        </w:tc>
        <w:tc>
          <w:tcPr/>
          <w:p>
            <w:pPr>
              <w:pStyle w:val="Compact"/>
              <w:jc w:val="left"/>
            </w:pPr>
            <w:r>
              <w:rPr>
                <w:b/>
                <w:bCs/>
              </w:rPr>
              <w:t xml:space="preserve">MEDIUM</w:t>
            </w:r>
          </w:p>
        </w:tc>
        <w:tc>
          <w:tcPr/>
          <w:p>
            <w:pPr>
              <w:pStyle w:val="Compact"/>
              <w:jc w:val="left"/>
            </w:pPr>
            <w:r>
              <w:t xml:space="preserve">Operational disruption risk</w:t>
            </w:r>
          </w:p>
        </w:tc>
      </w:tr>
      <w:tr>
        <w:tc>
          <w:tcPr/>
          <w:p>
            <w:pPr>
              <w:pStyle w:val="Compact"/>
              <w:jc w:val="left"/>
            </w:pPr>
            <w:r>
              <w:t xml:space="preserve">RF-09</w:t>
            </w:r>
          </w:p>
        </w:tc>
        <w:tc>
          <w:tcPr/>
          <w:p>
            <w:pPr>
              <w:pStyle w:val="Compact"/>
              <w:jc w:val="left"/>
            </w:pPr>
            <w:r>
              <w:t xml:space="preserve">SLC Permit Not Transferred</w:t>
            </w:r>
          </w:p>
        </w:tc>
        <w:tc>
          <w:tcPr/>
          <w:p>
            <w:pPr>
              <w:pStyle w:val="Compact"/>
              <w:jc w:val="left"/>
            </w:pPr>
            <w:r>
              <w:t xml:space="preserve">Environmental</w:t>
            </w:r>
          </w:p>
        </w:tc>
        <w:tc>
          <w:tcPr/>
          <w:p>
            <w:pPr>
              <w:pStyle w:val="Compact"/>
              <w:jc w:val="left"/>
            </w:pPr>
            <w:r>
              <w:rPr>
                <w:b/>
                <w:bCs/>
              </w:rPr>
              <w:t xml:space="preserve">HIGH</w:t>
            </w:r>
          </w:p>
        </w:tc>
        <w:tc>
          <w:tcPr/>
          <w:p>
            <w:pPr>
              <w:pStyle w:val="Compact"/>
              <w:jc w:val="left"/>
            </w:pPr>
            <w:r>
              <w:t xml:space="preserve">$16.2M revenue at risk</w:t>
            </w:r>
          </w:p>
        </w:tc>
      </w:tr>
      <w:tr>
        <w:tc>
          <w:tcPr/>
          <w:p>
            <w:pPr>
              <w:pStyle w:val="Compact"/>
              <w:jc w:val="left"/>
            </w:pPr>
            <w:r>
              <w:t xml:space="preserve">RF-10</w:t>
            </w:r>
          </w:p>
        </w:tc>
        <w:tc>
          <w:tcPr/>
          <w:p>
            <w:pPr>
              <w:pStyle w:val="Compact"/>
              <w:jc w:val="left"/>
            </w:pPr>
            <w:r>
              <w:t xml:space="preserve">DOE Ceiling Exhaustion</w:t>
            </w:r>
          </w:p>
        </w:tc>
        <w:tc>
          <w:tcPr/>
          <w:p>
            <w:pPr>
              <w:pStyle w:val="Compact"/>
              <w:jc w:val="left"/>
            </w:pPr>
            <w:r>
              <w:t xml:space="preserve">Commercial</w:t>
            </w:r>
          </w:p>
        </w:tc>
        <w:tc>
          <w:tcPr/>
          <w:p>
            <w:pPr>
              <w:pStyle w:val="Compact"/>
              <w:jc w:val="left"/>
            </w:pPr>
            <w:r>
              <w:rPr>
                <w:b/>
                <w:bCs/>
              </w:rPr>
              <w:t xml:space="preserve">CRITICAL</w:t>
            </w:r>
          </w:p>
        </w:tc>
        <w:tc>
          <w:tcPr/>
          <w:p>
            <w:pPr>
              <w:pStyle w:val="Compact"/>
              <w:jc w:val="left"/>
            </w:pPr>
            <w:r>
              <w:t xml:space="preserve">$12.1M FY2025 revenue headwind</w:t>
            </w:r>
          </w:p>
        </w:tc>
      </w:tr>
      <w:tr>
        <w:tc>
          <w:tcPr/>
          <w:p>
            <w:pPr>
              <w:pStyle w:val="Compact"/>
              <w:jc w:val="left"/>
            </w:pPr>
            <w:r>
              <w:t xml:space="preserve">RF-11</w:t>
            </w:r>
          </w:p>
        </w:tc>
        <w:tc>
          <w:tcPr/>
          <w:p>
            <w:pPr>
              <w:pStyle w:val="Compact"/>
              <w:jc w:val="left"/>
            </w:pPr>
            <w:r>
              <w:t xml:space="preserve">DOE Non-Assignability / Novation</w:t>
            </w:r>
          </w:p>
        </w:tc>
        <w:tc>
          <w:tcPr/>
          <w:p>
            <w:pPr>
              <w:pStyle w:val="Compact"/>
              <w:jc w:val="left"/>
            </w:pPr>
            <w:r>
              <w:t xml:space="preserve">Commercial</w:t>
            </w:r>
          </w:p>
        </w:tc>
        <w:tc>
          <w:tcPr/>
          <w:p>
            <w:pPr>
              <w:pStyle w:val="Compact"/>
              <w:jc w:val="left"/>
            </w:pPr>
            <w:r>
              <w:rPr>
                <w:b/>
                <w:bCs/>
              </w:rPr>
              <w:t xml:space="preserve">HIGH</w:t>
            </w:r>
          </w:p>
        </w:tc>
        <w:tc>
          <w:tcPr/>
          <w:p>
            <w:pPr>
              <w:pStyle w:val="Compact"/>
              <w:jc w:val="left"/>
            </w:pPr>
            <w:r>
              <w:t xml:space="preserve">$24.4M revenue at risk</w:t>
            </w:r>
          </w:p>
        </w:tc>
      </w:tr>
      <w:tr>
        <w:tc>
          <w:tcPr/>
          <w:p>
            <w:pPr>
              <w:pStyle w:val="Compact"/>
              <w:jc w:val="left"/>
            </w:pPr>
            <w:r>
              <w:t xml:space="preserve">RF-12</w:t>
            </w:r>
          </w:p>
        </w:tc>
        <w:tc>
          <w:tcPr/>
          <w:p>
            <w:pPr>
              <w:pStyle w:val="Compact"/>
              <w:jc w:val="left"/>
            </w:pPr>
            <w:r>
              <w:t xml:space="preserve">Customer Concentration</w:t>
            </w:r>
          </w:p>
        </w:tc>
        <w:tc>
          <w:tcPr/>
          <w:p>
            <w:pPr>
              <w:pStyle w:val="Compact"/>
              <w:jc w:val="left"/>
            </w:pPr>
            <w:r>
              <w:t xml:space="preserve">Commercial</w:t>
            </w:r>
          </w:p>
        </w:tc>
        <w:tc>
          <w:tcPr/>
          <w:p>
            <w:pPr>
              <w:pStyle w:val="Compact"/>
              <w:jc w:val="left"/>
            </w:pPr>
            <w:r>
              <w:rPr>
                <w:b/>
                <w:bCs/>
              </w:rPr>
              <w:t xml:space="preserve">MEDIUM</w:t>
            </w:r>
          </w:p>
        </w:tc>
        <w:tc>
          <w:tcPr/>
          <w:p>
            <w:pPr>
              <w:pStyle w:val="Compact"/>
              <w:jc w:val="left"/>
            </w:pPr>
            <w:r>
              <w:t xml:space="preserve">Multiple contracts at risk</w:t>
            </w:r>
          </w:p>
        </w:tc>
      </w:tr>
      <w:tr>
        <w:tc>
          <w:tcPr/>
          <w:p>
            <w:pPr>
              <w:pStyle w:val="Compact"/>
              <w:jc w:val="left"/>
            </w:pPr>
            <w:r>
              <w:t xml:space="preserve">RF-13</w:t>
            </w:r>
          </w:p>
        </w:tc>
        <w:tc>
          <w:tcPr/>
          <w:p>
            <w:pPr>
              <w:pStyle w:val="Compact"/>
              <w:jc w:val="left"/>
            </w:pPr>
            <w:r>
              <w:t xml:space="preserve">SLC Lease — Dual Assignment Default</w:t>
            </w:r>
          </w:p>
        </w:tc>
        <w:tc>
          <w:tcPr/>
          <w:p>
            <w:pPr>
              <w:pStyle w:val="Compact"/>
              <w:jc w:val="left"/>
            </w:pPr>
            <w:r>
              <w:t xml:space="preserve">Real Property</w:t>
            </w:r>
          </w:p>
        </w:tc>
        <w:tc>
          <w:tcPr/>
          <w:p>
            <w:pPr>
              <w:pStyle w:val="Compact"/>
              <w:jc w:val="left"/>
            </w:pPr>
            <w:r>
              <w:rPr>
                <w:b/>
                <w:bCs/>
              </w:rPr>
              <w:t xml:space="preserve">CRITICAL</w:t>
            </w:r>
          </w:p>
        </w:tc>
        <w:tc>
          <w:tcPr/>
          <w:p>
            <w:pPr>
              <w:pStyle w:val="Compact"/>
              <w:jc w:val="left"/>
            </w:pPr>
            <w:r>
              <w:t xml:space="preserve">$16.2M revenue / facility loss</w:t>
            </w:r>
          </w:p>
        </w:tc>
      </w:tr>
      <w:tr>
        <w:tc>
          <w:tcPr/>
          <w:p>
            <w:pPr>
              <w:pStyle w:val="Compact"/>
              <w:jc w:val="left"/>
            </w:pPr>
            <w:r>
              <w:t xml:space="preserve">RF-14</w:t>
            </w:r>
          </w:p>
        </w:tc>
        <w:tc>
          <w:tcPr/>
          <w:p>
            <w:pPr>
              <w:pStyle w:val="Compact"/>
              <w:jc w:val="left"/>
            </w:pPr>
            <w:r>
              <w:t xml:space="preserve">Multiple Lease Consent Requirements</w:t>
            </w:r>
          </w:p>
        </w:tc>
        <w:tc>
          <w:tcPr/>
          <w:p>
            <w:pPr>
              <w:pStyle w:val="Compact"/>
              <w:jc w:val="left"/>
            </w:pPr>
            <w:r>
              <w:t xml:space="preserve">Real Property</w:t>
            </w:r>
          </w:p>
        </w:tc>
        <w:tc>
          <w:tcPr/>
          <w:p>
            <w:pPr>
              <w:pStyle w:val="Compact"/>
              <w:jc w:val="left"/>
            </w:pPr>
            <w:r>
              <w:rPr>
                <w:b/>
                <w:bCs/>
              </w:rPr>
              <w:t xml:space="preserve">MEDIUM</w:t>
            </w:r>
          </w:p>
        </w:tc>
        <w:tc>
          <w:tcPr/>
          <w:p>
            <w:pPr>
              <w:pStyle w:val="Compact"/>
              <w:jc w:val="left"/>
            </w:pPr>
            <w:r>
              <w:t xml:space="preserve">Closing risk</w:t>
            </w:r>
          </w:p>
        </w:tc>
      </w:tr>
      <w:tr>
        <w:tc>
          <w:tcPr/>
          <w:p>
            <w:pPr>
              <w:pStyle w:val="Compact"/>
              <w:jc w:val="left"/>
            </w:pPr>
            <w:r>
              <w:t xml:space="preserve">RF-15</w:t>
            </w:r>
          </w:p>
        </w:tc>
        <w:tc>
          <w:tcPr/>
          <w:p>
            <w:pPr>
              <w:pStyle w:val="Compact"/>
              <w:jc w:val="left"/>
            </w:pPr>
            <w:r>
              <w:t xml:space="preserve">Ramirez Personal Injury / Coverage Gap</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Up to $4.8M uninsured</w:t>
            </w:r>
          </w:p>
        </w:tc>
      </w:tr>
      <w:tr>
        <w:tc>
          <w:tcPr/>
          <w:p>
            <w:pPr>
              <w:pStyle w:val="Compact"/>
              <w:jc w:val="left"/>
            </w:pPr>
            <w:r>
              <w:t xml:space="preserve">RF-16</w:t>
            </w:r>
          </w:p>
        </w:tc>
        <w:tc>
          <w:tcPr/>
          <w:p>
            <w:pPr>
              <w:pStyle w:val="Compact"/>
              <w:jc w:val="left"/>
            </w:pPr>
            <w:r>
              <w:t xml:space="preserve">Asbestos Long-Tail / Pre-2015 Gap</w:t>
            </w:r>
          </w:p>
        </w:tc>
        <w:tc>
          <w:tcPr/>
          <w:p>
            <w:pPr>
              <w:pStyle w:val="Compact"/>
              <w:jc w:val="left"/>
            </w:pPr>
            <w:r>
              <w:t xml:space="preserve">Legal</w:t>
            </w:r>
          </w:p>
        </w:tc>
        <w:tc>
          <w:tcPr/>
          <w:p>
            <w:pPr>
              <w:pStyle w:val="Compact"/>
              <w:jc w:val="left"/>
            </w:pPr>
            <w:r>
              <w:rPr>
                <w:b/>
                <w:bCs/>
              </w:rPr>
              <w:t xml:space="preserve">MEDIUM</w:t>
            </w:r>
          </w:p>
        </w:tc>
        <w:tc>
          <w:tcPr/>
          <w:p>
            <w:pPr>
              <w:pStyle w:val="Compact"/>
              <w:jc w:val="left"/>
            </w:pPr>
            <w:r>
              <w:t xml:space="preserve">Unquantifiable long-tail</w:t>
            </w:r>
          </w:p>
        </w:tc>
      </w:tr>
      <w:tr>
        <w:tc>
          <w:tcPr/>
          <w:p>
            <w:pPr>
              <w:pStyle w:val="Compact"/>
              <w:jc w:val="left"/>
            </w:pPr>
            <w:r>
              <w:t xml:space="preserve">RF-17</w:t>
            </w:r>
          </w:p>
        </w:tc>
        <w:tc>
          <w:tcPr/>
          <w:p>
            <w:pPr>
              <w:pStyle w:val="Compact"/>
              <w:jc w:val="left"/>
            </w:pPr>
            <w:r>
              <w:t xml:space="preserve">NLRB Union Petition</w:t>
            </w:r>
          </w:p>
        </w:tc>
        <w:tc>
          <w:tcPr/>
          <w:p>
            <w:pPr>
              <w:pStyle w:val="Compact"/>
              <w:jc w:val="left"/>
            </w:pPr>
            <w:r>
              <w:t xml:space="preserve">Human Capital</w:t>
            </w:r>
          </w:p>
        </w:tc>
        <w:tc>
          <w:tcPr/>
          <w:p>
            <w:pPr>
              <w:pStyle w:val="Compact"/>
              <w:jc w:val="left"/>
            </w:pPr>
            <w:r>
              <w:rPr>
                <w:b/>
                <w:bCs/>
              </w:rPr>
              <w:t xml:space="preserve">HIGH</w:t>
            </w:r>
          </w:p>
        </w:tc>
        <w:tc>
          <w:tcPr/>
          <w:p>
            <w:pPr>
              <w:pStyle w:val="Compact"/>
              <w:jc w:val="left"/>
            </w:pPr>
            <w:r>
              <w:t xml:space="preserve">Labor cost / flexibility risk</w:t>
            </w:r>
          </w:p>
        </w:tc>
      </w:tr>
      <w:tr>
        <w:tc>
          <w:tcPr/>
          <w:p>
            <w:pPr>
              <w:pStyle w:val="Compact"/>
              <w:jc w:val="left"/>
            </w:pPr>
            <w:r>
              <w:t xml:space="preserve">RF-18</w:t>
            </w:r>
          </w:p>
        </w:tc>
        <w:tc>
          <w:tcPr/>
          <w:p>
            <w:pPr>
              <w:pStyle w:val="Compact"/>
              <w:jc w:val="left"/>
            </w:pPr>
            <w:r>
              <w:t xml:space="preserve">Single-Trigger CoC Severance</w:t>
            </w:r>
          </w:p>
        </w:tc>
        <w:tc>
          <w:tcPr/>
          <w:p>
            <w:pPr>
              <w:pStyle w:val="Compact"/>
              <w:jc w:val="left"/>
            </w:pPr>
            <w:r>
              <w:t xml:space="preserve">Human Capital</w:t>
            </w:r>
          </w:p>
        </w:tc>
        <w:tc>
          <w:tcPr/>
          <w:p>
            <w:pPr>
              <w:pStyle w:val="Compact"/>
              <w:jc w:val="left"/>
            </w:pPr>
            <w:r>
              <w:rPr>
                <w:b/>
                <w:bCs/>
              </w:rPr>
              <w:t xml:space="preserve">MEDIUM</w:t>
            </w:r>
          </w:p>
        </w:tc>
        <w:tc>
          <w:tcPr/>
          <w:p>
            <w:pPr>
              <w:pStyle w:val="Compact"/>
              <w:jc w:val="left"/>
            </w:pPr>
            <w:r>
              <w:t xml:space="preserve">$2.625M at closing</w:t>
            </w:r>
          </w:p>
        </w:tc>
      </w:tr>
    </w:tbl>
    <w:p>
      <w:r>
        <w:pict>
          <v:rect style="width:0;height:1.5pt" o:hralign="center" o:hrstd="t" o:hr="t"/>
        </w:pict>
      </w:r>
    </w:p>
    <w:bookmarkEnd w:id="46"/>
    <w:bookmarkStart w:id="50" w:name="X5369f9348e696423bcef6ec52b9e0929cf0f392"/>
    <w:p>
      <w:pPr>
        <w:pStyle w:val="Heading2"/>
      </w:pPr>
      <w:r>
        <w:t xml:space="preserve">IX. Recommended Pre-Closing Conditions and Price Adjustments</w:t>
      </w:r>
    </w:p>
    <w:bookmarkStart w:id="47" w:name="X62299db67f723d98a77e72f0df3c58a5d797d34"/>
    <w:p>
      <w:pPr>
        <w:pStyle w:val="Heading3"/>
      </w:pPr>
      <w:r>
        <w:t xml:space="preserve">Pre-Closing Conditions (Buyer Should Not Close Without):</w:t>
      </w:r>
    </w:p>
    <w:p>
      <w:pPr>
        <w:pStyle w:val="Compact"/>
        <w:numPr>
          <w:ilvl w:val="0"/>
          <w:numId w:val="1005"/>
        </w:numPr>
      </w:pPr>
      <w:r>
        <w:t xml:space="preserve">Delivery of audited FY2024 financial statements and resolution of the $1.0M EBITDA reconciliation discrepancy</w:t>
      </w:r>
    </w:p>
    <w:p>
      <w:pPr>
        <w:pStyle w:val="Compact"/>
        <w:numPr>
          <w:ilvl w:val="0"/>
          <w:numId w:val="1005"/>
        </w:numPr>
      </w:pPr>
      <w:r>
        <w:t xml:space="preserve">Updated Phase II ESA and vapor intrusion assessment at Grand Junction, at seller’s expense</w:t>
      </w:r>
    </w:p>
    <w:p>
      <w:pPr>
        <w:pStyle w:val="Compact"/>
        <w:numPr>
          <w:ilvl w:val="0"/>
          <w:numId w:val="1005"/>
        </w:numPr>
      </w:pPr>
      <w:r>
        <w:t xml:space="preserve">Written landlord consent from Wasatch Industrial Properties for the Salt Lake City lease (both the Pinnacle-to-RES assignment and the Sycamore acquisition)</w:t>
      </w:r>
    </w:p>
    <w:p>
      <w:pPr>
        <w:pStyle w:val="Compact"/>
        <w:numPr>
          <w:ilvl w:val="0"/>
          <w:numId w:val="1005"/>
        </w:numPr>
      </w:pPr>
      <w:r>
        <w:t xml:space="preserve">Completion of Utah hazardous waste permit transfer (UTH-0441) from Pinnacle to RES</w:t>
      </w:r>
    </w:p>
    <w:p>
      <w:pPr>
        <w:pStyle w:val="Compact"/>
        <w:numPr>
          <w:ilvl w:val="0"/>
          <w:numId w:val="1005"/>
        </w:numPr>
      </w:pPr>
      <w:r>
        <w:t xml:space="preserve">Written confirmation from DOE Contracting Officer regarding novation/notification requirements</w:t>
      </w:r>
    </w:p>
    <w:p>
      <w:pPr>
        <w:pStyle w:val="Compact"/>
        <w:numPr>
          <w:ilvl w:val="0"/>
          <w:numId w:val="1005"/>
        </w:numPr>
      </w:pPr>
      <w:r>
        <w:t xml:space="preserve">Resolution or specific escrow for the CDPHE enforcement action</w:t>
      </w:r>
    </w:p>
    <w:p>
      <w:pPr>
        <w:pStyle w:val="Compact"/>
        <w:numPr>
          <w:ilvl w:val="0"/>
          <w:numId w:val="1005"/>
        </w:numPr>
      </w:pPr>
      <w:r>
        <w:t xml:space="preserve">Wyoming permit renewal confirmation</w:t>
      </w:r>
    </w:p>
    <w:bookmarkEnd w:id="47"/>
    <w:bookmarkStart w:id="48" w:name="recommended-purchase-price-adjustments"/>
    <w:p>
      <w:pPr>
        <w:pStyle w:val="Heading3"/>
      </w:pPr>
      <w:r>
        <w:t xml:space="preserve">Recommended Purchase Price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Adjustment</w:t>
            </w:r>
          </w:p>
        </w:tc>
      </w:tr>
      <w:tr>
        <w:tc>
          <w:tcPr/>
          <w:p>
            <w:pPr>
              <w:pStyle w:val="Compact"/>
              <w:jc w:val="left"/>
            </w:pPr>
            <w:r>
              <w:t xml:space="preserve">DOE ceiling exhaustion (revenue headwind at 8.0x)</w:t>
            </w:r>
          </w:p>
        </w:tc>
        <w:tc>
          <w:tcPr/>
          <w:p>
            <w:pPr>
              <w:pStyle w:val="Compact"/>
              <w:jc w:val="left"/>
            </w:pPr>
            <w:r>
              <w:t xml:space="preserve">($15–20M)</w:t>
            </w:r>
          </w:p>
        </w:tc>
      </w:tr>
      <w:tr>
        <w:tc>
          <w:tcPr/>
          <w:p>
            <w:pPr>
              <w:pStyle w:val="Compact"/>
              <w:jc w:val="left"/>
            </w:pPr>
            <w:r>
              <w:t xml:space="preserve">Fleet replacement backlog (deferred capex)</w:t>
            </w:r>
          </w:p>
        </w:tc>
        <w:tc>
          <w:tcPr/>
          <w:p>
            <w:pPr>
              <w:pStyle w:val="Compact"/>
              <w:jc w:val="left"/>
            </w:pPr>
            <w:r>
              <w:t xml:space="preserve">($9.8M)</w:t>
            </w:r>
          </w:p>
        </w:tc>
      </w:tr>
      <w:tr>
        <w:tc>
          <w:tcPr/>
          <w:p>
            <w:pPr>
              <w:pStyle w:val="Compact"/>
              <w:jc w:val="left"/>
            </w:pPr>
            <w:r>
              <w:t xml:space="preserve">CDPHE penalty (unaccrued; CDPHE position)</w:t>
            </w:r>
          </w:p>
        </w:tc>
        <w:tc>
          <w:tcPr/>
          <w:p>
            <w:pPr>
              <w:pStyle w:val="Compact"/>
              <w:jc w:val="left"/>
            </w:pPr>
            <w:r>
              <w:t xml:space="preserve">($1.16M)</w:t>
            </w:r>
          </w:p>
        </w:tc>
      </w:tr>
      <w:tr>
        <w:tc>
          <w:tcPr/>
          <w:p>
            <w:pPr>
              <w:pStyle w:val="Compact"/>
              <w:jc w:val="left"/>
            </w:pPr>
            <w:r>
              <w:t xml:space="preserve">Ramirez claim (unaccrued; midpoint)</w:t>
            </w:r>
          </w:p>
        </w:tc>
        <w:tc>
          <w:tcPr/>
          <w:p>
            <w:pPr>
              <w:pStyle w:val="Compact"/>
              <w:jc w:val="left"/>
            </w:pPr>
            <w:r>
              <w:t xml:space="preserve">($1.0M)</w:t>
            </w:r>
          </w:p>
        </w:tc>
      </w:tr>
      <w:tr>
        <w:tc>
          <w:tcPr/>
          <w:p>
            <w:pPr>
              <w:pStyle w:val="Compact"/>
              <w:jc w:val="left"/>
            </w:pPr>
            <w:r>
              <w:t xml:space="preserve">CoC severance (if not treated as Transaction Expense)</w:t>
            </w:r>
          </w:p>
        </w:tc>
        <w:tc>
          <w:tcPr/>
          <w:p>
            <w:pPr>
              <w:pStyle w:val="Compact"/>
              <w:jc w:val="left"/>
            </w:pPr>
            <w:r>
              <w:t xml:space="preserve">($3.775M)</w:t>
            </w:r>
          </w:p>
        </w:tc>
      </w:tr>
      <w:tr>
        <w:tc>
          <w:tcPr/>
          <w:p>
            <w:pPr>
              <w:pStyle w:val="Compact"/>
              <w:jc w:val="left"/>
            </w:pPr>
            <w:r>
              <w:t xml:space="preserve">EBITDA add-back haircut (conservative)</w:t>
            </w:r>
          </w:p>
        </w:tc>
        <w:tc>
          <w:tcPr/>
          <w:p>
            <w:pPr>
              <w:pStyle w:val="Compact"/>
              <w:jc w:val="left"/>
            </w:pPr>
            <w:r>
              <w:t xml:space="preserve">($8–15M)</w:t>
            </w:r>
          </w:p>
        </w:tc>
      </w:tr>
      <w:tr>
        <w:tc>
          <w:tcPr/>
          <w:p>
            <w:pPr>
              <w:pStyle w:val="Compact"/>
              <w:jc w:val="left"/>
            </w:pPr>
            <w:r>
              <w:rPr>
                <w:b/>
                <w:bCs/>
              </w:rPr>
              <w:t xml:space="preserve">Total Estimated Adjustments</w:t>
            </w:r>
          </w:p>
        </w:tc>
        <w:tc>
          <w:tcPr/>
          <w:p>
            <w:pPr>
              <w:pStyle w:val="Compact"/>
              <w:jc w:val="left"/>
            </w:pPr>
            <w:r>
              <w:rPr>
                <w:b/>
                <w:bCs/>
              </w:rPr>
              <w:t xml:space="preserve">($38–50M)</w:t>
            </w:r>
          </w:p>
        </w:tc>
      </w:tr>
    </w:tbl>
    <w:bookmarkEnd w:id="48"/>
    <w:bookmarkStart w:id="49" w:name="enhanced-indemnification-protections"/>
    <w:p>
      <w:pPr>
        <w:pStyle w:val="Heading3"/>
      </w:pPr>
      <w:r>
        <w:t xml:space="preserve">Enhanced Indemnification Protections:</w:t>
      </w:r>
    </w:p>
    <w:p>
      <w:pPr>
        <w:pStyle w:val="Compact"/>
        <w:numPr>
          <w:ilvl w:val="0"/>
          <w:numId w:val="1006"/>
        </w:numPr>
      </w:pPr>
      <w:r>
        <w:t xml:space="preserve">Separate environmental indemnity escrow: minimum $5M, 6-year survival</w:t>
      </w:r>
    </w:p>
    <w:p>
      <w:pPr>
        <w:pStyle w:val="Compact"/>
        <w:numPr>
          <w:ilvl w:val="0"/>
          <w:numId w:val="1006"/>
        </w:numPr>
      </w:pPr>
      <w:r>
        <w:t xml:space="preserve">Asbestos-specific indemnity: 10-year survival, uncapped</w:t>
      </w:r>
    </w:p>
    <w:p>
      <w:pPr>
        <w:pStyle w:val="Compact"/>
        <w:numPr>
          <w:ilvl w:val="0"/>
          <w:numId w:val="1006"/>
        </w:numPr>
      </w:pPr>
      <w:r>
        <w:t xml:space="preserve">CDPHE enforcement action: specific indemnity, full CDPHE maximum exposure</w:t>
      </w:r>
    </w:p>
    <w:p>
      <w:pPr>
        <w:pStyle w:val="Compact"/>
        <w:numPr>
          <w:ilvl w:val="0"/>
          <w:numId w:val="1006"/>
        </w:numPr>
      </w:pPr>
      <w:r>
        <w:t xml:space="preserve">DOE contract: revenue-based earnout or price reduction mechanism</w:t>
      </w:r>
    </w:p>
    <w:p>
      <w:pPr>
        <w:pStyle w:val="Compact"/>
        <w:numPr>
          <w:ilvl w:val="0"/>
          <w:numId w:val="1006"/>
        </w:numPr>
      </w:pPr>
      <w:r>
        <w:t xml:space="preserve">NLRB petition: specific rep and warranty; indemnity for costs of union election and first CBA</w:t>
      </w:r>
    </w:p>
    <w:p>
      <w:r>
        <w:pict>
          <v:rect style="width:0;height:1.5pt" o:hralign="center" o:hrstd="t" o:hr="t"/>
        </w:pict>
      </w:r>
    </w:p>
    <w:bookmarkEnd w:id="49"/>
    <w:bookmarkEnd w:id="50"/>
    <w:bookmarkStart w:id="51" w:name="x.-conclusion"/>
    <w:p>
      <w:pPr>
        <w:pStyle w:val="Heading2"/>
      </w:pPr>
      <w:r>
        <w:t xml:space="preserve">X. Conclusion</w:t>
      </w:r>
    </w:p>
    <w:p>
      <w:pPr>
        <w:pStyle w:val="FirstParagraph"/>
      </w:pPr>
      <w:r>
        <w:t xml:space="preserve">RES presents a genuine strategic opportunity in a growing, regulated market with meaningful barriers to entry. However, the data room review reveals a pattern of optimistic presentation that obscures material risks. The four most critical issues — DOE ceiling exhaustion, the Salt Lake City lease default, the stale Phase II ESA with unquantified environmental liability, and the EBITDA reconciliation discrepancy — each individually warrant significant price adjustment or pre-closing remediation. Collectively, they suggest that the indicative enterprise value of $182–$205M is materially overstated relative to the risk-adjusted value of the business.</w:t>
      </w:r>
    </w:p>
    <w:p>
      <w:pPr>
        <w:pStyle w:val="BodyText"/>
      </w:pPr>
      <w:r>
        <w:t xml:space="preserve">Sycamore should proceed to the next phase of diligence with a revised valuation framework that reflects these risks, and should not execute a definitive agreement until the pre-closing conditions identified above have been satisfied.</w:t>
      </w:r>
    </w:p>
    <w:p>
      <w:r>
        <w:pict>
          <v:rect style="width:0;height:1.5pt" o:hralign="center" o:hrstd="t" o:hr="t"/>
        </w:pict>
      </w:r>
    </w:p>
    <w:p>
      <w:pPr>
        <w:pStyle w:val="FirstParagraph"/>
      </w:pPr>
      <w:r>
        <w:rPr>
          <w:i/>
          <w:iCs/>
        </w:rPr>
        <w:t xml:space="preserve">This memorandum is prepared for the exclusive use of Sycamore Capital Partners, LP and Thornfield &amp; Associates LLP in connection with Project Ridgeline. It is subject to the confidentiality provisions of the NDA dated September 12, 2024, and is protected by attorney-client privilege and the work product doctrine. It should not be distributed to any third party without the prior written consent of Sycamore Capital Partners, 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2026-08-25T14:43:24Z</dcterms:created>
  <dcterms:modified xsi:type="dcterms:W3CDTF">2026-08-25T14:43:24Z</dcterms:modified>
</cp:coreProperties>
</file>

<file path=docProps/custom.xml><?xml version="1.0" encoding="utf-8"?>
<Properties xmlns="http://schemas.openxmlformats.org/officeDocument/2006/custom-properties" xmlns:vt="http://schemas.openxmlformats.org/officeDocument/2006/docPropsVTypes"/>
</file>