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072"/>
      </w:tblGrid>
      <w:tr>
        <w:tc>
          <w:tcPr>
            <w:tcW w:type="dxa" w:w="9072"/>
            <w:shd w:val="clear" w:color="auto" w:fill="1F3864"/>
          </w:tcPr>
          <w:p>
            <w:pPr>
              <w:spacing w:before="160" w:after="160"/>
              <w:jc w:val="center"/>
            </w:pPr>
            <w:r>
              <w:rPr>
                <w:b w:val="0"/>
                <w:i/>
                <w:color w:val="FFFFFF"/>
                <w:sz w:val="16"/>
                <w:u w:val="none"/>
              </w:rPr>
              <w:t>PRIVILEGED AND CONFIDENTIAL</w:t>
              <w:br/>
              <w:t>ATTORNEY-CLIENT COMMUNICATION</w:t>
              <w:br/>
            </w:r>
            <w:r>
              <w:rPr>
                <w:b/>
                <w:i w:val="0"/>
                <w:color w:val="FFFFFF"/>
                <w:sz w:val="32"/>
                <w:u w:val="none"/>
              </w:rPr>
              <w:t>ACQUISITION DUE DILIGENCE</w:t>
              <w:br/>
              <w:t>RED FLAG MEMORANDUM</w:t>
            </w:r>
          </w:p>
        </w:tc>
      </w:tr>
    </w:tbl>
    <w:p/>
    <w:tbl>
      <w:tblPr>
        <w:tblStyle w:val="TableGrid"/>
        <w:tblW w:type="auto" w:w="0"/>
        <w:jc w:val="left"/>
        <w:tblLook w:firstColumn="1" w:firstRow="1" w:lastColumn="0" w:lastRow="0" w:noHBand="0" w:noVBand="1" w:val="04A0"/>
      </w:tblPr>
      <w:tblGrid>
        <w:gridCol w:w="4536"/>
        <w:gridCol w:w="4536"/>
      </w:tblGrid>
      <w:tr>
        <w:tc>
          <w:tcPr>
            <w:tcW w:type="dxa" w:w="1728"/>
            <w:shd w:val="clear" w:color="auto" w:fill="1F3864"/>
          </w:tcPr>
          <w:p>
            <w:pPr>
              <w:spacing w:before="60" w:after="60"/>
            </w:pPr>
            <w:r>
              <w:rPr>
                <w:b/>
                <w:i w:val="0"/>
                <w:color w:val="FFFFFF"/>
                <w:sz w:val="18"/>
                <w:u w:val="none"/>
              </w:rPr>
              <w:t>TO:</w:t>
            </w:r>
          </w:p>
        </w:tc>
        <w:tc>
          <w:tcPr>
            <w:tcW w:type="dxa" w:w="7344"/>
            <w:shd w:val="clear" w:color="auto" w:fill="DEEAF1"/>
          </w:tcPr>
          <w:p>
            <w:pPr>
              <w:spacing w:before="60" w:after="60"/>
            </w:pPr>
            <w:r>
              <w:rPr>
                <w:b w:val="0"/>
                <w:i w:val="0"/>
                <w:color w:val="000000"/>
                <w:sz w:val="18"/>
                <w:u w:val="none"/>
              </w:rPr>
              <w:t>Sycamore Capital Partners, LP — Deal Team</w:t>
            </w:r>
          </w:p>
        </w:tc>
      </w:tr>
      <w:tr>
        <w:tc>
          <w:tcPr>
            <w:tcW w:type="dxa" w:w="1728"/>
            <w:shd w:val="clear" w:color="auto" w:fill="1F3864"/>
          </w:tcPr>
          <w:p>
            <w:pPr>
              <w:spacing w:before="60" w:after="60"/>
            </w:pPr>
            <w:r>
              <w:rPr>
                <w:b/>
                <w:i w:val="0"/>
                <w:color w:val="FFFFFF"/>
                <w:sz w:val="18"/>
                <w:u w:val="none"/>
              </w:rPr>
              <w:t>FROM:</w:t>
            </w:r>
          </w:p>
        </w:tc>
        <w:tc>
          <w:tcPr>
            <w:tcW w:type="dxa" w:w="7344"/>
            <w:shd w:val="clear" w:color="auto" w:fill="FFFFFF"/>
          </w:tcPr>
          <w:p>
            <w:pPr>
              <w:spacing w:before="60" w:after="60"/>
            </w:pPr>
            <w:r>
              <w:rPr>
                <w:b w:val="0"/>
                <w:i w:val="0"/>
                <w:color w:val="000000"/>
                <w:sz w:val="18"/>
                <w:u w:val="none"/>
              </w:rPr>
              <w:t>Thornfield &amp; Associates LLP / Bridgewater Forsyth Group</w:t>
            </w:r>
          </w:p>
        </w:tc>
      </w:tr>
      <w:tr>
        <w:tc>
          <w:tcPr>
            <w:tcW w:type="dxa" w:w="1728"/>
            <w:shd w:val="clear" w:color="auto" w:fill="1F3864"/>
          </w:tcPr>
          <w:p>
            <w:pPr>
              <w:spacing w:before="60" w:after="60"/>
            </w:pPr>
            <w:r>
              <w:rPr>
                <w:b/>
                <w:i w:val="0"/>
                <w:color w:val="FFFFFF"/>
                <w:sz w:val="18"/>
                <w:u w:val="none"/>
              </w:rPr>
              <w:t>DATE:</w:t>
            </w:r>
          </w:p>
        </w:tc>
        <w:tc>
          <w:tcPr>
            <w:tcW w:type="dxa" w:w="7344"/>
            <w:shd w:val="clear" w:color="auto" w:fill="DEEAF1"/>
          </w:tcPr>
          <w:p>
            <w:pPr>
              <w:spacing w:before="60" w:after="60"/>
            </w:pPr>
            <w:r>
              <w:rPr>
                <w:b w:val="0"/>
                <w:i w:val="0"/>
                <w:color w:val="000000"/>
                <w:sz w:val="18"/>
                <w:u w:val="none"/>
              </w:rPr>
              <w:t>December 2024</w:t>
            </w:r>
          </w:p>
        </w:tc>
      </w:tr>
      <w:tr>
        <w:tc>
          <w:tcPr>
            <w:tcW w:type="dxa" w:w="1728"/>
            <w:shd w:val="clear" w:color="auto" w:fill="1F3864"/>
          </w:tcPr>
          <w:p>
            <w:pPr>
              <w:spacing w:before="60" w:after="60"/>
            </w:pPr>
            <w:r>
              <w:rPr>
                <w:b/>
                <w:i w:val="0"/>
                <w:color w:val="FFFFFF"/>
                <w:sz w:val="18"/>
                <w:u w:val="none"/>
              </w:rPr>
              <w:t>RE:</w:t>
            </w:r>
          </w:p>
        </w:tc>
        <w:tc>
          <w:tcPr>
            <w:tcW w:type="dxa" w:w="7344"/>
            <w:shd w:val="clear" w:color="auto" w:fill="FFFFFF"/>
          </w:tcPr>
          <w:p>
            <w:pPr>
              <w:spacing w:before="60" w:after="60"/>
            </w:pPr>
            <w:r>
              <w:rPr>
                <w:b w:val="0"/>
                <w:i w:val="0"/>
                <w:color w:val="000000"/>
                <w:sz w:val="18"/>
                <w:u w:val="none"/>
              </w:rPr>
              <w:t>Project Ridgeline — Acquisition Due Diligence Red Flag Analysis</w:t>
              <w:br/>
              <w:t>Target: Ridgeline Environmental Services, Inc.</w:t>
            </w:r>
          </w:p>
        </w:tc>
      </w:tr>
      <w:tr>
        <w:tc>
          <w:tcPr>
            <w:tcW w:type="dxa" w:w="1728"/>
            <w:shd w:val="clear" w:color="auto" w:fill="1F3864"/>
          </w:tcPr>
          <w:p>
            <w:pPr>
              <w:spacing w:before="60" w:after="60"/>
            </w:pPr>
            <w:r>
              <w:rPr>
                <w:b/>
                <w:i w:val="0"/>
                <w:color w:val="FFFFFF"/>
                <w:sz w:val="18"/>
                <w:u w:val="none"/>
              </w:rPr>
              <w:t>EV RANGE:</w:t>
            </w:r>
          </w:p>
        </w:tc>
        <w:tc>
          <w:tcPr>
            <w:tcW w:type="dxa" w:w="7344"/>
            <w:shd w:val="clear" w:color="auto" w:fill="DEEAF1"/>
          </w:tcPr>
          <w:p>
            <w:pPr>
              <w:spacing w:before="60" w:after="60"/>
            </w:pPr>
            <w:r>
              <w:rPr>
                <w:b w:val="0"/>
                <w:i w:val="0"/>
                <w:color w:val="000000"/>
                <w:sz w:val="18"/>
                <w:u w:val="none"/>
              </w:rPr>
              <w:t>$182,000,000 – $205,000,000 (8.0x–9.0x FY2024 Adjusted EBITDA)</w:t>
            </w:r>
          </w:p>
        </w:tc>
      </w:tr>
      <w:tr>
        <w:tc>
          <w:tcPr>
            <w:tcW w:type="dxa" w:w="1728"/>
            <w:shd w:val="clear" w:color="auto" w:fill="1F3864"/>
          </w:tcPr>
          <w:p>
            <w:pPr>
              <w:spacing w:before="60" w:after="60"/>
            </w:pPr>
            <w:r>
              <w:rPr>
                <w:b/>
                <w:i w:val="0"/>
                <w:color w:val="FFFFFF"/>
                <w:sz w:val="18"/>
                <w:u w:val="none"/>
              </w:rPr>
              <w:t>STATUS:</w:t>
            </w:r>
          </w:p>
        </w:tc>
        <w:tc>
          <w:tcPr>
            <w:tcW w:type="dxa" w:w="7344"/>
            <w:shd w:val="clear" w:color="auto" w:fill="FFFFFF"/>
          </w:tcPr>
          <w:p>
            <w:pPr>
              <w:spacing w:before="60" w:after="60"/>
            </w:pPr>
            <w:r>
              <w:rPr>
                <w:b/>
                <w:i w:val="0"/>
                <w:color w:val="C00000"/>
                <w:sz w:val="18"/>
                <w:u w:val="none"/>
              </w:rPr>
              <w:t>PRIVILEGED AND CONFIDENTIAL — ATTORNEY-CLIENT COMMUNICATION</w:t>
            </w:r>
          </w:p>
        </w:tc>
      </w:tr>
    </w:tbl>
    <w:p/>
    <w:p>
      <w:pPr>
        <w:spacing w:before="240" w:after="80"/>
      </w:pPr>
      <w:r>
        <w:rPr>
          <w:b/>
          <w:color w:val="1F3864"/>
          <w:sz w:val="28"/>
        </w:rPr>
        <w:t>I. EXECUTIVE SUMMARY</w:t>
      </w:r>
    </w:p>
    <w:p>
      <w:pPr>
        <w:spacing w:before="40" w:after="80"/>
      </w:pPr>
      <w:r>
        <w:rPr>
          <w:b w:val="0"/>
          <w:i w:val="0"/>
          <w:sz w:val="20"/>
          <w:u w:val="none"/>
        </w:rPr>
        <w:t xml:space="preserve">This memorandum summarizes the material red flags and diligence concerns identified through our review of the Project Ridgeline data room in connection with the proposed acquisition of </w:t>
      </w:r>
      <w:r>
        <w:rPr>
          <w:b/>
          <w:i w:val="0"/>
          <w:sz w:val="20"/>
          <w:u w:val="none"/>
        </w:rPr>
        <w:t>Ridgeline Environmental Services, Inc. ("RES" or the "Company")</w:t>
      </w:r>
      <w:r>
        <w:rPr>
          <w:b w:val="0"/>
          <w:i w:val="0"/>
          <w:sz w:val="20"/>
          <w:u w:val="none"/>
        </w:rPr>
        <w:t xml:space="preserve"> by </w:t>
      </w:r>
      <w:r>
        <w:rPr>
          <w:b/>
          <w:i w:val="0"/>
          <w:sz w:val="20"/>
          <w:u w:val="none"/>
        </w:rPr>
        <w:t>Sycamore Capital Partners, LP ("Buyer")</w:t>
      </w:r>
      <w:r>
        <w:rPr>
          <w:b w:val="0"/>
          <w:i w:val="0"/>
          <w:sz w:val="20"/>
          <w:u w:val="none"/>
        </w:rPr>
        <w:t>. The proposed transaction is structured as a 100% stock acquisition at an indicative enterprise value of $182M–$205M (8.0x–9.0x FY2024 Adjusted EBITDA of $22.8M per the Confidential Information Memorandum).</w:t>
      </w:r>
    </w:p>
    <w:p>
      <w:pPr>
        <w:spacing w:before="40" w:after="80"/>
      </w:pPr>
      <w:r>
        <w:rPr>
          <w:b w:val="0"/>
          <w:i w:val="0"/>
          <w:sz w:val="20"/>
          <w:u w:val="none"/>
        </w:rPr>
        <w:t>Our review encompassed thirteen (13) data room documents, including the Confidential Information Memorandum, executed Letter of Intent, Quality of Earnings data request response, Credit Agreement summary, Litigation and Regulatory Summary, Phase II Environmental Site Assessment, Environmental Permit Schedule, Real Property and Lease Schedule, Customer Contract Summary, Organizational Chart and Equity Structure, Employment Agreements Summary, Insurance Program Summary, and Employee Benefits Summary.</w:t>
      </w:r>
    </w:p>
    <w:p>
      <w:pPr>
        <w:spacing w:before="40" w:after="80"/>
      </w:pPr>
      <w:r>
        <w:rPr>
          <w:b w:val="0"/>
          <w:i w:val="0"/>
          <w:sz w:val="20"/>
          <w:u w:val="none"/>
        </w:rPr>
        <w:t xml:space="preserve">We have identified </w:t>
      </w:r>
      <w:r>
        <w:rPr>
          <w:b/>
          <w:i w:val="0"/>
          <w:sz w:val="20"/>
          <w:u w:val="none"/>
        </w:rPr>
        <w:t>thirty (30) red flags</w:t>
      </w:r>
      <w:r>
        <w:rPr>
          <w:b w:val="0"/>
          <w:i w:val="0"/>
          <w:sz w:val="20"/>
          <w:u w:val="none"/>
        </w:rPr>
        <w:t xml:space="preserve"> across seven categories, including </w:t>
      </w:r>
      <w:r>
        <w:rPr>
          <w:b/>
          <w:i w:val="0"/>
          <w:color w:val="C00000"/>
          <w:sz w:val="20"/>
          <w:u w:val="none"/>
        </w:rPr>
        <w:t>five (5) CRITICAL</w:t>
      </w:r>
      <w:r>
        <w:rPr>
          <w:b w:val="0"/>
          <w:i w:val="0"/>
          <w:sz w:val="20"/>
          <w:u w:val="none"/>
        </w:rPr>
        <w:t xml:space="preserve">, </w:t>
      </w:r>
      <w:r>
        <w:rPr>
          <w:b/>
          <w:i w:val="0"/>
          <w:color w:val="ED7D31"/>
          <w:sz w:val="20"/>
          <w:u w:val="none"/>
        </w:rPr>
        <w:t>twelve (12) HIGH</w:t>
      </w:r>
      <w:r>
        <w:rPr>
          <w:b w:val="0"/>
          <w:i w:val="0"/>
          <w:sz w:val="20"/>
          <w:u w:val="none"/>
        </w:rPr>
        <w:t>, eight (8) MEDIUM, and five (5) LOW severity issues. The most significant concerns are summarized below:</w:t>
      </w:r>
    </w:p>
    <w:tbl>
      <w:tblPr>
        <w:tblStyle w:val="TableGrid"/>
        <w:tblW w:type="auto" w:w="0"/>
        <w:jc w:val="left"/>
        <w:tblLook w:firstColumn="1" w:firstRow="1" w:lastColumn="0" w:lastRow="0" w:noHBand="0" w:noVBand="1" w:val="04A0"/>
      </w:tblPr>
      <w:tblGrid>
        <w:gridCol w:w="4536"/>
        <w:gridCol w:w="4536"/>
      </w:tblGrid>
      <w:tr>
        <w:tc>
          <w:tcPr>
            <w:tcW w:type="dxa" w:w="1296"/>
            <w:shd w:val="clear" w:color="auto" w:fill="1F3864"/>
          </w:tcPr>
          <w:p>
            <w:pPr>
              <w:spacing w:before="60" w:after="60"/>
              <w:jc w:val="center"/>
            </w:pPr>
            <w:r>
              <w:rPr>
                <w:b/>
                <w:i w:val="0"/>
                <w:color w:val="FFFFFF"/>
                <w:sz w:val="16"/>
                <w:u w:val="none"/>
              </w:rPr>
              <w:t>CRITICAL</w:t>
            </w:r>
          </w:p>
        </w:tc>
        <w:tc>
          <w:tcPr>
            <w:tcW w:type="dxa" w:w="7776"/>
            <w:shd w:val="clear" w:color="auto" w:fill="F2F2F2"/>
          </w:tcPr>
          <w:p>
            <w:pPr>
              <w:spacing w:before="60" w:after="60"/>
            </w:pPr>
            <w:r>
              <w:rPr>
                <w:b w:val="0"/>
                <w:i w:val="0"/>
                <w:sz w:val="18"/>
                <w:u w:val="none"/>
              </w:rPr>
              <w:t>Adjusted EBITDA Discrepancy ($1.0M gap between CIM and QoE data package; unreconciled)</w:t>
            </w:r>
          </w:p>
        </w:tc>
      </w:tr>
    </w:tbl>
    <w:tbl>
      <w:tblPr>
        <w:tblStyle w:val="TableGrid"/>
        <w:tblW w:type="auto" w:w="0"/>
        <w:jc w:val="left"/>
        <w:tblLook w:firstColumn="1" w:firstRow="1" w:lastColumn="0" w:lastRow="0" w:noHBand="0" w:noVBand="1" w:val="04A0"/>
      </w:tblPr>
      <w:tblGrid>
        <w:gridCol w:w="4536"/>
        <w:gridCol w:w="4536"/>
      </w:tblGrid>
      <w:tr>
        <w:tc>
          <w:tcPr>
            <w:tcW w:type="dxa" w:w="1296"/>
            <w:shd w:val="clear" w:color="auto" w:fill="C00000"/>
          </w:tcPr>
          <w:p>
            <w:pPr>
              <w:spacing w:before="60" w:after="60"/>
              <w:jc w:val="center"/>
            </w:pPr>
            <w:r>
              <w:rPr>
                <w:b/>
                <w:i w:val="0"/>
                <w:color w:val="FFFFFF"/>
                <w:sz w:val="16"/>
                <w:u w:val="none"/>
              </w:rPr>
              <w:t>CRITICAL</w:t>
            </w:r>
          </w:p>
        </w:tc>
        <w:tc>
          <w:tcPr>
            <w:tcW w:type="dxa" w:w="7776"/>
            <w:shd w:val="clear" w:color="auto" w:fill="F2F2F2"/>
          </w:tcPr>
          <w:p>
            <w:pPr>
              <w:spacing w:before="60" w:after="60"/>
            </w:pPr>
            <w:r>
              <w:rPr>
                <w:b w:val="0"/>
                <w:i w:val="0"/>
                <w:sz w:val="18"/>
                <w:u w:val="none"/>
              </w:rPr>
              <w:t>Reported EBITDA Declined 27% YoY (FY2023→FY2024) while revenue grew 11%; $5.4M in add-backs concentrated in single year</w:t>
            </w:r>
          </w:p>
        </w:tc>
      </w:tr>
    </w:tbl>
    <w:tbl>
      <w:tblPr>
        <w:tblStyle w:val="TableGrid"/>
        <w:tblW w:type="auto" w:w="0"/>
        <w:jc w:val="left"/>
        <w:tblLook w:firstColumn="1" w:firstRow="1" w:lastColumn="0" w:lastRow="0" w:noHBand="0" w:noVBand="1" w:val="04A0"/>
      </w:tblPr>
      <w:tblGrid>
        <w:gridCol w:w="4536"/>
        <w:gridCol w:w="4536"/>
      </w:tblGrid>
      <w:tr>
        <w:tc>
          <w:tcPr>
            <w:tcW w:type="dxa" w:w="1296"/>
            <w:shd w:val="clear" w:color="auto" w:fill="C00000"/>
          </w:tcPr>
          <w:p>
            <w:pPr>
              <w:spacing w:before="60" w:after="60"/>
              <w:jc w:val="center"/>
            </w:pPr>
            <w:r>
              <w:rPr>
                <w:b/>
                <w:i w:val="0"/>
                <w:color w:val="FFFFFF"/>
                <w:sz w:val="16"/>
                <w:u w:val="none"/>
              </w:rPr>
              <w:t>CRITICAL</w:t>
            </w:r>
          </w:p>
        </w:tc>
        <w:tc>
          <w:tcPr>
            <w:tcW w:type="dxa" w:w="7776"/>
            <w:shd w:val="clear" w:color="auto" w:fill="F2F2F2"/>
          </w:tcPr>
          <w:p>
            <w:pPr>
              <w:spacing w:before="60" w:after="60"/>
            </w:pPr>
            <w:r>
              <w:rPr>
                <w:b w:val="0"/>
                <w:i w:val="0"/>
                <w:sz w:val="18"/>
                <w:u w:val="none"/>
              </w:rPr>
              <w:t>DOE IDIQ Ceiling Near Exhaustion — $12.1M+ FY2025 revenue headwind (19.2% of revenue at risk)</w:t>
            </w:r>
          </w:p>
        </w:tc>
      </w:tr>
    </w:tbl>
    <w:tbl>
      <w:tblPr>
        <w:tblStyle w:val="TableGrid"/>
        <w:tblW w:type="auto" w:w="0"/>
        <w:jc w:val="left"/>
        <w:tblLook w:firstColumn="1" w:firstRow="1" w:lastColumn="0" w:lastRow="0" w:noHBand="0" w:noVBand="1" w:val="04A0"/>
      </w:tblPr>
      <w:tblGrid>
        <w:gridCol w:w="4536"/>
        <w:gridCol w:w="4536"/>
      </w:tblGrid>
      <w:tr>
        <w:tc>
          <w:tcPr>
            <w:tcW w:type="dxa" w:w="1296"/>
            <w:shd w:val="clear" w:color="auto" w:fill="C00000"/>
          </w:tcPr>
          <w:p>
            <w:pPr>
              <w:spacing w:before="60" w:after="60"/>
              <w:jc w:val="center"/>
            </w:pPr>
            <w:r>
              <w:rPr>
                <w:b/>
                <w:i w:val="0"/>
                <w:color w:val="FFFFFF"/>
                <w:sz w:val="16"/>
                <w:u w:val="none"/>
              </w:rPr>
              <w:t>CRITICAL</w:t>
            </w:r>
          </w:p>
        </w:tc>
        <w:tc>
          <w:tcPr>
            <w:tcW w:type="dxa" w:w="7776"/>
            <w:shd w:val="clear" w:color="auto" w:fill="F2F2F2"/>
          </w:tcPr>
          <w:p>
            <w:pPr>
              <w:spacing w:before="60" w:after="60"/>
            </w:pPr>
            <w:r>
              <w:rPr>
                <w:b w:val="0"/>
                <w:i w:val="0"/>
                <w:sz w:val="18"/>
                <w:u w:val="none"/>
              </w:rPr>
              <w:t>Salt Lake City Lease — Dual Consent Failure (Pinnacle→RES assignment unapproved for 2.5 years + Sycamore CoC)</w:t>
            </w:r>
          </w:p>
        </w:tc>
      </w:tr>
    </w:tbl>
    <w:tbl>
      <w:tblPr>
        <w:tblStyle w:val="TableGrid"/>
        <w:tblW w:type="auto" w:w="0"/>
        <w:jc w:val="left"/>
        <w:tblLook w:firstColumn="1" w:firstRow="1" w:lastColumn="0" w:lastRow="0" w:noHBand="0" w:noVBand="1" w:val="04A0"/>
      </w:tblPr>
      <w:tblGrid>
        <w:gridCol w:w="4536"/>
        <w:gridCol w:w="4536"/>
      </w:tblGrid>
      <w:tr>
        <w:tc>
          <w:tcPr>
            <w:tcW w:type="dxa" w:w="1296"/>
            <w:shd w:val="clear" w:color="auto" w:fill="C00000"/>
          </w:tcPr>
          <w:p>
            <w:pPr>
              <w:spacing w:before="60" w:after="60"/>
              <w:jc w:val="center"/>
            </w:pPr>
            <w:r>
              <w:rPr>
                <w:b/>
                <w:i w:val="0"/>
                <w:color w:val="FFFFFF"/>
                <w:sz w:val="16"/>
                <w:u w:val="none"/>
              </w:rPr>
              <w:t>CRITICAL</w:t>
            </w:r>
          </w:p>
        </w:tc>
        <w:tc>
          <w:tcPr>
            <w:tcW w:type="dxa" w:w="7776"/>
            <w:shd w:val="clear" w:color="auto" w:fill="F2F2F2"/>
          </w:tcPr>
          <w:p>
            <w:pPr>
              <w:spacing w:before="60" w:after="60"/>
            </w:pPr>
            <w:r>
              <w:rPr>
                <w:b w:val="0"/>
                <w:i w:val="0"/>
                <w:sz w:val="18"/>
                <w:u w:val="none"/>
              </w:rPr>
              <w:t>Grand Junction Phase II ESA Stale (5+ years); Contamination Unquantified; Vapor Intrusion Risk to Occupied Building</w:t>
            </w:r>
          </w:p>
        </w:tc>
      </w:tr>
    </w:tbl>
    <w:tbl>
      <w:tblPr>
        <w:tblStyle w:val="TableGrid"/>
        <w:tblW w:type="auto" w:w="0"/>
        <w:jc w:val="left"/>
        <w:tblLook w:firstColumn="1" w:firstRow="1" w:lastColumn="0" w:lastRow="0" w:noHBand="0" w:noVBand="1" w:val="04A0"/>
      </w:tblPr>
      <w:tblGrid>
        <w:gridCol w:w="4536"/>
        <w:gridCol w:w="4536"/>
      </w:tblGrid>
      <w:tr>
        <w:tc>
          <w:tcPr>
            <w:tcW w:type="dxa" w:w="1296"/>
            <w:shd w:val="clear" w:color="auto" w:fill="ED7D31"/>
          </w:tcPr>
          <w:p>
            <w:pPr>
              <w:spacing w:before="60" w:after="60"/>
              <w:jc w:val="center"/>
            </w:pPr>
            <w:r>
              <w:rPr>
                <w:b/>
                <w:i w:val="0"/>
                <w:color w:val="FFFFFF"/>
                <w:sz w:val="16"/>
                <w:u w:val="none"/>
              </w:rPr>
              <w:t>HIGH</w:t>
            </w:r>
          </w:p>
        </w:tc>
        <w:tc>
          <w:tcPr>
            <w:tcW w:type="dxa" w:w="7776"/>
            <w:shd w:val="clear" w:color="auto" w:fill="F2F2F2"/>
          </w:tcPr>
          <w:p>
            <w:pPr>
              <w:spacing w:before="60" w:after="60"/>
            </w:pPr>
            <w:r>
              <w:rPr>
                <w:b w:val="0"/>
                <w:i w:val="0"/>
                <w:sz w:val="18"/>
                <w:u w:val="none"/>
              </w:rPr>
              <w:t>Fleet Replacement Backlog ~$9.8M; True Normalized CapEx ~$7.3M–$7.8M vs. Management's $4.0M–$4.5M</w:t>
            </w:r>
          </w:p>
        </w:tc>
      </w:tr>
    </w:tbl>
    <w:tbl>
      <w:tblPr>
        <w:tblStyle w:val="TableGrid"/>
        <w:tblW w:type="auto" w:w="0"/>
        <w:jc w:val="left"/>
        <w:tblLook w:firstColumn="1" w:firstRow="1" w:lastColumn="0" w:lastRow="0" w:noHBand="0" w:noVBand="1" w:val="04A0"/>
      </w:tblPr>
      <w:tblGrid>
        <w:gridCol w:w="4536"/>
        <w:gridCol w:w="4536"/>
      </w:tblGrid>
      <w:tr>
        <w:tc>
          <w:tcPr>
            <w:tcW w:type="dxa" w:w="1296"/>
            <w:shd w:val="clear" w:color="auto" w:fill="ED7D31"/>
          </w:tcPr>
          <w:p>
            <w:pPr>
              <w:spacing w:before="60" w:after="60"/>
              <w:jc w:val="center"/>
            </w:pPr>
            <w:r>
              <w:rPr>
                <w:b/>
                <w:i w:val="0"/>
                <w:color w:val="FFFFFF"/>
                <w:sz w:val="16"/>
                <w:u w:val="none"/>
              </w:rPr>
              <w:t>HIGH</w:t>
            </w:r>
          </w:p>
        </w:tc>
        <w:tc>
          <w:tcPr>
            <w:tcW w:type="dxa" w:w="7776"/>
            <w:shd w:val="clear" w:color="auto" w:fill="F2F2F2"/>
          </w:tcPr>
          <w:p>
            <w:pPr>
              <w:spacing w:before="60" w:after="60"/>
            </w:pPr>
            <w:r>
              <w:rPr>
                <w:b w:val="0"/>
                <w:i w:val="0"/>
                <w:sz w:val="18"/>
                <w:u w:val="none"/>
              </w:rPr>
              <w:t>NLRB Unionization Petition Filed (Teamsters Local 455) — 62 Field Technicians; Disclosed Only in Footnote</w:t>
            </w:r>
          </w:p>
        </w:tc>
      </w:tr>
    </w:tbl>
    <w:tbl>
      <w:tblPr>
        <w:tblStyle w:val="TableGrid"/>
        <w:tblW w:type="auto" w:w="0"/>
        <w:jc w:val="left"/>
        <w:tblLook w:firstColumn="1" w:firstRow="1" w:lastColumn="0" w:lastRow="0" w:noHBand="0" w:noVBand="1" w:val="04A0"/>
      </w:tblPr>
      <w:tblGrid>
        <w:gridCol w:w="4536"/>
        <w:gridCol w:w="4536"/>
      </w:tblGrid>
      <w:tr>
        <w:tc>
          <w:tcPr>
            <w:tcW w:type="dxa" w:w="1296"/>
            <w:shd w:val="clear" w:color="auto" w:fill="ED7D31"/>
          </w:tcPr>
          <w:p>
            <w:pPr>
              <w:spacing w:before="60" w:after="60"/>
              <w:jc w:val="center"/>
            </w:pPr>
            <w:r>
              <w:rPr>
                <w:b/>
                <w:i w:val="0"/>
                <w:color w:val="FFFFFF"/>
                <w:sz w:val="16"/>
                <w:u w:val="none"/>
              </w:rPr>
              <w:t>HIGH</w:t>
            </w:r>
          </w:p>
        </w:tc>
        <w:tc>
          <w:tcPr>
            <w:tcW w:type="dxa" w:w="7776"/>
            <w:shd w:val="clear" w:color="auto" w:fill="F2F2F2"/>
          </w:tcPr>
          <w:p>
            <w:pPr>
              <w:spacing w:before="60" w:after="60"/>
            </w:pPr>
            <w:r>
              <w:rPr>
                <w:b w:val="0"/>
                <w:i w:val="0"/>
                <w:sz w:val="18"/>
                <w:u w:val="none"/>
              </w:rPr>
              <w:t>$2.625M Single-Trigger CoC Severance (CEO/COO) Payable at Closing; Classification Unresolved in LOI</w:t>
            </w:r>
          </w:p>
        </w:tc>
      </w:tr>
    </w:tbl>
    <w:tbl>
      <w:tblPr>
        <w:tblStyle w:val="TableGrid"/>
        <w:tblW w:type="auto" w:w="0"/>
        <w:jc w:val="left"/>
        <w:tblLook w:firstColumn="1" w:firstRow="1" w:lastColumn="0" w:lastRow="0" w:noHBand="0" w:noVBand="1" w:val="04A0"/>
      </w:tblPr>
      <w:tblGrid>
        <w:gridCol w:w="4536"/>
        <w:gridCol w:w="4536"/>
      </w:tblGrid>
      <w:tr>
        <w:tc>
          <w:tcPr>
            <w:tcW w:type="dxa" w:w="1296"/>
            <w:shd w:val="clear" w:color="auto" w:fill="ED7D31"/>
          </w:tcPr>
          <w:p>
            <w:pPr>
              <w:spacing w:before="60" w:after="60"/>
              <w:jc w:val="center"/>
            </w:pPr>
            <w:r>
              <w:rPr>
                <w:b/>
                <w:i w:val="0"/>
                <w:color w:val="FFFFFF"/>
                <w:sz w:val="16"/>
                <w:u w:val="none"/>
              </w:rPr>
              <w:t>HIGH</w:t>
            </w:r>
          </w:p>
        </w:tc>
        <w:tc>
          <w:tcPr>
            <w:tcW w:type="dxa" w:w="7776"/>
            <w:shd w:val="clear" w:color="auto" w:fill="F2F2F2"/>
          </w:tcPr>
          <w:p>
            <w:pPr>
              <w:spacing w:before="60" w:after="60"/>
            </w:pPr>
            <w:r>
              <w:rPr>
                <w:b w:val="0"/>
                <w:i w:val="0"/>
                <w:sz w:val="18"/>
                <w:u w:val="none"/>
              </w:rPr>
              <w:t>FY2024 Financials Reviewed (Not Audited); Audited Statements Required as Closing Condition</w:t>
            </w:r>
          </w:p>
        </w:tc>
      </w:tr>
    </w:tbl>
    <w:p/>
    <w:p>
      <w:pPr>
        <w:spacing w:before="40" w:after="80"/>
      </w:pPr>
      <w:r>
        <w:rPr>
          <w:b/>
          <w:i w:val="0"/>
          <w:sz w:val="20"/>
          <w:u w:val="none"/>
        </w:rPr>
        <w:t xml:space="preserve">Valuation Implication: </w:t>
      </w:r>
      <w:r>
        <w:rPr>
          <w:b w:val="0"/>
          <w:i w:val="0"/>
          <w:sz w:val="20"/>
          <w:u w:val="none"/>
        </w:rPr>
        <w:t>Based on our preliminary analysis, the combination of (i) the $1.0M EBITDA discrepancy, (ii) the fleet CapEx understatement (~$3.3M/year), (iii) the DOE ceiling exhaustion risk ($12.1M revenue headwind), and (iv) unresolved environmental and legal contingencies suggests that the indicative EV range of $182M–$205M may be materially overstated. A conservative buyer-adjusted EBITDA of $19.6M–$20.8M, combined with a more appropriate CapEx-adjusted free cash flow multiple, would imply a meaningfully lower enterprise value. We recommend that the Buyer not confirm the indicative EV until the QoE process is complete and the key issues identified herein are resolved.</w:t>
      </w:r>
    </w:p>
    <w:p>
      <w:pPr>
        <w:spacing w:before="240" w:after="80"/>
      </w:pPr>
      <w:r>
        <w:rPr>
          <w:b/>
          <w:color w:val="1F3864"/>
          <w:sz w:val="28"/>
        </w:rPr>
        <w:t>II. FINANCIAL AND QUALITY OF EARNINGS RED FLAGS</w:t>
      </w:r>
    </w:p>
    <w:p>
      <w:pPr>
        <w:spacing w:before="240" w:after="80"/>
      </w:pPr>
      <w:r>
        <w:rPr>
          <w:b/>
          <w:color w:val="C00000"/>
          <w:sz w:val="24"/>
        </w:rPr>
        <w:t>A. Adjusted EBITDA Discrepancy — $1.0M Unreconciled Gap [CRITICAL]</w:t>
      </w:r>
    </w:p>
    <w:p>
      <w:pPr>
        <w:spacing w:before="40" w:after="80"/>
      </w:pPr>
      <w:r>
        <w:rPr>
          <w:b w:val="0"/>
          <w:i w:val="0"/>
          <w:sz w:val="20"/>
          <w:u w:val="none"/>
        </w:rPr>
        <w:t xml:space="preserve">The QoE data request response (EBITDA Bridge tab) shows Management Adjusted EBITDA of </w:t>
      </w:r>
      <w:r>
        <w:rPr>
          <w:b/>
          <w:i w:val="0"/>
          <w:sz w:val="20"/>
          <w:u w:val="none"/>
        </w:rPr>
        <w:t>$23.8M</w:t>
      </w:r>
      <w:r>
        <w:rPr>
          <w:b w:val="0"/>
          <w:i w:val="0"/>
          <w:sz w:val="20"/>
          <w:u w:val="none"/>
        </w:rPr>
        <w:t xml:space="preserve">, while the CIM and the executed LOI both reference Adjusted EBITDA of </w:t>
      </w:r>
      <w:r>
        <w:rPr>
          <w:b/>
          <w:i w:val="0"/>
          <w:sz w:val="20"/>
          <w:u w:val="none"/>
        </w:rPr>
        <w:t>$22.8M</w:t>
      </w:r>
      <w:r>
        <w:rPr>
          <w:b w:val="0"/>
          <w:i w:val="0"/>
          <w:sz w:val="20"/>
          <w:u w:val="none"/>
        </w:rPr>
        <w:t xml:space="preserve"> — a </w:t>
      </w:r>
      <w:r>
        <w:rPr>
          <w:b/>
          <w:i w:val="0"/>
          <w:color w:val="C00000"/>
          <w:sz w:val="20"/>
          <w:u w:val="none"/>
        </w:rPr>
        <w:t>$1.0M unexplained discrepancy</w:t>
      </w:r>
      <w:r>
        <w:rPr>
          <w:b w:val="0"/>
          <w:i w:val="0"/>
          <w:sz w:val="20"/>
          <w:u w:val="none"/>
        </w:rPr>
        <w:t>. Management acknowledges the gap in a reconciliation note within the QoE data package but has not identified the specific adjustment category causing it. This is the foundational figure upon which the entire $182M–$205M enterprise value range is based. At an 8.0x–9.0x multiple, a $1.0M EBITDA error translates to an $8M–$9M valuation impact.</w:t>
      </w:r>
    </w:p>
    <w:p>
      <w:pPr>
        <w:pStyle w:val="ListBullet"/>
        <w:spacing w:before="20" w:after="20"/>
        <w:ind w:left="360"/>
      </w:pPr>
      <w:r>
        <w:rPr>
          <w:sz w:val="20"/>
        </w:rPr>
        <w:t>Action Required: Demand full line-by-line reconciliation of all adjustment categories before confirming the LOI EV range. Require QoE firm sign-off on the final Adjusted EBITDA figure.</w:t>
      </w:r>
    </w:p>
    <w:p>
      <w:pPr>
        <w:pStyle w:val="ListBullet"/>
        <w:spacing w:before="20" w:after="20"/>
        <w:ind w:left="360"/>
      </w:pPr>
      <w:r>
        <w:rPr>
          <w:sz w:val="20"/>
        </w:rPr>
        <w:t>SPA Implication: Condition final EV determination on resolution of this discrepancy; include as a condition precedent to signing the definitive SPA.</w:t>
      </w:r>
    </w:p>
    <w:p>
      <w:pPr>
        <w:spacing w:before="240" w:after="80"/>
      </w:pPr>
      <w:r>
        <w:rPr>
          <w:b/>
          <w:color w:val="C00000"/>
          <w:sz w:val="24"/>
        </w:rPr>
        <w:t>B. Reported EBITDA Declined 27% YoY; Add-Back Clustering Raises Quality Concerns [CRITICAL]</w:t>
      </w:r>
    </w:p>
    <w:p>
      <w:pPr>
        <w:spacing w:before="40" w:after="80"/>
      </w:pPr>
      <w:r>
        <w:rPr>
          <w:b w:val="0"/>
          <w:i w:val="0"/>
          <w:sz w:val="20"/>
          <w:u w:val="none"/>
        </w:rPr>
        <w:t xml:space="preserve">Reported EBITDA fell from $25.2M (FY2023) to $18.4M (FY2024) — a </w:t>
      </w:r>
      <w:r>
        <w:rPr>
          <w:b/>
          <w:i w:val="0"/>
          <w:color w:val="C00000"/>
          <w:sz w:val="20"/>
          <w:u w:val="none"/>
        </w:rPr>
        <w:t>27% decline</w:t>
      </w:r>
      <w:r>
        <w:rPr>
          <w:b w:val="0"/>
          <w:i w:val="0"/>
          <w:sz w:val="20"/>
          <w:u w:val="none"/>
        </w:rPr>
        <w:t xml:space="preserve"> — while revenue grew 11%. Management attributes the entire $6.8M decline to $5.4M in non-recurring add-backs. The clustering of five distinct add-back categories in a single year, combined with the recurrence of similar items in FY2022 ($2.2M) and FY2023 ($2.9M), raises serious quality-of-earnings concerns:</w:t>
      </w:r>
    </w:p>
    <w:p>
      <w:pPr>
        <w:pStyle w:val="ListBullet"/>
        <w:spacing w:before="20" w:after="20"/>
        <w:ind w:left="360"/>
      </w:pPr>
      <w:r>
        <w:rPr>
          <w:sz w:val="20"/>
        </w:rPr>
        <w:t>Litigation Settlement ($1.2M): The QoE data package labels this as the Harper Environmental settlement, but the Litigation Summary clarifies it is a net cash receipt from the Clearwater Logistics settlement — a revenue item, not a cost add-back. Adding back a cash receipt inflates EBITDA and is methodologically incorrect.</w:t>
      </w:r>
    </w:p>
    <w:p>
      <w:pPr>
        <w:pStyle w:val="ListBullet"/>
        <w:spacing w:before="20" w:after="20"/>
        <w:ind w:left="360"/>
      </w:pPr>
      <w:r>
        <w:rPr>
          <w:sz w:val="20"/>
        </w:rPr>
        <w:t>Owner Compensation Normalization ($950K): The CIM states a 25% bonus target for the founders, but their employment agreements show a 50% target — a material inconsistency that affects the normalization calculation.</w:t>
      </w:r>
    </w:p>
    <w:p>
      <w:pPr>
        <w:pStyle w:val="ListBullet"/>
        <w:spacing w:before="20" w:after="20"/>
        <w:ind w:left="360"/>
      </w:pPr>
      <w:r>
        <w:rPr>
          <w:sz w:val="20"/>
        </w:rPr>
        <w:t>Acquisition Integration Costs ($800K): Integration costs have appeared in FY2022 ($1.24M), FY2023 ($620K), and FY2024 ($800K) — three consecutive years. These appear structural, not non-recurring.</w:t>
      </w:r>
    </w:p>
    <w:p>
      <w:pPr>
        <w:pStyle w:val="ListBullet"/>
        <w:spacing w:before="20" w:after="20"/>
        <w:ind w:left="360"/>
      </w:pPr>
      <w:r>
        <w:rPr>
          <w:sz w:val="20"/>
        </w:rPr>
        <w:t>ERP Implementation ($650K): Phase 2 is expected to complete Q2 FY2025, suggesting additional costs will be incurred post-closing.</w:t>
      </w:r>
    </w:p>
    <w:p>
      <w:pPr>
        <w:pStyle w:val="ListBullet"/>
        <w:spacing w:before="20" w:after="20"/>
        <w:ind w:left="360"/>
      </w:pPr>
      <w:r>
        <w:rPr>
          <w:sz w:val="20"/>
        </w:rPr>
        <w:t>Asbestos Wind-Down ($1.8M): FY2023 ($920K) + FY2024 ($1.8M) = $2.72M over two years, with potential additional tail costs.</w:t>
      </w:r>
    </w:p>
    <w:p>
      <w:pPr>
        <w:spacing w:before="240" w:after="80"/>
      </w:pPr>
      <w:r>
        <w:rPr>
          <w:b/>
          <w:color w:val="ED7D31"/>
          <w:sz w:val="24"/>
        </w:rPr>
        <w:t>C. Maintenance CapEx Understated; Fleet Replacement Backlog ~$9.8M [HIGH]</w:t>
      </w:r>
    </w:p>
    <w:p>
      <w:pPr>
        <w:spacing w:before="40" w:after="80"/>
      </w:pPr>
      <w:r>
        <w:rPr>
          <w:b w:val="0"/>
          <w:i w:val="0"/>
          <w:sz w:val="20"/>
          <w:u w:val="none"/>
        </w:rPr>
        <w:t xml:space="preserve">The Fleet &amp; Equipment Schedule reveals that </w:t>
      </w:r>
      <w:r>
        <w:rPr>
          <w:b/>
          <w:i w:val="0"/>
          <w:sz w:val="20"/>
          <w:u w:val="none"/>
        </w:rPr>
        <w:t>44.7% of the fleet (38 of 85 units) is at or past stated useful life</w:t>
      </w:r>
      <w:r>
        <w:rPr>
          <w:b w:val="0"/>
          <w:i w:val="0"/>
          <w:sz w:val="20"/>
          <w:u w:val="none"/>
        </w:rPr>
        <w:t xml:space="preserve">, with an average fleet age of 8.2 years against a 7.0-year useful life. Five units are flagged 'At End of Life — No Replacement Scheduled.' Management's normalized maintenance CapEx estimate of $4.0M–$4.5M/year is materially understated. Spreading the $9.8M past-life replacement backlog over three years implies approximately </w:t>
      </w:r>
      <w:r>
        <w:rPr>
          <w:b/>
          <w:i w:val="0"/>
          <w:sz w:val="20"/>
          <w:u w:val="none"/>
        </w:rPr>
        <w:t>$3.3M/year in catch-up CapEx</w:t>
      </w:r>
      <w:r>
        <w:rPr>
          <w:b w:val="0"/>
          <w:i w:val="0"/>
          <w:sz w:val="20"/>
          <w:u w:val="none"/>
        </w:rPr>
        <w:t xml:space="preserve"> above the stated run-rate, yielding a true normalized maintenance CapEx of approximately $7.3M–$7.8M/year. This has a direct and significant impact on free cash flow and, consequently, on the appropriate enterprise value multiple.</w:t>
      </w:r>
    </w:p>
    <w:p>
      <w:pPr>
        <w:pStyle w:val="ListBullet"/>
        <w:spacing w:before="20" w:after="20"/>
        <w:ind w:left="360"/>
      </w:pPr>
      <w:r>
        <w:rPr>
          <w:sz w:val="20"/>
        </w:rPr>
        <w:t>Valuation Impact: At a 35% gross margin, the $3.3M/year CapEx understatement reduces normalized FCF by $3.3M. Capitalizing this at 8–9x implies a $26M–$30M downward EV adjustment.</w:t>
      </w:r>
    </w:p>
    <w:p>
      <w:pPr>
        <w:pStyle w:val="ListBullet"/>
        <w:spacing w:before="20" w:after="20"/>
        <w:ind w:left="360"/>
      </w:pPr>
      <w:r>
        <w:rPr>
          <w:sz w:val="20"/>
        </w:rPr>
        <w:t>Action Required: Commission an independent fleet appraisal; adjust the normalized CapEx assumption in the valuation model.</w:t>
      </w:r>
    </w:p>
    <w:p>
      <w:pPr>
        <w:spacing w:before="240" w:after="80"/>
      </w:pPr>
      <w:r>
        <w:rPr>
          <w:b/>
          <w:color w:val="1F3864"/>
          <w:sz w:val="28"/>
        </w:rPr>
        <w:t>III. ENVIRONMENTAL RED FLAGS</w:t>
      </w:r>
    </w:p>
    <w:p>
      <w:pPr>
        <w:spacing w:before="240" w:after="80"/>
      </w:pPr>
      <w:r>
        <w:rPr>
          <w:b/>
          <w:color w:val="C00000"/>
          <w:sz w:val="24"/>
        </w:rPr>
        <w:t>A. Grand Junction Phase II ESA Stale (5+ Years); Contamination Unquantified [CRITICAL]</w:t>
      </w:r>
    </w:p>
    <w:p>
      <w:pPr>
        <w:spacing w:before="40" w:after="80"/>
      </w:pPr>
      <w:r>
        <w:rPr>
          <w:b w:val="0"/>
          <w:i w:val="0"/>
          <w:sz w:val="20"/>
          <w:u w:val="none"/>
        </w:rPr>
        <w:t xml:space="preserve">The only Phase II Environmental Site Assessment for the Company's owned Grand Junction headquarters (12.4 acres) was completed in </w:t>
      </w:r>
      <w:r>
        <w:rPr>
          <w:b/>
          <w:i w:val="0"/>
          <w:sz w:val="20"/>
          <w:u w:val="none"/>
        </w:rPr>
        <w:t>June 2019 — over five years ago</w:t>
      </w:r>
      <w:r>
        <w:rPr>
          <w:b w:val="0"/>
          <w:i w:val="0"/>
          <w:sz w:val="20"/>
          <w:u w:val="none"/>
        </w:rPr>
        <w:t>. The ESA itself explicitly recommends updating before any property transaction. The 2019 assessment identified significant contamination:</w:t>
      </w:r>
    </w:p>
    <w:p>
      <w:pPr>
        <w:pStyle w:val="ListBullet"/>
        <w:spacing w:before="20" w:after="20"/>
        <w:ind w:left="360"/>
      </w:pPr>
      <w:r>
        <w:rPr>
          <w:sz w:val="20"/>
        </w:rPr>
        <w:t>Petroleum Hydrocarbons (Area 1 — Former UST Area): TPH-diesel up to 4,200 mg/kg (exceeds 2,800 mg/kg standard); benzene in groundwater at 12 µg/L (exceeds 5 µg/L standard). Contamination extends over ~8,500 sq. ft. to 16 ft. depth.</w:t>
      </w:r>
    </w:p>
    <w:p>
      <w:pPr>
        <w:pStyle w:val="ListBullet"/>
        <w:spacing w:before="20" w:after="20"/>
        <w:ind w:left="360"/>
      </w:pPr>
      <w:r>
        <w:rPr>
          <w:sz w:val="20"/>
        </w:rPr>
        <w:t>Chlorinated Solvents (Area 2 — Former Degreasing Area): PCE up to 18 mg/kg in soil (exceeds 3.4 mg/kg standard); PCE 22 µg/L and TCE 8.7 µg/L in groundwater (both exceed 5 µg/L standard). DNAPL migration risk noted — chlorinated solvents can migrate vertically through the aquifer.</w:t>
      </w:r>
    </w:p>
    <w:p>
      <w:pPr>
        <w:pStyle w:val="ListBullet"/>
        <w:spacing w:before="20" w:after="20"/>
        <w:ind w:left="360"/>
      </w:pPr>
      <w:r>
        <w:rPr>
          <w:sz w:val="20"/>
        </w:rPr>
        <w:t>Vapor Intrusion Risk: Soil gas PCE at 450 µg/m³ (exceeds 240 µg/m³ RSL) adjacent to the occupied 28,000 sq. ft. vehicle maintenance building. A vapor intrusion assessment was not conducted in 2019 and has not been conducted since.</w:t>
      </w:r>
    </w:p>
    <w:p>
      <w:pPr>
        <w:pStyle w:val="ListBullet"/>
        <w:spacing w:before="20" w:after="20"/>
        <w:ind w:left="360"/>
      </w:pPr>
      <w:r>
        <w:rPr>
          <w:sz w:val="20"/>
        </w:rPr>
        <w:t>Off-Site Plume Containment Unconfirmed: No off-site sentinel wells have been installed. The 2019 ESA explicitly states that plume containment is 'preliminary' and recommends at least two off-site downgradient wells.</w:t>
      </w:r>
    </w:p>
    <w:p>
      <w:pPr>
        <w:spacing w:before="40" w:after="80"/>
      </w:pPr>
      <w:r>
        <w:rPr>
          <w:b w:val="0"/>
          <w:i w:val="0"/>
          <w:sz w:val="20"/>
          <w:u w:val="none"/>
        </w:rPr>
        <w:t xml:space="preserve">The Company's current environmental remediation accrual of $3.2M (of which ~$2.2M is attributable to Grand Junction) is based on the 2019 cost estimate of $1.8M–$2.6M. Given five years of potential contaminant migration, cost inflation, and the unaddressed vapor intrusion pathway, the actual remediation cost is likely </w:t>
      </w:r>
      <w:r>
        <w:rPr>
          <w:b/>
          <w:i w:val="0"/>
          <w:color w:val="C00000"/>
          <w:sz w:val="20"/>
          <w:u w:val="none"/>
        </w:rPr>
        <w:t>materially higher than the current accrual</w:t>
      </w:r>
      <w:r>
        <w:rPr>
          <w:b w:val="0"/>
          <w:i w:val="0"/>
          <w:sz w:val="20"/>
          <w:u w:val="none"/>
        </w:rPr>
        <w:t xml:space="preserve">. The pollution liability insurance policy explicitly excludes gradual contamination at owned facilities — meaning the Grand Junction contamination is </w:t>
      </w:r>
      <w:r>
        <w:rPr>
          <w:b/>
          <w:i w:val="0"/>
          <w:color w:val="C00000"/>
          <w:sz w:val="20"/>
          <w:u w:val="none"/>
        </w:rPr>
        <w:t>entirely uninsured</w:t>
      </w:r>
      <w:r>
        <w:rPr>
          <w:b w:val="0"/>
          <w:i w:val="0"/>
          <w:sz w:val="20"/>
          <w:u w:val="none"/>
        </w:rPr>
        <w:t>.</w:t>
      </w:r>
    </w:p>
    <w:p>
      <w:pPr>
        <w:spacing w:before="240" w:after="80"/>
      </w:pPr>
      <w:r>
        <w:rPr>
          <w:b/>
          <w:color w:val="ED7D31"/>
          <w:sz w:val="24"/>
        </w:rPr>
        <w:t>B. CDPHE RCRA Enforcement Action Pending (Docket CDPHE-HW-2024-0093) [HIGH]</w:t>
      </w:r>
    </w:p>
    <w:p>
      <w:pPr>
        <w:spacing w:before="40" w:after="80"/>
      </w:pPr>
      <w:r>
        <w:rPr>
          <w:b w:val="0"/>
          <w:i w:val="0"/>
          <w:sz w:val="20"/>
          <w:u w:val="none"/>
        </w:rPr>
        <w:t>CDPHE issued a Notice of Violation on July 18, 2024 for improper hazardous waste storage at the Grand Junction facility. The parties dispute the violation period: the Company asserts 12 days (maximum penalty $450K); CDPHE asserts 31 days (maximum penalty $1.16M). No accrual has been recorded. The LOI specifically identifies this docket (CDPHE-HW-2024-0093) as warranting 'specific indemnification treatment.' A settlement conference is expected Q1 2025 — potentially concurrent with the target signing date.</w:t>
      </w:r>
    </w:p>
    <w:p>
      <w:pPr>
        <w:spacing w:before="240" w:after="80"/>
      </w:pPr>
      <w:r>
        <w:rPr>
          <w:b/>
          <w:color w:val="ED7D31"/>
          <w:sz w:val="24"/>
        </w:rPr>
        <w:t>C. Salt Lake City Permit (UTH-0441) Not Transferred — 2.5 Years Pending [HIGH]</w:t>
      </w:r>
    </w:p>
    <w:p>
      <w:pPr>
        <w:spacing w:before="40" w:after="80"/>
      </w:pPr>
      <w:r>
        <w:rPr>
          <w:b w:val="0"/>
          <w:i w:val="0"/>
          <w:sz w:val="20"/>
          <w:u w:val="none"/>
        </w:rPr>
        <w:t xml:space="preserve">The Salt Lake City transfer station (serving ~$16.2M of annual revenue, 12.7% of total) operates under a hazardous waste permit (UTH-0441) still held in the name of </w:t>
      </w:r>
      <w:r>
        <w:rPr>
          <w:b/>
          <w:i w:val="0"/>
          <w:sz w:val="20"/>
          <w:u w:val="none"/>
        </w:rPr>
        <w:t>Pinnacle Waste Solutions, LLC</w:t>
      </w:r>
      <w:r>
        <w:rPr>
          <w:b w:val="0"/>
          <w:i w:val="0"/>
          <w:sz w:val="20"/>
          <w:u w:val="none"/>
        </w:rPr>
        <w:t xml:space="preserve"> — a dormant subsidiary. RES submitted a transfer application in April 2022; it remains pending after 2.5 years. Utah Admin Code R315-3 requires Division approval for ownership changes. The proposed Sycamore acquisition adds another layer of change-of-control complexity to an already unresolved permit situation.</w:t>
      </w:r>
    </w:p>
    <w:p>
      <w:pPr>
        <w:spacing w:before="240" w:after="80"/>
      </w:pPr>
      <w:r>
        <w:rPr>
          <w:b/>
          <w:color w:val="ED7D31"/>
          <w:sz w:val="24"/>
        </w:rPr>
        <w:t>D. Asbestos Long-Tail Liability — Pre-2015 Coverage Gap [MEDIUM]</w:t>
      </w:r>
    </w:p>
    <w:p>
      <w:pPr>
        <w:spacing w:before="40" w:after="80"/>
      </w:pPr>
      <w:r>
        <w:rPr>
          <w:b w:val="0"/>
          <w:i w:val="0"/>
          <w:sz w:val="20"/>
          <w:u w:val="none"/>
        </w:rPr>
        <w:t>RES operated asbestos abatement from 2012–2023 across approximately 145 commercial and industrial sites in CO, UT, WY, and MT. The current pollution liability policy has a retroactive date of January 1, 2015, leaving 2012–2014 operations (approximately 3 years) without coverage. The CGL policy has a blanket asbestos exclusion. No tail coverage has been procured. Two open workers' compensation claims from former asbestos employees are noted in the QoE data package.</w:t>
      </w:r>
    </w:p>
    <w:p>
      <w:pPr>
        <w:spacing w:before="240" w:after="80"/>
      </w:pPr>
      <w:r>
        <w:rPr>
          <w:b/>
          <w:color w:val="1F3864"/>
          <w:sz w:val="28"/>
        </w:rPr>
        <w:t>IV. REGULATORY AND PERMIT RED FLAGS</w:t>
      </w:r>
    </w:p>
    <w:p>
      <w:pPr>
        <w:spacing w:before="240" w:after="80"/>
      </w:pPr>
      <w:r>
        <w:rPr>
          <w:b/>
          <w:color w:val="C00000"/>
          <w:sz w:val="24"/>
        </w:rPr>
        <w:t>A. DOE IDIQ Ceiling Near Exhaustion — $12.1M+ FY2025 Revenue Headwind [CRITICAL]</w:t>
      </w:r>
    </w:p>
    <w:p>
      <w:pPr>
        <w:spacing w:before="40" w:after="80"/>
      </w:pPr>
      <w:r>
        <w:rPr>
          <w:b w:val="0"/>
          <w:i w:val="0"/>
          <w:sz w:val="20"/>
          <w:u w:val="none"/>
        </w:rPr>
        <w:t xml:space="preserve">The Company's largest customer, the U.S. Department of Energy (19.2% of revenue, $24.4M TTM), is served under IDIQ Contract DE-EM-0005523 with a $45.0M ceiling value. As of September 30, 2024, </w:t>
      </w:r>
      <w:r>
        <w:rPr>
          <w:b/>
          <w:i w:val="0"/>
          <w:sz w:val="20"/>
          <w:u w:val="none"/>
        </w:rPr>
        <w:t>$32.7M of the $45.0M ceiling has been consumed (72.7%)</w:t>
      </w:r>
      <w:r>
        <w:rPr>
          <w:b w:val="0"/>
          <w:i w:val="0"/>
          <w:sz w:val="20"/>
          <w:u w:val="none"/>
        </w:rPr>
        <w:t xml:space="preserve"> in 61.7% of the contract period. At the current run rate of ~$2.03M/month, the remaining $12.3M ceiling will be exhausted by approximately </w:t>
      </w:r>
      <w:r>
        <w:rPr>
          <w:b/>
          <w:i w:val="0"/>
          <w:color w:val="C00000"/>
          <w:sz w:val="20"/>
          <w:u w:val="none"/>
        </w:rPr>
        <w:t>April–May 2025 — coinciding with the target closing date</w:t>
      </w:r>
      <w:r>
        <w:rPr>
          <w:b w:val="0"/>
          <w:i w:val="0"/>
          <w:sz w:val="20"/>
          <w:u w:val="none"/>
        </w:rPr>
        <w:t xml:space="preserve">. The contract runs through August 2026 but cannot generate revenue beyond the ceiling without a modification. This creates a potential </w:t>
      </w:r>
      <w:r>
        <w:rPr>
          <w:b/>
          <w:i w:val="0"/>
          <w:color w:val="C00000"/>
          <w:sz w:val="20"/>
          <w:u w:val="none"/>
        </w:rPr>
        <w:t>$12.1M+ revenue headwind in FY2025</w:t>
      </w:r>
      <w:r>
        <w:rPr>
          <w:b w:val="0"/>
          <w:i w:val="0"/>
          <w:sz w:val="20"/>
          <w:u w:val="none"/>
        </w:rPr>
        <w:t xml:space="preserve"> (9.5% of total revenue) that is not disclosed in the CIM.</w:t>
      </w:r>
    </w:p>
    <w:p>
      <w:pPr>
        <w:pStyle w:val="ListBullet"/>
        <w:spacing w:before="20" w:after="20"/>
        <w:ind w:left="360"/>
      </w:pPr>
      <w:r>
        <w:rPr>
          <w:sz w:val="20"/>
        </w:rPr>
        <w:t>The contract is also non-assignable without Contracting Officer consent per the Anti-Assignment Act (41 U.S.C. §6305) and FAR 42.12. Contract Clause H-12 requires written notification within 30 days of any change in ownership exceeding 50%. Failure to notify may be grounds for termination for default.</w:t>
      </w:r>
    </w:p>
    <w:p>
      <w:pPr>
        <w:pStyle w:val="ListBullet"/>
        <w:spacing w:before="20" w:after="20"/>
        <w:ind w:left="360"/>
      </w:pPr>
      <w:r>
        <w:rPr>
          <w:sz w:val="20"/>
        </w:rPr>
        <w:t>Action Required: Engage DOE Contracting Officer immediately regarding ceiling modification and novation requirements. Model FY2025 revenue with and without ceiling increase. Adjust valuation to reflect realistic DOE revenue trajectory.</w:t>
      </w:r>
    </w:p>
    <w:p>
      <w:pPr>
        <w:pStyle w:val="ListBullet"/>
        <w:spacing w:before="20" w:after="20"/>
        <w:ind w:left="360"/>
      </w:pPr>
      <w:r>
        <w:rPr>
          <w:sz w:val="20"/>
        </w:rPr>
        <w:t>SPA Implication: Consider revenue ratchet or earnout tied to DOE contract renewal/ceiling modification. Condition closing on CO notification and acknowledgment.</w:t>
      </w:r>
    </w:p>
    <w:p>
      <w:pPr>
        <w:spacing w:before="240" w:after="80"/>
      </w:pPr>
      <w:r>
        <w:rPr>
          <w:b/>
          <w:color w:val="ED7D31"/>
          <w:sz w:val="24"/>
        </w:rPr>
        <w:t>B. Wyoming Casper Permit Expired; Operating Under Timely Renewal [MEDIUM]</w:t>
      </w:r>
    </w:p>
    <w:p>
      <w:pPr>
        <w:spacing w:before="40" w:after="80"/>
      </w:pPr>
      <w:r>
        <w:rPr>
          <w:b w:val="0"/>
          <w:i w:val="0"/>
          <w:sz w:val="20"/>
          <w:u w:val="none"/>
        </w:rPr>
        <w:t>The Casper facility's Wyoming DEQ hazardous waste permit (WY-HW-2019-033) expired November 30, 2024. A renewal application was filed October 15, 2024 (timely). While Wyoming's timely renewal provisions permit continued operations, an expired permit could be cited as a default under the credit agreement, which requires maintenance of all material permits. Renewal is expected Q1 2025 but is not guaranteed.</w:t>
      </w:r>
    </w:p>
    <w:p>
      <w:pPr>
        <w:spacing w:before="240" w:after="80"/>
      </w:pPr>
      <w:r>
        <w:rPr>
          <w:b/>
          <w:color w:val="1F3864"/>
          <w:sz w:val="28"/>
        </w:rPr>
        <w:t>V. REAL PROPERTY AND LEASE RED FLAGS</w:t>
      </w:r>
    </w:p>
    <w:p>
      <w:pPr>
        <w:spacing w:before="240" w:after="80"/>
      </w:pPr>
      <w:r>
        <w:rPr>
          <w:b/>
          <w:color w:val="C00000"/>
          <w:sz w:val="24"/>
        </w:rPr>
        <w:t>A. Salt Lake City Lease — Dual Consent Failure [CRITICAL]</w:t>
      </w:r>
    </w:p>
    <w:p>
      <w:pPr>
        <w:spacing w:before="40" w:after="80"/>
      </w:pPr>
      <w:r>
        <w:rPr>
          <w:b w:val="0"/>
          <w:i w:val="0"/>
          <w:sz w:val="20"/>
          <w:u w:val="none"/>
        </w:rPr>
        <w:t xml:space="preserve">The Salt Lake City transfer station lease (Wasatch Industrial Properties, LLC) presents the most complex real property issue in the transaction. Section 14 of the lease defines any change of control of the tenant as an assignment requiring landlord consent. The following sequence of events creates a </w:t>
      </w:r>
      <w:r>
        <w:rPr>
          <w:b/>
          <w:i w:val="0"/>
          <w:color w:val="C00000"/>
          <w:sz w:val="20"/>
          <w:u w:val="none"/>
        </w:rPr>
        <w:t>dual consent failure</w:t>
      </w:r>
      <w:r>
        <w:rPr>
          <w:b w:val="0"/>
          <w:i w:val="0"/>
          <w:sz w:val="20"/>
          <w:u w:val="none"/>
        </w:rPr>
        <w:t>:</w:t>
      </w:r>
    </w:p>
    <w:p>
      <w:pPr>
        <w:pStyle w:val="ListBullet"/>
        <w:spacing w:before="20" w:after="20"/>
        <w:ind w:left="360"/>
      </w:pPr>
      <w:r>
        <w:rPr>
          <w:sz w:val="20"/>
        </w:rPr>
        <w:t>First Consent Failure: RES requested landlord consent to the Pinnacle→RES assignment on April 12, 2022. As of December 2024 — 2.5 years later — no written consent has been received. The landlord has accepted rent payments without objection, but this does not constitute implied consent under the lease terms.</w:t>
      </w:r>
    </w:p>
    <w:p>
      <w:pPr>
        <w:pStyle w:val="ListBullet"/>
        <w:spacing w:before="20" w:after="20"/>
        <w:ind w:left="360"/>
      </w:pPr>
      <w:r>
        <w:rPr>
          <w:sz w:val="20"/>
        </w:rPr>
        <w:t>Second Consent Failure: The proposed 100% stock acquisition by Sycamore Capital constitutes a second change-of-control event under Section 14, requiring a separate landlord consent independent of the unresolved prior assignment.</w:t>
      </w:r>
    </w:p>
    <w:p>
      <w:pPr>
        <w:pStyle w:val="ListBullet"/>
        <w:spacing w:before="20" w:after="20"/>
        <w:ind w:left="360"/>
      </w:pPr>
      <w:r>
        <w:rPr>
          <w:sz w:val="20"/>
        </w:rPr>
        <w:t>Landlord Inquiry: In November 2024, the landlord sent correspondence specifically asking about changes in tenant control — suggesting awareness of the issue and potential intent to enforce the consent requirement.</w:t>
      </w:r>
    </w:p>
    <w:p>
      <w:pPr>
        <w:pStyle w:val="ListBullet"/>
        <w:spacing w:before="20" w:after="20"/>
        <w:ind w:left="360"/>
      </w:pPr>
      <w:r>
        <w:rPr>
          <w:sz w:val="20"/>
        </w:rPr>
        <w:t>Revenue at Risk: The SLC facility serves approximately $16.2M of annual revenue (12.7% of total) and houses the SLC hazardous waste permit (UTH-0441). A landlord default notice or lease termination would simultaneously disrupt operations and trigger permit issues.</w:t>
      </w:r>
    </w:p>
    <w:p>
      <w:pPr>
        <w:spacing w:before="240" w:after="80"/>
      </w:pPr>
      <w:r>
        <w:rPr>
          <w:b/>
          <w:color w:val="ED7D31"/>
          <w:sz w:val="24"/>
        </w:rPr>
        <w:t>B. Multiple Leases Require Landlord Consent for Proposed Transaction [MEDIUM]</w:t>
      </w:r>
    </w:p>
    <w:p>
      <w:pPr>
        <w:spacing w:before="40" w:after="80"/>
      </w:pPr>
      <w:r>
        <w:rPr>
          <w:b w:val="0"/>
          <w:i w:val="0"/>
          <w:sz w:val="20"/>
          <w:u w:val="none"/>
        </w:rPr>
        <w:t>Beyond the SLC facility, seven of the ten leased properties contain assignment or change-of-control provisions that may require landlord consent in connection with the proposed stock acquisition. Transaction counsel must evaluate whether a stock-level acquisition triggers the consent requirement under each lease's specific definition of 'assignment' and 'change of control.'</w:t>
      </w:r>
    </w:p>
    <w:p>
      <w:pPr>
        <w:spacing w:before="240" w:after="80"/>
      </w:pPr>
      <w:r>
        <w:rPr>
          <w:b/>
          <w:color w:val="1F3864"/>
          <w:sz w:val="28"/>
        </w:rPr>
        <w:t>VI. HUMAN CAPITAL RED FLAGS</w:t>
      </w:r>
    </w:p>
    <w:p>
      <w:pPr>
        <w:spacing w:before="240" w:after="80"/>
      </w:pPr>
      <w:r>
        <w:rPr>
          <w:b/>
          <w:color w:val="ED7D31"/>
          <w:sz w:val="24"/>
        </w:rPr>
        <w:t>A. NLRB Unionization Petition — Teamsters Local 455 [HIGH]</w:t>
      </w:r>
    </w:p>
    <w:p>
      <w:pPr>
        <w:spacing w:before="40" w:after="80"/>
      </w:pPr>
      <w:r>
        <w:rPr>
          <w:b w:val="0"/>
          <w:i w:val="0"/>
          <w:sz w:val="20"/>
          <w:u w:val="none"/>
        </w:rPr>
        <w:t xml:space="preserve">An NLRB election petition was filed on November 4, 2024 by the International Brotherhood of Teamsters Local 455, covering </w:t>
      </w:r>
      <w:r>
        <w:rPr>
          <w:b/>
          <w:i w:val="0"/>
          <w:sz w:val="20"/>
          <w:u w:val="none"/>
        </w:rPr>
        <w:t>62 field technicians at the Grand Junction and Casper facilities</w:t>
      </w:r>
      <w:r>
        <w:rPr>
          <w:b w:val="0"/>
          <w:i w:val="0"/>
          <w:sz w:val="20"/>
          <w:u w:val="none"/>
        </w:rPr>
        <w:t xml:space="preserve"> — the Company's two largest operational hubs. This development was disclosed only in a </w:t>
      </w:r>
      <w:r>
        <w:rPr>
          <w:b/>
          <w:i w:val="0"/>
          <w:color w:val="C00000"/>
          <w:sz w:val="20"/>
          <w:u w:val="none"/>
        </w:rPr>
        <w:t>footnote to the Employee Benefits Summary</w:t>
      </w:r>
      <w:r>
        <w:rPr>
          <w:b w:val="0"/>
          <w:i w:val="0"/>
          <w:sz w:val="20"/>
          <w:u w:val="none"/>
        </w:rPr>
        <w:t xml:space="preserve"> and was not mentioned in the CIM, the LOI, or any other primary data room document. The petition was filed just weeks before the data room opened. If the union wins an election, collective bargaining could increase labor costs, reduce operational flexibility, and complicate post-closing integration.</w:t>
      </w:r>
    </w:p>
    <w:p>
      <w:pPr>
        <w:spacing w:before="240" w:after="80"/>
      </w:pPr>
      <w:r>
        <w:rPr>
          <w:b/>
          <w:color w:val="ED7D31"/>
          <w:sz w:val="24"/>
        </w:rPr>
        <w:t>B. Single-Trigger CoC Severance — $2.625M Payable at Closing [HIGH]</w:t>
      </w:r>
    </w:p>
    <w:p>
      <w:pPr>
        <w:spacing w:before="40" w:after="80"/>
      </w:pPr>
      <w:r>
        <w:rPr>
          <w:b w:val="0"/>
          <w:i w:val="0"/>
          <w:sz w:val="20"/>
          <w:u w:val="none"/>
        </w:rPr>
        <w:t xml:space="preserve">Derek Calloway (CEO) and Jason Calloway (COO) each have </w:t>
      </w:r>
      <w:r>
        <w:rPr>
          <w:b/>
          <w:i w:val="0"/>
          <w:sz w:val="20"/>
          <w:u w:val="none"/>
        </w:rPr>
        <w:t>single-trigger change-of-control severance of $1.3125M</w:t>
      </w:r>
      <w:r>
        <w:rPr>
          <w:b w:val="0"/>
          <w:i w:val="0"/>
          <w:sz w:val="20"/>
          <w:u w:val="none"/>
        </w:rPr>
        <w:t xml:space="preserve"> (18 months' base salary), payable within 30 days of closing regardless of post-closing employment status. Total: $2.625M. The LOI and purchase price mechanism do not address whether these payments are Transaction Expenses (seller-borne) or buyer-borne costs. Additionally, the CIM states a 25% bonus target for the founders, but their employment agreements show a 50% target — a material inconsistency that affects the compensation normalization add-back.</w:t>
      </w:r>
    </w:p>
    <w:p>
      <w:pPr>
        <w:spacing w:before="240" w:after="80"/>
      </w:pPr>
      <w:r>
        <w:rPr>
          <w:b/>
          <w:color w:val="ED7D31"/>
          <w:sz w:val="24"/>
        </w:rPr>
        <w:t>C. Key Person Risk — Founders Control Critical Relationships [HIGH]</w:t>
      </w:r>
    </w:p>
    <w:p>
      <w:pPr>
        <w:spacing w:before="40" w:after="80"/>
      </w:pPr>
      <w:r>
        <w:rPr>
          <w:b w:val="0"/>
          <w:i w:val="0"/>
          <w:sz w:val="20"/>
          <w:u w:val="none"/>
        </w:rPr>
        <w:t>Derek Calloway is the primary DOE relationship manager, regulatory affairs lead, and the individual named in the credit agreement's change-of-management covenant (his departure without a lender-approved successor constitutes an Event of Default). Jason Calloway manages all field operations across 11 facilities. Both founders receive single-trigger severance, meaning they could depart immediately after closing with full payment. The non-compete covers 5 states for 2 years, but enforceability varies materially by state.</w:t>
      </w:r>
    </w:p>
    <w:p>
      <w:pPr>
        <w:spacing w:before="240" w:after="80"/>
      </w:pPr>
      <w:r>
        <w:rPr>
          <w:b/>
          <w:color w:val="1F3864"/>
          <w:sz w:val="28"/>
        </w:rPr>
        <w:t>VII. DEBT AND CREDIT AGREEMENT RED FLAGS</w:t>
      </w:r>
    </w:p>
    <w:p>
      <w:pPr>
        <w:spacing w:before="240" w:after="80"/>
      </w:pPr>
      <w:r>
        <w:rPr>
          <w:b/>
          <w:color w:val="ED7D31"/>
          <w:sz w:val="24"/>
        </w:rPr>
        <w:t>A. Change-of-Control Triggers Mandatory Prepayment + Premium [HIGH]</w:t>
      </w:r>
    </w:p>
    <w:p>
      <w:pPr>
        <w:spacing w:before="40" w:after="80"/>
      </w:pPr>
      <w:r>
        <w:rPr>
          <w:b w:val="0"/>
          <w:i w:val="0"/>
          <w:sz w:val="20"/>
          <w:u w:val="none"/>
        </w:rPr>
        <w:t>The High Plains National Bank credit agreement defines Change of Control to include acquisition of ≥50% of equity. The proposed 100% stock acquisition triggers mandatory prepayment of all $38.7M in outstanding debt within five business days. A 1.00% prepayment premium applies to the $26.3M term loan (assuming closing in the Year 3 period) = approximately $263K. The credit agreement provides no consent or waiver mechanism — prepayment is the only option. The revolving commitment is permanently terminated upon Change of Control.</w:t>
      </w:r>
    </w:p>
    <w:p>
      <w:pPr>
        <w:spacing w:before="240" w:after="80"/>
      </w:pPr>
      <w:r>
        <w:rPr>
          <w:b/>
          <w:color w:val="ED7D31"/>
          <w:sz w:val="24"/>
        </w:rPr>
        <w:t>B. Bank EBITDA Definition Excludes $5.4M of Management Add-Backs [MEDIUM]</w:t>
      </w:r>
    </w:p>
    <w:p>
      <w:pPr>
        <w:spacing w:before="40" w:after="80"/>
      </w:pPr>
      <w:r>
        <w:rPr>
          <w:b w:val="0"/>
          <w:i w:val="0"/>
          <w:sz w:val="20"/>
          <w:u w:val="none"/>
        </w:rPr>
        <w:t>The bank's Consolidated EBITDA definition caps non-recurring add-backs at $500K/year. Management's $5.4M in add-backs are largely excluded, yielding bank EBITDA of ~$18.4M and a leverage ratio of 2.10x (vs. management's 1.70x). While within the 3.50x covenant, this gap highlights the aggressive nature of management's adjustments and is the relevant benchmark for acquisition financing underwriting.</w:t>
      </w:r>
    </w:p>
    <w:p>
      <w:pPr>
        <w:spacing w:before="240" w:after="80"/>
      </w:pPr>
      <w:r>
        <w:rPr>
          <w:b/>
          <w:color w:val="1F3864"/>
          <w:sz w:val="28"/>
        </w:rPr>
        <w:t>VIII. LITIGATION RED FLAGS</w:t>
      </w:r>
    </w:p>
    <w:p>
      <w:pPr>
        <w:spacing w:before="240" w:after="80"/>
      </w:pPr>
      <w:r>
        <w:rPr>
          <w:b/>
          <w:color w:val="ED7D31"/>
          <w:sz w:val="24"/>
        </w:rPr>
        <w:t>A. Ramirez Personal Injury Claim — Insurance Coverage Uncertain [HIGH]</w:t>
      </w:r>
    </w:p>
    <w:p>
      <w:pPr>
        <w:spacing w:before="40" w:after="80"/>
      </w:pPr>
      <w:r>
        <w:rPr>
          <w:b w:val="0"/>
          <w:i w:val="0"/>
          <w:sz w:val="20"/>
          <w:u w:val="none"/>
        </w:rPr>
        <w:t>Miguel Ramirez (former field technician) filed suit in August 2024 alleging VOC and heavy metal exposure at a Sheridan, Wyoming remediation site, seeking $4.8M including punitive damages. The insurer (Frontier Specialty Insurance Group) issued a reservation of rights letter on September 19, 2024 — coverage determination remains pending. If coverage is denied, RES bears the full exposure. No accrual has been recorded as of September 30, 2024. Trial is scheduled for February 2026.</w:t>
      </w:r>
    </w:p>
    <w:p>
      <w:pPr>
        <w:spacing w:before="240" w:after="80"/>
      </w:pPr>
      <w:r>
        <w:rPr>
          <w:b/>
          <w:color w:val="ED7D31"/>
          <w:sz w:val="24"/>
        </w:rPr>
        <w:t>B. OSHA Recordkeeping Violations — Safety Culture Signal [MEDIUM]</w:t>
      </w:r>
    </w:p>
    <w:p>
      <w:pPr>
        <w:spacing w:before="40" w:after="80"/>
      </w:pPr>
      <w:r>
        <w:rPr>
          <w:b w:val="0"/>
          <w:i w:val="0"/>
          <w:sz w:val="20"/>
          <w:u w:val="none"/>
        </w:rPr>
        <w:t>OSHA Region VIII cited RES in March 2024 for failure to timely record three injuries on OSHA Form 300 logs at Grand Junction and Casper. While the $4,580 penalty is immaterial, the failure to record injuries raises questions about the accuracy of the Company's reported TRIR of 2.8 and the reliability of its safety metrics — particularly given that the Ramirez lawsuit also alleges OSHA violations at a Wyoming site.</w:t>
      </w:r>
    </w:p>
    <w:p>
      <w:pPr>
        <w:spacing w:before="240" w:after="80"/>
      </w:pPr>
      <w:r>
        <w:rPr>
          <w:b/>
          <w:color w:val="1F3864"/>
          <w:sz w:val="28"/>
        </w:rPr>
        <w:t>IX. CORPORATE AND STRUCTURAL RED FLAGS</w:t>
      </w:r>
    </w:p>
    <w:p>
      <w:pPr>
        <w:spacing w:before="240" w:after="80"/>
      </w:pPr>
      <w:r>
        <w:rPr>
          <w:b/>
          <w:color w:val="ED7D31"/>
          <w:sz w:val="24"/>
        </w:rPr>
        <w:t>A. FY2024 Financials Reviewed (Not Audited); Audited Statements Required [HIGH]</w:t>
      </w:r>
    </w:p>
    <w:p>
      <w:pPr>
        <w:spacing w:before="40" w:after="80"/>
      </w:pPr>
      <w:r>
        <w:rPr>
          <w:b w:val="0"/>
          <w:i w:val="0"/>
          <w:sz w:val="20"/>
          <w:u w:val="none"/>
        </w:rPr>
        <w:t>FY2024 (TTM 9/30/2024) financial statements are reviewed, not audited. The LOI requires delivery of audited financial statements for FY2022, FY2023, and FY2024 as a hard closing condition (LOI §8(i)). The CIM notes that financials are 'reviewed by Hansen &amp; Whitfield, CPAs' — a small Grand Junction firm. Audited statements by a nationally recognized firm are required for acquisition financing. The audit process may surface additional adjustments or restatements that affect the Adjusted EBITDA figure.</w:t>
      </w:r>
    </w:p>
    <w:p>
      <w:pPr>
        <w:spacing w:before="240" w:after="80"/>
      </w:pPr>
      <w:r>
        <w:rPr>
          <w:b/>
          <w:color w:val="ED7D31"/>
          <w:sz w:val="24"/>
        </w:rPr>
        <w:t>B. Pinnacle Waste Solutions LLC — Dormant Entity with Unresolved Issues [MEDIUM]</w:t>
      </w:r>
    </w:p>
    <w:p>
      <w:pPr>
        <w:spacing w:before="40" w:after="80"/>
      </w:pPr>
      <w:r>
        <w:rPr>
          <w:b w:val="0"/>
          <w:i w:val="0"/>
          <w:sz w:val="20"/>
          <w:u w:val="none"/>
        </w:rPr>
        <w:t>Pinnacle Waste Solutions, LLC has been operationally dormant since Q3 2022 but has not been dissolved. It remains the named permit holder for UTH-0441 (SLC transfer station) and the named tenant on the SLC lease. The entity is also a guarantor under the credit agreement. The proposed stock acquisition of RES will include Pinnacle as a subsidiary with these unresolved issues.</w:t>
      </w:r>
    </w:p>
    <w:p>
      <w:pPr>
        <w:spacing w:before="240" w:after="80"/>
      </w:pPr>
      <w:r>
        <w:rPr>
          <w:b/>
          <w:color w:val="1F3864"/>
          <w:sz w:val="28"/>
        </w:rPr>
        <w:t>X. SPA STRUCTURING AND RISK MITIGATION RECOMMENDATIONS</w:t>
      </w:r>
    </w:p>
    <w:p>
      <w:pPr>
        <w:spacing w:before="40" w:after="80"/>
      </w:pPr>
      <w:r>
        <w:rPr>
          <w:b w:val="0"/>
          <w:i w:val="0"/>
          <w:sz w:val="20"/>
          <w:u w:val="none"/>
        </w:rPr>
        <w:t>Based on the foregoing analysis, we recommend the following structuring measures in the definitive Stock Purchase Agreement:</w:t>
      </w:r>
    </w:p>
    <w:p>
      <w:pPr>
        <w:spacing w:before="80" w:after="40"/>
      </w:pPr>
      <w:r>
        <w:rPr>
          <w:b/>
          <w:i w:val="0"/>
          <w:sz w:val="20"/>
          <w:u w:val="none"/>
        </w:rPr>
        <w:t xml:space="preserve">• Price Adjustment: </w:t>
      </w:r>
      <w:r>
        <w:rPr>
          <w:b w:val="0"/>
          <w:i w:val="0"/>
          <w:sz w:val="20"/>
          <w:u w:val="none"/>
        </w:rPr>
        <w:t>Do not confirm the $182M–$205M EV range until the QoE process is complete. Adjust for: (i) EBITDA discrepancy resolution; (ii) fleet CapEx normalization (~$3.3M/year); (iii) DOE ceiling exhaustion risk ($12.1M FY2025 headwind); and (iv) environmental contingencies.</w:t>
      </w:r>
    </w:p>
    <w:p>
      <w:pPr>
        <w:spacing w:before="80" w:after="40"/>
      </w:pPr>
      <w:r>
        <w:rPr>
          <w:b/>
          <w:i w:val="0"/>
          <w:sz w:val="20"/>
          <w:u w:val="none"/>
        </w:rPr>
        <w:t xml:space="preserve">• Environmental Escrow: </w:t>
      </w:r>
      <w:r>
        <w:rPr>
          <w:b w:val="0"/>
          <w:i w:val="0"/>
          <w:sz w:val="20"/>
          <w:u w:val="none"/>
        </w:rPr>
        <w:t>Establish a separate environmental escrow of $5M–$8M (above the current $3.2M accrual) to cover: (i) updated Grand Junction remediation costs; (ii) vapor intrusion mitigation; (iii) CDPHE penalty; and (iv) asbestos tail claims. Environmental reps should survive for 6 years per the LOI.</w:t>
      </w:r>
    </w:p>
    <w:p>
      <w:pPr>
        <w:spacing w:before="80" w:after="40"/>
      </w:pPr>
      <w:r>
        <w:rPr>
          <w:b/>
          <w:i w:val="0"/>
          <w:sz w:val="20"/>
          <w:u w:val="none"/>
        </w:rPr>
        <w:t xml:space="preserve">• Specific Indemnification: </w:t>
      </w:r>
      <w:r>
        <w:rPr>
          <w:b w:val="0"/>
          <w:i w:val="0"/>
          <w:sz w:val="20"/>
          <w:u w:val="none"/>
        </w:rPr>
        <w:t>Negotiate specific indemnification (outside the general basket and cap) for: (i) Grand Junction environmental remediation costs exceeding the current accrual; (ii) CDPHE enforcement action; (iii) SLC lease and permit issues; (iv) DOE contract loss; (v) asbestos tail claims; and (vi) NLRB/labor matters.</w:t>
      </w:r>
    </w:p>
    <w:p>
      <w:pPr>
        <w:spacing w:before="80" w:after="40"/>
      </w:pPr>
      <w:r>
        <w:rPr>
          <w:b/>
          <w:i w:val="0"/>
          <w:sz w:val="20"/>
          <w:u w:val="none"/>
        </w:rPr>
        <w:t xml:space="preserve">• Closing Conditions: </w:t>
      </w:r>
      <w:r>
        <w:rPr>
          <w:b w:val="0"/>
          <w:i w:val="0"/>
          <w:sz w:val="20"/>
          <w:u w:val="none"/>
        </w:rPr>
        <w:t>Add the following as conditions precedent to closing: (i) delivery of audited FY2022–FY2024 financial statements; (ii) resolution or adequate escrow for CDPHE enforcement action; (iii) landlord consent for SLC lease; (iv) Utah DEQ permit transfer (UTH-0441) or comfort letter; (v) DOE CO notification and acknowledgment; (vi) Wyoming permit renewal confirmation; and (vii) Pueblo lease renewal.</w:t>
      </w:r>
    </w:p>
    <w:p>
      <w:pPr>
        <w:spacing w:before="80" w:after="40"/>
      </w:pPr>
      <w:r>
        <w:rPr>
          <w:b/>
          <w:i w:val="0"/>
          <w:sz w:val="20"/>
          <w:u w:val="none"/>
        </w:rPr>
        <w:t xml:space="preserve">• CoC Severance Treatment: </w:t>
      </w:r>
      <w:r>
        <w:rPr>
          <w:b w:val="0"/>
          <w:i w:val="0"/>
          <w:sz w:val="20"/>
          <w:u w:val="none"/>
        </w:rPr>
        <w:t>Classify the $2.625M single-trigger CEO/COO severance as a Transaction Expense deducted from the purchase price. Negotiate post-closing retention agreements with meaningful incentives to ensure founder continuity through the transition period.</w:t>
      </w:r>
    </w:p>
    <w:p>
      <w:pPr>
        <w:spacing w:before="80" w:after="40"/>
      </w:pPr>
      <w:r>
        <w:rPr>
          <w:b/>
          <w:i w:val="0"/>
          <w:sz w:val="20"/>
          <w:u w:val="none"/>
        </w:rPr>
        <w:t xml:space="preserve">• Revenue Ratchet / Earnout: </w:t>
      </w:r>
      <w:r>
        <w:rPr>
          <w:b w:val="0"/>
          <w:i w:val="0"/>
          <w:sz w:val="20"/>
          <w:u w:val="none"/>
        </w:rPr>
        <w:t>Consider a revenue-based earnout tied to: (i) DOE contract ceiling modification or new contract award; (ii) Intermountain Health Systems renewal; and (iii) overall revenue performance in FY2025–FY2026.</w:t>
      </w:r>
    </w:p>
    <w:p>
      <w:pPr>
        <w:spacing w:before="80" w:after="40"/>
      </w:pPr>
      <w:r>
        <w:rPr>
          <w:b/>
          <w:i w:val="0"/>
          <w:sz w:val="20"/>
          <w:u w:val="none"/>
        </w:rPr>
        <w:t xml:space="preserve">• Representations and Warranties Insurance: </w:t>
      </w:r>
      <w:r>
        <w:rPr>
          <w:b w:val="0"/>
          <w:i w:val="0"/>
          <w:sz w:val="20"/>
          <w:u w:val="none"/>
        </w:rPr>
        <w:t>Given the breadth and severity of identified issues, evaluate whether R&amp;W insurance is available and appropriately priced. Note that environmental matters, known litigation, and NLRB matters will likely be excluded from R&amp;W coverage and require specific indemnification.</w:t>
      </w:r>
    </w:p>
    <w:p>
      <w:pPr>
        <w:spacing w:before="80" w:after="40"/>
      </w:pPr>
      <w:r>
        <w:rPr>
          <w:b/>
          <w:i w:val="0"/>
          <w:sz w:val="20"/>
          <w:u w:val="none"/>
        </w:rPr>
        <w:t xml:space="preserve">• Retention Agreements: </w:t>
      </w:r>
      <w:r>
        <w:rPr>
          <w:b w:val="0"/>
          <w:i w:val="0"/>
          <w:sz w:val="20"/>
          <w:u w:val="none"/>
        </w:rPr>
        <w:t>Require Derek and Jason Calloway to execute post-closing retention agreements with meaningful equity or cash incentives tied to a 2–3 year retention period, as a condition to closing. Ensure non-compete provisions are reviewed for enforceability in all five operating states.</w:t>
      </w:r>
    </w:p>
    <w:p>
      <w:pPr>
        <w:spacing w:before="240" w:after="80"/>
      </w:pPr>
      <w:r>
        <w:rPr>
          <w:b/>
          <w:color w:val="1F3864"/>
          <w:sz w:val="28"/>
        </w:rPr>
        <w:t>XI. DISCLAIMER AND LIMITATIONS</w:t>
      </w:r>
    </w:p>
    <w:p>
      <w:pPr>
        <w:spacing w:before="40" w:after="80"/>
      </w:pPr>
      <w:r>
        <w:rPr>
          <w:b w:val="0"/>
          <w:i/>
          <w:sz w:val="18"/>
          <w:u w:val="none"/>
        </w:rPr>
        <w:t>This memorandum has been prepared solely for the internal use of Sycamore Capital Partners, LP and its advisors in connection with the evaluation of a potential acquisition of Ridgeline Environmental Services, Inc. It is based exclusively on the documents made available in the Project Ridgeline virtual data room as of December 2024 and does not constitute a complete due diligence review. This memorandum does not constitute legal, tax, environmental, or financial advice. The findings and recommendations herein are preliminary and subject to revision based on additional information, management interviews, site visits, and the results of the ongoing quality of earnings analysis. Recipients should not rely on this memorandum as a substitute for independent legal, financial, environmental, and technical due diligence. All dollar amounts are in USD. This memorandum is protected by the attorney-client privilege and work product doctrine and should not be disclosed to any third party without the prior written consent of Thornfield &amp; Associates LLP.</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