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X76c0783ff2418acefecaf246d4dddd68ffcf2dc"/>
    <w:p>
      <w:pPr>
        <w:pStyle w:val="Heading1"/>
      </w:pPr>
      <w:r>
        <w:t xml:space="preserve">PRIVILEGED AND CONFIDENTIAL — ATTORNEY-CLIENT COMMUNICATION</w:t>
      </w:r>
    </w:p>
    <w:bookmarkEnd w:id="20"/>
    <w:bookmarkStart w:id="21" w:name="work-product-doctrine-do-not-distribute"/>
    <w:p>
      <w:pPr>
        <w:pStyle w:val="Heading1"/>
      </w:pPr>
      <w:r>
        <w:t xml:space="preserve">WORK PRODUCT DOCTRINE — DO NOT DISTRIBUTE</w:t>
      </w:r>
    </w:p>
    <w:p>
      <w:r>
        <w:pict>
          <v:rect style="width:0;height:1.5pt" o:hralign="center" o:hrstd="t" o:hr="t"/>
        </w:pict>
      </w:r>
    </w:p>
    <w:bookmarkEnd w:id="21"/>
    <w:bookmarkStart w:id="54" w:name="diligence-red-flag-memorandum"/>
    <w:p>
      <w:pPr>
        <w:pStyle w:val="Heading1"/>
      </w:pPr>
      <w:r>
        <w:t xml:space="preserve">DILIGENCE RED FLAG MEMORANDUM</w:t>
      </w:r>
    </w:p>
    <w:p>
      <w:pPr>
        <w:pStyle w:val="FirstParagraph"/>
      </w:pPr>
      <w:r>
        <w:rPr>
          <w:b/>
          <w:bCs/>
        </w:rPr>
        <w:t xml:space="preserve">Project Ridgeline — Acquisition of Ridgeline Environmental Services, Inc.</w:t>
      </w:r>
    </w:p>
    <w:tbl>
      <w:tblPr>
        <w:tblStyle w:val="Table"/>
        <w:tblW w:type="pct" w:w="5000"/>
        <w:jc w:val="left"/>
        <w:tblLayout w:type="fixed"/>
        <w:tblLook w:firstRow="0" w:lastRow="0" w:firstColumn="0" w:lastColumn="0" w:noHBand="0" w:noVBand="0" w:val="0000"/>
      </w:tblPr>
      <w:tblGrid>
        <w:gridCol w:w="3960"/>
        <w:gridCol w:w="3960"/>
      </w:tblGrid>
      <w:tr>
        <w:tc>
          <w:tcPr/>
          <w:p>
            <w:pPr>
              <w:pStyle w:val="Compact"/>
              <w:jc w:val="left"/>
            </w:pPr>
            <w:r>
              <w:rPr>
                <w:b/>
                <w:bCs/>
              </w:rPr>
              <w:t xml:space="preserve">To:</w:t>
            </w:r>
          </w:p>
        </w:tc>
        <w:tc>
          <w:tcPr/>
          <w:p>
            <w:pPr>
              <w:pStyle w:val="Compact"/>
              <w:jc w:val="left"/>
            </w:pPr>
            <w:r>
              <w:t xml:space="preserve">Elaine Whitford, Managing Partner, Sycamore Capital Partners, LP</w:t>
            </w:r>
          </w:p>
        </w:tc>
      </w:tr>
      <w:tr>
        <w:tc>
          <w:tcPr/>
          <w:p>
            <w:pPr>
              <w:pStyle w:val="Compact"/>
              <w:jc w:val="left"/>
            </w:pPr>
            <w:r>
              <w:rPr>
                <w:b/>
                <w:bCs/>
              </w:rPr>
              <w:t xml:space="preserve">From:</w:t>
            </w:r>
          </w:p>
        </w:tc>
        <w:tc>
          <w:tcPr/>
          <w:p>
            <w:pPr>
              <w:pStyle w:val="Compact"/>
              <w:jc w:val="left"/>
            </w:pPr>
            <w:r>
              <w:t xml:space="preserve">Sycamore Capital Partners, LP — Diligence Review Team</w:t>
            </w:r>
          </w:p>
        </w:tc>
      </w:tr>
      <w:tr>
        <w:tc>
          <w:tcPr/>
          <w:p>
            <w:pPr>
              <w:pStyle w:val="Compact"/>
              <w:jc w:val="left"/>
            </w:pPr>
            <w:r>
              <w:rPr>
                <w:b/>
                <w:bCs/>
              </w:rPr>
              <w:t xml:space="preserve">Date:</w:t>
            </w:r>
          </w:p>
        </w:tc>
        <w:tc>
          <w:tcPr/>
          <w:p>
            <w:pPr>
              <w:pStyle w:val="Compact"/>
              <w:jc w:val="left"/>
            </w:pPr>
            <w:r>
              <w:t xml:space="preserve">December 2024</w:t>
            </w:r>
          </w:p>
        </w:tc>
      </w:tr>
      <w:tr>
        <w:tc>
          <w:tcPr/>
          <w:p>
            <w:pPr>
              <w:pStyle w:val="Compact"/>
              <w:jc w:val="left"/>
            </w:pPr>
            <w:r>
              <w:rPr>
                <w:b/>
                <w:bCs/>
              </w:rPr>
              <w:t xml:space="preserve">Re:</w:t>
            </w:r>
          </w:p>
        </w:tc>
        <w:tc>
          <w:tcPr/>
          <w:p>
            <w:pPr>
              <w:pStyle w:val="Compact"/>
              <w:jc w:val="left"/>
            </w:pPr>
            <w:r>
              <w:t xml:space="preserve">Project Ridgeline — Red Flag Analysis</w:t>
            </w:r>
          </w:p>
        </w:tc>
      </w:tr>
      <w:tr>
        <w:tc>
          <w:tcPr/>
          <w:p>
            <w:pPr>
              <w:pStyle w:val="Compact"/>
              <w:jc w:val="left"/>
            </w:pPr>
            <w:r>
              <w:rPr>
                <w:b/>
                <w:bCs/>
              </w:rPr>
              <w:t xml:space="preserve">Document Status:</w:t>
            </w:r>
          </w:p>
        </w:tc>
        <w:tc>
          <w:tcPr/>
          <w:p>
            <w:pPr>
              <w:pStyle w:val="Compact"/>
              <w:jc w:val="left"/>
            </w:pPr>
            <w:r>
              <w:t xml:space="preserve">Draft — For Discussion Purposes Only</w:t>
            </w:r>
          </w:p>
        </w:tc>
      </w:tr>
    </w:tbl>
    <w:p>
      <w:r>
        <w:pict>
          <v:rect style="width:0;height:1.5pt" o:hralign="center" o:hrstd="t" o:hr="t"/>
        </w:pict>
      </w:r>
    </w:p>
    <w:bookmarkStart w:id="22" w:name="X16e257b2d9c78bbacbf7999db3cf19e3c756b76"/>
    <w:p>
      <w:pPr>
        <w:pStyle w:val="Heading2"/>
      </w:pPr>
      <w:r>
        <w:t xml:space="preserve">I. SCOPE OF REVIEW AND DOCUMENTS REVIEWED</w:t>
      </w:r>
    </w:p>
    <w:p>
      <w:pPr>
        <w:pStyle w:val="FirstParagraph"/>
      </w:pPr>
      <w:r>
        <w:t xml:space="preserve">This memorandum summarizes material red flags and diligence concerns identified in connection with the proposed acquisition of Ridgeline Environmental Services, Inc. (</w:t>
      </w:r>
      <w:r>
        <w:t xml:space="preserve">“</w:t>
      </w:r>
      <w:r>
        <w:t xml:space="preserve">RES</w:t>
      </w:r>
      <w:r>
        <w:t xml:space="preserve">”</w:t>
      </w:r>
      <w:r>
        <w:t xml:space="preserve"> </w:t>
      </w:r>
      <w:r>
        <w:t xml:space="preserve">or the</w:t>
      </w:r>
      <w:r>
        <w:t xml:space="preserve"> </w:t>
      </w:r>
      <w:r>
        <w:t xml:space="preserve">“</w:t>
      </w:r>
      <w:r>
        <w:t xml:space="preserve">Company</w:t>
      </w:r>
      <w:r>
        <w:t xml:space="preserve">”</w:t>
      </w:r>
      <w:r>
        <w:t xml:space="preserve">) by Sycamore Capital Partners, LP (</w:t>
      </w:r>
      <w:r>
        <w:t xml:space="preserve">“</w:t>
      </w:r>
      <w:r>
        <w:t xml:space="preserve">Buyer</w:t>
      </w:r>
      <w:r>
        <w:t xml:space="preserve">”</w:t>
      </w:r>
      <w:r>
        <w:t xml:space="preserve">). The proposed transaction is structured as a 100% stock acquisition at an indicative enterprise value of $182–$205 million (8.0x–9.0x FY2024 Adjusted EBITDA of $22.8M per the CIM).</w:t>
      </w:r>
    </w:p>
    <w:p>
      <w:pPr>
        <w:pStyle w:val="BodyText"/>
      </w:pPr>
      <w:r>
        <w:rPr>
          <w:b/>
          <w:bCs/>
        </w:rPr>
        <w:t xml:space="preserve">The following thirteen (13) data room documents were reviewed in their entirety:</w:t>
      </w:r>
    </w:p>
    <w:tbl>
      <w:tblPr>
        <w:tblStyle w:val="Table"/>
        <w:tblW w:type="pct" w:w="5000"/>
        <w:jc w:val="left"/>
        <w:tblLayout w:type="fixed"/>
        <w:tblLook w:firstRow="1" w:lastRow="0" w:firstColumn="0" w:lastColumn="0" w:noHBand="0" w:noVBand="0" w:val="0020"/>
      </w:tblPr>
      <w:tblGrid>
        <w:gridCol w:w="1131"/>
        <w:gridCol w:w="3771"/>
        <w:gridCol w:w="3017"/>
      </w:tblGrid>
      <w:tr>
        <w:trPr>
          <w:tblHeader w:val="on"/>
        </w:trPr>
        <w:tc>
          <w:tcPr/>
          <w:p>
            <w:pPr>
              <w:pStyle w:val="Compact"/>
              <w:jc w:val="left"/>
            </w:pPr>
            <w:r>
              <w:t xml:space="preserve">#</w:t>
            </w:r>
          </w:p>
        </w:tc>
        <w:tc>
          <w:tcPr/>
          <w:p>
            <w:pPr>
              <w:pStyle w:val="Compact"/>
              <w:jc w:val="left"/>
            </w:pPr>
            <w:r>
              <w:t xml:space="preserve">Document</w:t>
            </w:r>
          </w:p>
        </w:tc>
        <w:tc>
          <w:tcPr/>
          <w:p>
            <w:pPr>
              <w:pStyle w:val="Compact"/>
              <w:jc w:val="left"/>
            </w:pPr>
            <w:r>
              <w:t xml:space="preserve">Source</w:t>
            </w:r>
          </w:p>
        </w:tc>
      </w:tr>
      <w:tr>
        <w:tc>
          <w:tcPr/>
          <w:p>
            <w:pPr>
              <w:pStyle w:val="Compact"/>
              <w:jc w:val="left"/>
            </w:pPr>
            <w:r>
              <w:t xml:space="preserve">1</w:t>
            </w:r>
          </w:p>
        </w:tc>
        <w:tc>
          <w:tcPr/>
          <w:p>
            <w:pPr>
              <w:pStyle w:val="Compact"/>
              <w:jc w:val="left"/>
            </w:pPr>
            <w:r>
              <w:t xml:space="preserve">Confidential Information Memorandum (CIM)</w:t>
            </w:r>
          </w:p>
        </w:tc>
        <w:tc>
          <w:tcPr/>
          <w:p>
            <w:pPr>
              <w:pStyle w:val="Compact"/>
              <w:jc w:val="left"/>
            </w:pPr>
            <w:r>
              <w:t xml:space="preserve">Management / Greylock Merritt LLP</w:t>
            </w:r>
          </w:p>
        </w:tc>
      </w:tr>
      <w:tr>
        <w:tc>
          <w:tcPr/>
          <w:p>
            <w:pPr>
              <w:pStyle w:val="Compact"/>
              <w:jc w:val="left"/>
            </w:pPr>
            <w:r>
              <w:t xml:space="preserve">2</w:t>
            </w:r>
          </w:p>
        </w:tc>
        <w:tc>
          <w:tcPr/>
          <w:p>
            <w:pPr>
              <w:pStyle w:val="Compact"/>
              <w:jc w:val="left"/>
            </w:pPr>
            <w:r>
              <w:t xml:space="preserve">Executed Letter of Intent (LOI), dated October 28, 2024</w:t>
            </w:r>
          </w:p>
        </w:tc>
        <w:tc>
          <w:tcPr/>
          <w:p>
            <w:pPr>
              <w:pStyle w:val="Compact"/>
              <w:jc w:val="left"/>
            </w:pPr>
            <w:r>
              <w:t xml:space="preserve">Sycamore Capital Partners, LP / RES</w:t>
            </w:r>
          </w:p>
        </w:tc>
      </w:tr>
      <w:tr>
        <w:tc>
          <w:tcPr/>
          <w:p>
            <w:pPr>
              <w:pStyle w:val="Compact"/>
              <w:jc w:val="left"/>
            </w:pPr>
            <w:r>
              <w:t xml:space="preserve">3</w:t>
            </w:r>
          </w:p>
        </w:tc>
        <w:tc>
          <w:tcPr/>
          <w:p>
            <w:pPr>
              <w:pStyle w:val="Compact"/>
              <w:jc w:val="left"/>
            </w:pPr>
            <w:r>
              <w:t xml:space="preserve">Credit Agreement Summary</w:t>
            </w:r>
          </w:p>
        </w:tc>
        <w:tc>
          <w:tcPr/>
          <w:p>
            <w:pPr>
              <w:pStyle w:val="Compact"/>
              <w:jc w:val="left"/>
            </w:pPr>
            <w:r>
              <w:t xml:space="preserve">Patricia Engel, CFO</w:t>
            </w:r>
          </w:p>
        </w:tc>
      </w:tr>
      <w:tr>
        <w:tc>
          <w:tcPr/>
          <w:p>
            <w:pPr>
              <w:pStyle w:val="Compact"/>
              <w:jc w:val="left"/>
            </w:pPr>
            <w:r>
              <w:t xml:space="preserve">4</w:t>
            </w:r>
          </w:p>
        </w:tc>
        <w:tc>
          <w:tcPr/>
          <w:p>
            <w:pPr>
              <w:pStyle w:val="Compact"/>
              <w:jc w:val="left"/>
            </w:pPr>
            <w:r>
              <w:t xml:space="preserve">Quality of Earnings Data Request Response</w:t>
            </w:r>
          </w:p>
        </w:tc>
        <w:tc>
          <w:tcPr/>
          <w:p>
            <w:pPr>
              <w:pStyle w:val="Compact"/>
              <w:jc w:val="left"/>
            </w:pPr>
            <w:r>
              <w:t xml:space="preserve">Patricia Engel, CFO / Bridgewater Forsyth Group</w:t>
            </w:r>
          </w:p>
        </w:tc>
      </w:tr>
      <w:tr>
        <w:tc>
          <w:tcPr/>
          <w:p>
            <w:pPr>
              <w:pStyle w:val="Compact"/>
              <w:jc w:val="left"/>
            </w:pPr>
            <w:r>
              <w:t xml:space="preserve">5</w:t>
            </w:r>
          </w:p>
        </w:tc>
        <w:tc>
          <w:tcPr/>
          <w:p>
            <w:pPr>
              <w:pStyle w:val="Compact"/>
              <w:jc w:val="left"/>
            </w:pPr>
            <w:r>
              <w:t xml:space="preserve">Customer Contract Summary</w:t>
            </w:r>
          </w:p>
        </w:tc>
        <w:tc>
          <w:tcPr/>
          <w:p>
            <w:pPr>
              <w:pStyle w:val="Compact"/>
              <w:jc w:val="left"/>
            </w:pPr>
            <w:r>
              <w:t xml:space="preserve">Management</w:t>
            </w:r>
          </w:p>
        </w:tc>
      </w:tr>
      <w:tr>
        <w:tc>
          <w:tcPr/>
          <w:p>
            <w:pPr>
              <w:pStyle w:val="Compact"/>
              <w:jc w:val="left"/>
            </w:pPr>
            <w:r>
              <w:t xml:space="preserve">6</w:t>
            </w:r>
          </w:p>
        </w:tc>
        <w:tc>
          <w:tcPr/>
          <w:p>
            <w:pPr>
              <w:pStyle w:val="Compact"/>
              <w:jc w:val="left"/>
            </w:pPr>
            <w:r>
              <w:t xml:space="preserve">Litigation and Regulatory Summary</w:t>
            </w:r>
          </w:p>
        </w:tc>
        <w:tc>
          <w:tcPr/>
          <w:p>
            <w:pPr>
              <w:pStyle w:val="Compact"/>
              <w:jc w:val="left"/>
            </w:pPr>
            <w:r>
              <w:t xml:space="preserve">Greylock Merritt LLP</w:t>
            </w:r>
          </w:p>
        </w:tc>
      </w:tr>
      <w:tr>
        <w:tc>
          <w:tcPr/>
          <w:p>
            <w:pPr>
              <w:pStyle w:val="Compact"/>
              <w:jc w:val="left"/>
            </w:pPr>
            <w:r>
              <w:t xml:space="preserve">7</w:t>
            </w:r>
          </w:p>
        </w:tc>
        <w:tc>
          <w:tcPr/>
          <w:p>
            <w:pPr>
              <w:pStyle w:val="Compact"/>
              <w:jc w:val="left"/>
            </w:pPr>
            <w:r>
              <w:t xml:space="preserve">Phase II Environmental Site Assessment — Executive Summary (June 2019)</w:t>
            </w:r>
          </w:p>
        </w:tc>
        <w:tc>
          <w:tcPr/>
          <w:p>
            <w:pPr>
              <w:pStyle w:val="Compact"/>
              <w:jc w:val="left"/>
            </w:pPr>
            <w:r>
              <w:t xml:space="preserve">Elkhorn Environmental Consultants, Inc.</w:t>
            </w:r>
          </w:p>
        </w:tc>
      </w:tr>
      <w:tr>
        <w:tc>
          <w:tcPr/>
          <w:p>
            <w:pPr>
              <w:pStyle w:val="Compact"/>
              <w:jc w:val="left"/>
            </w:pPr>
            <w:r>
              <w:t xml:space="preserve">8</w:t>
            </w:r>
          </w:p>
        </w:tc>
        <w:tc>
          <w:tcPr/>
          <w:p>
            <w:pPr>
              <w:pStyle w:val="Compact"/>
              <w:jc w:val="left"/>
            </w:pPr>
            <w:r>
              <w:t xml:space="preserve">Environmental Permit Schedule</w:t>
            </w:r>
          </w:p>
        </w:tc>
        <w:tc>
          <w:tcPr/>
          <w:p>
            <w:pPr>
              <w:pStyle w:val="Compact"/>
              <w:jc w:val="left"/>
            </w:pPr>
            <w:r>
              <w:t xml:space="preserve">Patricia Engel, CFO / Kurt Dillon, VP Operations</w:t>
            </w:r>
          </w:p>
        </w:tc>
      </w:tr>
      <w:tr>
        <w:tc>
          <w:tcPr/>
          <w:p>
            <w:pPr>
              <w:pStyle w:val="Compact"/>
              <w:jc w:val="left"/>
            </w:pPr>
            <w:r>
              <w:t xml:space="preserve">9</w:t>
            </w:r>
          </w:p>
        </w:tc>
        <w:tc>
          <w:tcPr/>
          <w:p>
            <w:pPr>
              <w:pStyle w:val="Compact"/>
              <w:jc w:val="left"/>
            </w:pPr>
            <w:r>
              <w:t xml:space="preserve">Real Property and Lease Schedule</w:t>
            </w:r>
          </w:p>
        </w:tc>
        <w:tc>
          <w:tcPr/>
          <w:p>
            <w:pPr>
              <w:pStyle w:val="Compact"/>
              <w:jc w:val="left"/>
            </w:pPr>
            <w:r>
              <w:t xml:space="preserve">Patricia Engel, CFO</w:t>
            </w:r>
          </w:p>
        </w:tc>
      </w:tr>
      <w:tr>
        <w:tc>
          <w:tcPr/>
          <w:p>
            <w:pPr>
              <w:pStyle w:val="Compact"/>
              <w:jc w:val="left"/>
            </w:pPr>
            <w:r>
              <w:t xml:space="preserve">10</w:t>
            </w:r>
          </w:p>
        </w:tc>
        <w:tc>
          <w:tcPr/>
          <w:p>
            <w:pPr>
              <w:pStyle w:val="Compact"/>
              <w:jc w:val="left"/>
            </w:pPr>
            <w:r>
              <w:t xml:space="preserve">Employment Agreements Summary</w:t>
            </w:r>
          </w:p>
        </w:tc>
        <w:tc>
          <w:tcPr/>
          <w:p>
            <w:pPr>
              <w:pStyle w:val="Compact"/>
              <w:jc w:val="left"/>
            </w:pPr>
            <w:r>
              <w:t xml:space="preserve">Management</w:t>
            </w:r>
          </w:p>
        </w:tc>
      </w:tr>
      <w:tr>
        <w:tc>
          <w:tcPr/>
          <w:p>
            <w:pPr>
              <w:pStyle w:val="Compact"/>
              <w:jc w:val="left"/>
            </w:pPr>
            <w:r>
              <w:t xml:space="preserve">11</w:t>
            </w:r>
          </w:p>
        </w:tc>
        <w:tc>
          <w:tcPr/>
          <w:p>
            <w:pPr>
              <w:pStyle w:val="Compact"/>
              <w:jc w:val="left"/>
            </w:pPr>
            <w:r>
              <w:t xml:space="preserve">Employee Benefits Summary</w:t>
            </w:r>
          </w:p>
        </w:tc>
        <w:tc>
          <w:tcPr/>
          <w:p>
            <w:pPr>
              <w:pStyle w:val="Compact"/>
              <w:jc w:val="left"/>
            </w:pPr>
            <w:r>
              <w:t xml:space="preserve">Patricia Engel, CFO</w:t>
            </w:r>
          </w:p>
        </w:tc>
      </w:tr>
      <w:tr>
        <w:tc>
          <w:tcPr/>
          <w:p>
            <w:pPr>
              <w:pStyle w:val="Compact"/>
              <w:jc w:val="left"/>
            </w:pPr>
            <w:r>
              <w:t xml:space="preserve">12</w:t>
            </w:r>
          </w:p>
        </w:tc>
        <w:tc>
          <w:tcPr/>
          <w:p>
            <w:pPr>
              <w:pStyle w:val="Compact"/>
              <w:jc w:val="left"/>
            </w:pPr>
            <w:r>
              <w:t xml:space="preserve">Insurance Program Summary</w:t>
            </w:r>
          </w:p>
        </w:tc>
        <w:tc>
          <w:tcPr/>
          <w:p>
            <w:pPr>
              <w:pStyle w:val="Compact"/>
              <w:jc w:val="left"/>
            </w:pPr>
            <w:r>
              <w:t xml:space="preserve">Frontier Specialty Insurance Group</w:t>
            </w:r>
          </w:p>
        </w:tc>
      </w:tr>
      <w:tr>
        <w:tc>
          <w:tcPr/>
          <w:p>
            <w:pPr>
              <w:pStyle w:val="Compact"/>
              <w:jc w:val="left"/>
            </w:pPr>
            <w:r>
              <w:t xml:space="preserve">13</w:t>
            </w:r>
          </w:p>
        </w:tc>
        <w:tc>
          <w:tcPr/>
          <w:p>
            <w:pPr>
              <w:pStyle w:val="Compact"/>
              <w:jc w:val="left"/>
            </w:pPr>
            <w:r>
              <w:t xml:space="preserve">Corporate Organizational Chart and Equity Structure</w:t>
            </w:r>
          </w:p>
        </w:tc>
        <w:tc>
          <w:tcPr/>
          <w:p>
            <w:pPr>
              <w:pStyle w:val="Compact"/>
              <w:jc w:val="left"/>
            </w:pPr>
            <w:r>
              <w:t xml:space="preserve">Patricia Engel, CFO</w:t>
            </w:r>
          </w:p>
        </w:tc>
      </w:tr>
    </w:tbl>
    <w:p>
      <w:pPr>
        <w:pStyle w:val="BodyText"/>
      </w:pPr>
      <w:r>
        <w:rPr>
          <w:b/>
          <w:bCs/>
        </w:rPr>
        <w:t xml:space="preserve">Items Reviewed and Cleared (No Material Red Flags Identified):</w:t>
      </w:r>
    </w:p>
    <w:p>
      <w:pPr>
        <w:pStyle w:val="BodyText"/>
      </w:pPr>
      <w:r>
        <w:t xml:space="preserve">The following areas were reviewed and did not produce material standalone red flags, though they are referenced in context throughout this memorandum:</w:t>
      </w:r>
    </w:p>
    <w:p>
      <w:pPr>
        <w:pStyle w:val="Compact"/>
        <w:numPr>
          <w:ilvl w:val="0"/>
          <w:numId w:val="1001"/>
        </w:numPr>
      </w:pPr>
      <w:r>
        <w:rPr>
          <w:i/>
          <w:iCs/>
        </w:rPr>
        <w:t xml:space="preserve">Corporate structure and capitalization</w:t>
      </w:r>
      <w:r>
        <w:t xml:space="preserve">: Clean two-entity structure (RES + Pinnacle subsidiary); 1,000,000 shares outstanding; no options, warrants, or convertible instruments; good standing confirmed in all five operating states.</w:t>
      </w:r>
    </w:p>
    <w:p>
      <w:pPr>
        <w:pStyle w:val="Compact"/>
        <w:numPr>
          <w:ilvl w:val="0"/>
          <w:numId w:val="1001"/>
        </w:numPr>
      </w:pPr>
      <w:r>
        <w:rPr>
          <w:i/>
          <w:iCs/>
        </w:rPr>
        <w:t xml:space="preserve">Insurance program (general)</w:t>
      </w:r>
      <w:r>
        <w:t xml:space="preserve">: Coverage types and limits are appropriate for the business (CGL $5M/$10M; Auto $2M; PLL $10M/$15M; Umbrella $25M; WC statutory). EMR of 0.91 is favorable. Claims history over five years is modest ($444.8K total incurred). Specific insurance gaps are addressed under RF-12 and RF-18.</w:t>
      </w:r>
    </w:p>
    <w:p>
      <w:pPr>
        <w:pStyle w:val="Compact"/>
        <w:numPr>
          <w:ilvl w:val="0"/>
          <w:numId w:val="1001"/>
        </w:numPr>
      </w:pPr>
      <w:r>
        <w:rPr>
          <w:i/>
          <w:iCs/>
        </w:rPr>
        <w:t xml:space="preserve">Montana permit (MT-HW-2022-011)</w:t>
      </w:r>
      <w:r>
        <w:t xml:space="preserve">: Current through March 2027; no compliance issues; no action required.</w:t>
      </w:r>
    </w:p>
    <w:p>
      <w:pPr>
        <w:pStyle w:val="Compact"/>
        <w:numPr>
          <w:ilvl w:val="0"/>
          <w:numId w:val="1001"/>
        </w:numPr>
      </w:pPr>
      <w:r>
        <w:rPr>
          <w:i/>
          <w:iCs/>
        </w:rPr>
        <w:t xml:space="preserve">Ogden lease and permit</w:t>
      </w:r>
      <w:r>
        <w:t xml:space="preserve">: Assignment and permit transfer both completed in June 2022; no outstanding issues.</w:t>
      </w:r>
    </w:p>
    <w:p>
      <w:pPr>
        <w:pStyle w:val="Compact"/>
        <w:numPr>
          <w:ilvl w:val="0"/>
          <w:numId w:val="1001"/>
        </w:numPr>
      </w:pPr>
      <w:r>
        <w:rPr>
          <w:i/>
          <w:iCs/>
        </w:rPr>
        <w:t xml:space="preserve">Harper Environmental subcontractor dispute</w:t>
      </w:r>
      <w:r>
        <w:t xml:space="preserve">: RES is the plaintiff; management assesses recovery of $800K–$1.4M as probable; counterclaim exposure of $340K assessed as remote; no accrual required.</w:t>
      </w:r>
    </w:p>
    <w:p>
      <w:pPr>
        <w:pStyle w:val="Compact"/>
        <w:numPr>
          <w:ilvl w:val="0"/>
          <w:numId w:val="1001"/>
        </w:numPr>
      </w:pPr>
      <w:r>
        <w:rPr>
          <w:i/>
          <w:iCs/>
        </w:rPr>
        <w:t xml:space="preserve">Idaho operations</w:t>
      </w:r>
      <w:r>
        <w:t xml:space="preserve">: Confirmed by Idaho DEQ (August 2022 letter) that no standalone state permit is required; matter closed.</w:t>
      </w:r>
    </w:p>
    <w:p>
      <w:pPr>
        <w:pStyle w:val="Compact"/>
        <w:numPr>
          <w:ilvl w:val="0"/>
          <w:numId w:val="1001"/>
        </w:numPr>
      </w:pPr>
      <w:r>
        <w:rPr>
          <w:i/>
          <w:iCs/>
        </w:rPr>
        <w:t xml:space="preserve">OSHA recordkeeping citations</w:t>
      </w:r>
      <w:r>
        <w:t xml:space="preserve">: $4,580 in penalties paid June 2024; matter closed; no ongoing exposure.</w:t>
      </w:r>
    </w:p>
    <w:p>
      <w:r>
        <w:pict>
          <v:rect style="width:0;height:1.5pt" o:hralign="center" o:hrstd="t" o:hr="t"/>
        </w:pict>
      </w:r>
    </w:p>
    <w:bookmarkEnd w:id="22"/>
    <w:bookmarkStart w:id="23" w:name="ii.-executive-summary"/>
    <w:p>
      <w:pPr>
        <w:pStyle w:val="Heading2"/>
      </w:pPr>
      <w:r>
        <w:t xml:space="preserve">II. EXECUTIVE SUMMARY</w:t>
      </w:r>
    </w:p>
    <w:p>
      <w:pPr>
        <w:pStyle w:val="FirstParagraph"/>
      </w:pPr>
      <w:r>
        <w:t xml:space="preserve">Our review has identified</w:t>
      </w:r>
      <w:r>
        <w:t xml:space="preserve"> </w:t>
      </w:r>
      <w:r>
        <w:rPr>
          <w:b/>
          <w:bCs/>
        </w:rPr>
        <w:t xml:space="preserve">twenty-two (22) discrete red flags</w:t>
      </w:r>
      <w:r>
        <w:t xml:space="preserve"> </w:t>
      </w:r>
      <w:r>
        <w:t xml:space="preserve">spanning six categories: (1) Financial / Quality of Earnings, (2) Environmental &amp; Regulatory, (3) Commercial / Customer Concentration, (4) Legal &amp; Litigation, (5) Operational &amp; Capital, and (6) Transaction Structuring. Several of these issues are individually material and, in combination, could warrant a meaningful reduction to the proposed purchase price, the imposition of specific indemnification escrows, or — in the most severe scenarios — reconsideration of the transaction structure.</w:t>
      </w:r>
    </w:p>
    <w:p>
      <w:pPr>
        <w:pStyle w:val="BodyText"/>
      </w:pPr>
      <w:r>
        <w:rPr>
          <w:b/>
          <w:bCs/>
        </w:rPr>
        <w:t xml:space="preserve">The three most critical issues requiring immediate attention are:</w:t>
      </w:r>
    </w:p>
    <w:p>
      <w:pPr>
        <w:numPr>
          <w:ilvl w:val="0"/>
          <w:numId w:val="1002"/>
        </w:numPr>
      </w:pPr>
      <w:r>
        <w:rPr>
          <w:b/>
          <w:bCs/>
        </w:rPr>
        <w:t xml:space="preserve">DOE IDIQ Ceiling Exhaustion</w:t>
      </w:r>
      <w:r>
        <w:t xml:space="preserve"> </w:t>
      </w:r>
      <w:r>
        <w:t xml:space="preserve">— The Company’s largest customer (19.2% of revenue) is projected to exhaust its $45M contract ceiling by April–May 2025, creating a potential $12.1M+ revenue headwind in FY2025 that is not reflected in the CIM’s forward narrative.</w:t>
      </w:r>
    </w:p>
    <w:p>
      <w:pPr>
        <w:numPr>
          <w:ilvl w:val="0"/>
          <w:numId w:val="1002"/>
        </w:numPr>
      </w:pPr>
      <w:r>
        <w:rPr>
          <w:b/>
          <w:bCs/>
        </w:rPr>
        <w:t xml:space="preserve">Adjusted EBITDA Integrity</w:t>
      </w:r>
      <w:r>
        <w:t xml:space="preserve"> </w:t>
      </w:r>
      <w:r>
        <w:t xml:space="preserve">— Management’s Adjusted EBITDA of $22.8M (CIM) or $23.8M (QoE data room) contains a $1.0M unexplained discrepancy, and the $4.4M–$5.4M in add-backs include items of questionable quality (recurring owner compensation, multi-year integration costs, and a litigation settlement that is a</w:t>
      </w:r>
      <w:r>
        <w:t xml:space="preserve"> </w:t>
      </w:r>
      <w:r>
        <w:rPr>
          <w:i/>
          <w:iCs/>
        </w:rPr>
        <w:t xml:space="preserve">receipt</w:t>
      </w:r>
      <w:r>
        <w:t xml:space="preserve">, not an expense). The bank’s covenant EBITDA of $18.4M is the more defensible baseline.</w:t>
      </w:r>
    </w:p>
    <w:p>
      <w:pPr>
        <w:numPr>
          <w:ilvl w:val="0"/>
          <w:numId w:val="1002"/>
        </w:numPr>
      </w:pPr>
      <w:r>
        <w:rPr>
          <w:b/>
          <w:bCs/>
        </w:rPr>
        <w:t xml:space="preserve">Salt Lake City Lease / Permit Dual Defect</w:t>
      </w:r>
      <w:r>
        <w:t xml:space="preserve"> </w:t>
      </w:r>
      <w:r>
        <w:t xml:space="preserve">— The Company’s second-largest facility cluster (~$16.2M of revenue) operates under an unassigned lease (consent requested April 2022, never received) and an untransferred hazardous waste permit (still in Pinnacle’s name), creating compounding legal and regulatory exposure that is further aggravated by the proposed transaction.</w:t>
      </w:r>
    </w:p>
    <w:p>
      <w:r>
        <w:pict>
          <v:rect style="width:0;height:1.5pt" o:hralign="center" o:hrstd="t" o:hr="t"/>
        </w:pict>
      </w:r>
    </w:p>
    <w:bookmarkEnd w:id="23"/>
    <w:bookmarkStart w:id="30" w:name="X53d61c68c991e6aaae2de535604016e95576d84"/>
    <w:p>
      <w:pPr>
        <w:pStyle w:val="Heading2"/>
      </w:pPr>
      <w:r>
        <w:t xml:space="preserve">III. FINANCIAL / QUALITY OF EARNINGS RED FLAGS</w:t>
      </w:r>
    </w:p>
    <w:bookmarkStart w:id="24" w:name="X3a500a16b549d1c47d29af374c6a9d4ab76ed0d"/>
    <w:p>
      <w:pPr>
        <w:pStyle w:val="Heading3"/>
      </w:pPr>
      <w:r>
        <w:t xml:space="preserve">RF-01 | EBITDA Discrepancy: CIM vs. QoE Data Room — $1.0M Unexplained Gap</w:t>
      </w:r>
    </w:p>
    <w:p>
      <w:pPr>
        <w:pStyle w:val="FirstParagraph"/>
      </w:pPr>
      <w:r>
        <w:rPr>
          <w:b/>
          <w:bCs/>
        </w:rPr>
        <w:t xml:space="preserve">Severity: HIGH</w:t>
      </w:r>
    </w:p>
    <w:p>
      <w:pPr>
        <w:pStyle w:val="BodyText"/>
      </w:pPr>
      <w:r>
        <w:t xml:space="preserve">The CIM presents FY2024 Adjusted EBITDA of</w:t>
      </w:r>
      <w:r>
        <w:t xml:space="preserve"> </w:t>
      </w:r>
      <w:r>
        <w:rPr>
          <w:b/>
          <w:bCs/>
        </w:rPr>
        <w:t xml:space="preserve">$22.8M</w:t>
      </w:r>
      <w:r>
        <w:t xml:space="preserve">, while the QoE data request response (EBITDA Bridge tab) calculates Adjusted EBITDA of</w:t>
      </w:r>
      <w:r>
        <w:t xml:space="preserve"> </w:t>
      </w:r>
      <w:r>
        <w:rPr>
          <w:b/>
          <w:bCs/>
        </w:rPr>
        <w:t xml:space="preserve">$23.8M</w:t>
      </w:r>
      <w:r>
        <w:t xml:space="preserve"> </w:t>
      </w:r>
      <w:r>
        <w:t xml:space="preserve">— a $1.0M discrepancy. Management acknowledges the gap in the QoE workbook but states the</w:t>
      </w:r>
      <w:r>
        <w:t xml:space="preserve"> </w:t>
      </w:r>
      <w:r>
        <w:t xml:space="preserve">“</w:t>
      </w:r>
      <w:r>
        <w:t xml:space="preserve">specific adjustment category causing the discrepancy has not been identified.</w:t>
      </w:r>
      <w:r>
        <w:t xml:space="preserve">”</w:t>
      </w:r>
      <w:r>
        <w:t xml:space="preserve"> </w:t>
      </w:r>
      <w:r>
        <w:t xml:space="preserve">This is a fundamental quality-of-earnings integrity issue. The LOI’s indicative enterprise value of $182–$205M is anchored to the $22.8M figure; if the correct number is $23.8M, the multiple implied by the LOI is actually 7.6x–8.6x. Conversely, if neither figure is reliable, the entire valuation anchor is suspect.</w:t>
      </w:r>
    </w:p>
    <w:p>
      <w:pPr>
        <w:pStyle w:val="BodyText"/>
      </w:pPr>
      <w:r>
        <w:rPr>
          <w:b/>
          <w:bCs/>
        </w:rPr>
        <w:t xml:space="preserve">Required Action:</w:t>
      </w:r>
      <w:r>
        <w:t xml:space="preserve"> </w:t>
      </w:r>
      <w:r>
        <w:t xml:space="preserve">Bridgewater Forsyth Group must reconcile and certify a single Adjusted EBITDA figure before the LOI multiple can be confirmed. Buyer should not proceed to SPA negotiation without a resolved, auditor-confirmed EBITDA bridge.</w:t>
      </w:r>
    </w:p>
    <w:p>
      <w:r>
        <w:pict>
          <v:rect style="width:0;height:1.5pt" o:hralign="center" o:hrstd="t" o:hr="t"/>
        </w:pict>
      </w:r>
    </w:p>
    <w:bookmarkEnd w:id="24"/>
    <w:bookmarkStart w:id="25" w:name="X4a02dbc4cd05de2b1cf7b03c00d4fe0b019f403"/>
    <w:p>
      <w:pPr>
        <w:pStyle w:val="Heading3"/>
      </w:pPr>
      <w:r>
        <w:t xml:space="preserve">RF-02 | Reported EBITDA Decline: FY2024 Reported EBITDA Down 27% YoY</w:t>
      </w:r>
    </w:p>
    <w:p>
      <w:pPr>
        <w:pStyle w:val="FirstParagraph"/>
      </w:pPr>
      <w:r>
        <w:rPr>
          <w:b/>
          <w:bCs/>
        </w:rPr>
        <w:t xml:space="preserve">Severity: HIGH</w:t>
      </w:r>
    </w:p>
    <w:p>
      <w:pPr>
        <w:pStyle w:val="BodyText"/>
      </w:pPr>
      <w:r>
        <w:t xml:space="preserve">The QoE Historical P&amp;L tab reveals that FY2024 Reported EBITDA was</w:t>
      </w:r>
      <w:r>
        <w:t xml:space="preserve"> </w:t>
      </w:r>
      <w:r>
        <w:rPr>
          <w:b/>
          <w:bCs/>
        </w:rPr>
        <w:t xml:space="preserve">$18.4M</w:t>
      </w:r>
      <w:r>
        <w:t xml:space="preserve"> </w:t>
      </w:r>
      <w:r>
        <w:t xml:space="preserve">(per management’s own presentation) or</w:t>
      </w:r>
      <w:r>
        <w:t xml:space="preserve"> </w:t>
      </w:r>
      <w:r>
        <w:rPr>
          <w:b/>
          <w:bCs/>
        </w:rPr>
        <w:t xml:space="preserve">$26.0M</w:t>
      </w:r>
      <w:r>
        <w:t xml:space="preserve"> </w:t>
      </w:r>
      <w:r>
        <w:t xml:space="preserve">(per the P&amp;L tab’s D&amp;A add-back calculation) — a further internal inconsistency. Using management’s $18.4M starting point, Reported EBITDA declined</w:t>
      </w:r>
      <w:r>
        <w:t xml:space="preserve"> </w:t>
      </w:r>
      <w:r>
        <w:rPr>
          <w:b/>
          <w:bCs/>
        </w:rPr>
        <w:t xml:space="preserve">27.0% year-over-year</w:t>
      </w:r>
      <w:r>
        <w:t xml:space="preserve"> </w:t>
      </w:r>
      <w:r>
        <w:t xml:space="preserve">from FY2023’s $25.2M, even as revenue grew 11.1%. This dramatic margin compression is masked by $5.4M in add-backs. The CIM presents only Adjusted EBITDA for FY2024 and omits Reported EBITDA for prior years, making trend analysis difficult. The FY2024 Adjusted EBITDA margin of 18.7% (QoE) or 17.9% (CIM) compares unfavorably to FY2022 and FY2023 adjusted margins of 23.7% and 24.5%, respectively — a 500–670 bps compression that is not explained in the CIM.</w:t>
      </w:r>
    </w:p>
    <w:p>
      <w:pPr>
        <w:pStyle w:val="BodyText"/>
      </w:pPr>
      <w:r>
        <w:rPr>
          <w:b/>
          <w:bCs/>
        </w:rPr>
        <w:t xml:space="preserve">Required Action:</w:t>
      </w:r>
      <w:r>
        <w:t xml:space="preserve"> </w:t>
      </w:r>
      <w:r>
        <w:t xml:space="preserve">Obtain full audited P&amp;L for FY2022–FY2024 with consistent EBITDA presentation. Investigate the drivers of margin compression.</w:t>
      </w:r>
    </w:p>
    <w:p>
      <w:r>
        <w:pict>
          <v:rect style="width:0;height:1.5pt" o:hralign="center" o:hrstd="t" o:hr="t"/>
        </w:pict>
      </w:r>
    </w:p>
    <w:bookmarkEnd w:id="25"/>
    <w:bookmarkStart w:id="26" w:name="X2f04b9d02901273efb470e00867a726c39323f1"/>
    <w:p>
      <w:pPr>
        <w:pStyle w:val="Heading3"/>
      </w:pPr>
      <w:r>
        <w:t xml:space="preserve">RF-03 | Add-Back Quality: Owner Compensation Normalization Is Partially Recurring</w:t>
      </w:r>
    </w:p>
    <w:p>
      <w:pPr>
        <w:pStyle w:val="FirstParagraph"/>
      </w:pPr>
      <w:r>
        <w:rPr>
          <w:b/>
          <w:bCs/>
        </w:rPr>
        <w:t xml:space="preserve">Severity: HIGH</w:t>
      </w:r>
    </w:p>
    <w:p>
      <w:pPr>
        <w:pStyle w:val="BodyText"/>
      </w:pPr>
      <w:r>
        <w:t xml:space="preserve">The $950K owner compensation normalization add-back assumes Derek and Jason Calloway’s combined $1.75M salary would be replaced by two market-rate executives at $400K each ($800K total). However, both founders are expected to remain employed post-closing under their existing agreements. If the Calloways remain at $875K each, the $950K add-back is</w:t>
      </w:r>
      <w:r>
        <w:t xml:space="preserve"> </w:t>
      </w:r>
      <w:r>
        <w:rPr>
          <w:b/>
          <w:bCs/>
        </w:rPr>
        <w:t xml:space="preserve">not achievable</w:t>
      </w:r>
      <w:r>
        <w:t xml:space="preserve"> </w:t>
      </w:r>
      <w:r>
        <w:t xml:space="preserve">— it is a phantom adjustment. Furthermore, the same add-back appears in FY2022 and FY2023 ($950K each year), suggesting this is a structural, recurring feature of the business rather than a one-time normalization.</w:t>
      </w:r>
    </w:p>
    <w:p>
      <w:pPr>
        <w:pStyle w:val="BodyText"/>
      </w:pPr>
      <w:r>
        <w:rPr>
          <w:b/>
          <w:bCs/>
        </w:rPr>
        <w:t xml:space="preserve">Required Action:</w:t>
      </w:r>
      <w:r>
        <w:t xml:space="preserve"> </w:t>
      </w:r>
      <w:r>
        <w:t xml:space="preserve">Confirm post-closing compensation structure for both founders. If they remain at current salaries, eliminate the $950K add-back, reducing Adjusted EBITDA to approximately $21.85M–$22.85M and implying a purchase price multiple of 8.0x–9.4x on a true normalized basis.</w:t>
      </w:r>
    </w:p>
    <w:p>
      <w:r>
        <w:pict>
          <v:rect style="width:0;height:1.5pt" o:hralign="center" o:hrstd="t" o:hr="t"/>
        </w:pict>
      </w:r>
    </w:p>
    <w:bookmarkEnd w:id="26"/>
    <w:bookmarkStart w:id="27" w:name="X2e8304274eacb8054c027ea79f2a3f98832f2e1"/>
    <w:p>
      <w:pPr>
        <w:pStyle w:val="Heading3"/>
      </w:pPr>
      <w:r>
        <w:t xml:space="preserve">RF-04 | Add-Back Quality: Litigation Settlement Is a Receipt, Not an Expense</w:t>
      </w:r>
    </w:p>
    <w:p>
      <w:pPr>
        <w:pStyle w:val="FirstParagraph"/>
      </w:pPr>
      <w:r>
        <w:rPr>
          <w:b/>
          <w:bCs/>
        </w:rPr>
        <w:t xml:space="preserve">Severity: MEDIUM</w:t>
      </w:r>
    </w:p>
    <w:p>
      <w:pPr>
        <w:pStyle w:val="BodyText"/>
      </w:pPr>
      <w:r>
        <w:t xml:space="preserve">The $1.2M</w:t>
      </w:r>
      <w:r>
        <w:t xml:space="preserve"> </w:t>
      </w:r>
      <w:r>
        <w:t xml:space="preserve">“</w:t>
      </w:r>
      <w:r>
        <w:t xml:space="preserve">one-time litigation settlement</w:t>
      </w:r>
      <w:r>
        <w:t xml:space="preserve">”</w:t>
      </w:r>
      <w:r>
        <w:t xml:space="preserve"> </w:t>
      </w:r>
      <w:r>
        <w:t xml:space="preserve">add-back in the EBITDA bridge relates to the Clearwater Logistics matter — a settlement</w:t>
      </w:r>
      <w:r>
        <w:t xml:space="preserve"> </w:t>
      </w:r>
      <w:r>
        <w:rPr>
          <w:b/>
          <w:bCs/>
        </w:rPr>
        <w:t xml:space="preserve">received by RES</w:t>
      </w:r>
      <w:r>
        <w:t xml:space="preserve">, not paid by RES. Adding back a cash receipt to EBITDA is non-standard and inflates the adjusted figure. As presented, the add-back double-counts the benefit: the $1.2M receipt is already included in Reported EBITDA, and then added back again, overstating Adjusted EBITDA by $1.2M.</w:t>
      </w:r>
    </w:p>
    <w:p>
      <w:pPr>
        <w:pStyle w:val="BodyText"/>
      </w:pPr>
      <w:r>
        <w:rPr>
          <w:b/>
          <w:bCs/>
        </w:rPr>
        <w:t xml:space="preserve">Required Action:</w:t>
      </w:r>
      <w:r>
        <w:t xml:space="preserve"> </w:t>
      </w:r>
      <w:r>
        <w:t xml:space="preserve">Confirm with Bridgewater Forsyth Group whether the $1.2M settlement receipt is included in Reported EBITDA. If so, the add-back should be eliminated, reducing Adjusted EBITDA by $1.2M.</w:t>
      </w:r>
    </w:p>
    <w:p>
      <w:r>
        <w:pict>
          <v:rect style="width:0;height:1.5pt" o:hralign="center" o:hrstd="t" o:hr="t"/>
        </w:pict>
      </w:r>
    </w:p>
    <w:bookmarkEnd w:id="27"/>
    <w:bookmarkStart w:id="28" w:name="Xae6adbe93118e763ac245499d2889281b7064fb"/>
    <w:p>
      <w:pPr>
        <w:pStyle w:val="Heading3"/>
      </w:pPr>
      <w:r>
        <w:t xml:space="preserve">RF-05 | Add-Back Quality: Pinnacle Integration Costs Are Multi-Year and Potentially Recurring</w:t>
      </w:r>
    </w:p>
    <w:p>
      <w:pPr>
        <w:pStyle w:val="FirstParagraph"/>
      </w:pPr>
      <w:r>
        <w:rPr>
          <w:b/>
          <w:bCs/>
        </w:rPr>
        <w:t xml:space="preserve">Severity: MEDIUM</w:t>
      </w:r>
    </w:p>
    <w:p>
      <w:pPr>
        <w:pStyle w:val="BodyText"/>
      </w:pPr>
      <w:r>
        <w:t xml:space="preserve">The Pinnacle acquisition closed in March 2022. Integration costs have been added back in FY2022 ($1.24M), FY2023 ($620K), and FY2024 ($800K) — a cumulative $2.66M over three years. Costs that recur across three consecutive fiscal years are not</w:t>
      </w:r>
      <w:r>
        <w:t xml:space="preserve"> </w:t>
      </w:r>
      <w:r>
        <w:t xml:space="preserve">“</w:t>
      </w:r>
      <w:r>
        <w:t xml:space="preserve">non-recurring</w:t>
      </w:r>
      <w:r>
        <w:t xml:space="preserve">”</w:t>
      </w:r>
      <w:r>
        <w:t xml:space="preserve"> </w:t>
      </w:r>
      <w:r>
        <w:t xml:space="preserve">by any standard definition. The QoE workbook notes that the ERP implementation (also added back) is a</w:t>
      </w:r>
      <w:r>
        <w:t xml:space="preserve"> </w:t>
      </w:r>
      <w:r>
        <w:t xml:space="preserve">“</w:t>
      </w:r>
      <w:r>
        <w:t xml:space="preserve">Phase 2 upgrade</w:t>
      </w:r>
      <w:r>
        <w:t xml:space="preserve">”</w:t>
      </w:r>
      <w:r>
        <w:t xml:space="preserve"> </w:t>
      </w:r>
      <w:r>
        <w:t xml:space="preserve">expected to complete in Q2 FY2025, suggesting further costs may be incurred post-closing.</w:t>
      </w:r>
    </w:p>
    <w:p>
      <w:pPr>
        <w:pStyle w:val="BodyText"/>
      </w:pPr>
      <w:r>
        <w:rPr>
          <w:b/>
          <w:bCs/>
        </w:rPr>
        <w:t xml:space="preserve">Required Action:</w:t>
      </w:r>
      <w:r>
        <w:t xml:space="preserve"> </w:t>
      </w:r>
      <w:r>
        <w:t xml:space="preserve">Obtain itemized support for all integration and ERP costs. Assess whether any portion represents ongoing operational investment that should be treated as a recurring cost.</w:t>
      </w:r>
    </w:p>
    <w:p>
      <w:r>
        <w:pict>
          <v:rect style="width:0;height:1.5pt" o:hralign="center" o:hrstd="t" o:hr="t"/>
        </w:pict>
      </w:r>
    </w:p>
    <w:bookmarkEnd w:id="28"/>
    <w:bookmarkStart w:id="29" w:name="Xf58beeac78a8b961a64f627f3ceb7071c8ab07b"/>
    <w:p>
      <w:pPr>
        <w:pStyle w:val="Heading3"/>
      </w:pPr>
      <w:r>
        <w:t xml:space="preserve">RF-06 | Unaudited FY2024 Financials; Apparent Auditor Change</w:t>
      </w:r>
    </w:p>
    <w:p>
      <w:pPr>
        <w:pStyle w:val="FirstParagraph"/>
      </w:pPr>
      <w:r>
        <w:rPr>
          <w:b/>
          <w:bCs/>
        </w:rPr>
        <w:t xml:space="preserve">Severity: MEDIUM</w:t>
      </w:r>
    </w:p>
    <w:p>
      <w:pPr>
        <w:pStyle w:val="BodyText"/>
      </w:pPr>
      <w:r>
        <w:t xml:space="preserve">The QoE cover sheet discloses that FY2024 (TTM 9/30/24) financials are</w:t>
      </w:r>
      <w:r>
        <w:t xml:space="preserve"> </w:t>
      </w:r>
      <w:r>
        <w:rPr>
          <w:b/>
          <w:bCs/>
        </w:rPr>
        <w:t xml:space="preserve">reviewed but unaudited</w:t>
      </w:r>
      <w:r>
        <w:t xml:space="preserve">. The LOI requires delivery of audited FY2022–FY2024 financials as a closing condition. Additionally, the QoE cover sheet identifies the auditor as Plante Moran PLLC for FY2020–FY2023, while the CIM references Hansen &amp; Whitfield, CPAs (a local Grand Junction firm) as the Company’s</w:t>
      </w:r>
      <w:r>
        <w:t xml:space="preserve"> </w:t>
      </w:r>
      <w:r>
        <w:t xml:space="preserve">“</w:t>
      </w:r>
      <w:r>
        <w:t xml:space="preserve">independent accountants.</w:t>
      </w:r>
      <w:r>
        <w:t xml:space="preserve">”</w:t>
      </w:r>
      <w:r>
        <w:t xml:space="preserve"> </w:t>
      </w:r>
      <w:r>
        <w:t xml:space="preserve">This apparent auditor change is unexplained and warrants investigation.</w:t>
      </w:r>
    </w:p>
    <w:p>
      <w:pPr>
        <w:pStyle w:val="BodyText"/>
      </w:pPr>
      <w:r>
        <w:rPr>
          <w:b/>
          <w:bCs/>
        </w:rPr>
        <w:t xml:space="preserve">Required Action:</w:t>
      </w:r>
      <w:r>
        <w:t xml:space="preserve"> </w:t>
      </w:r>
      <w:r>
        <w:t xml:space="preserve">Clarify the auditor relationship. Confirm that FY2024 audited financials will be delivered by a firm acceptable to the Buyer and consistent with the credit agreement’s requirements.</w:t>
      </w:r>
    </w:p>
    <w:p>
      <w:r>
        <w:pict>
          <v:rect style="width:0;height:1.5pt" o:hralign="center" o:hrstd="t" o:hr="t"/>
        </w:pict>
      </w:r>
    </w:p>
    <w:bookmarkEnd w:id="29"/>
    <w:bookmarkEnd w:id="30"/>
    <w:bookmarkStart w:id="32" w:name="iv.-operational-capital-red-flags"/>
    <w:p>
      <w:pPr>
        <w:pStyle w:val="Heading2"/>
      </w:pPr>
      <w:r>
        <w:t xml:space="preserve">IV. OPERATIONAL &amp; CAPITAL RED FLAGS</w:t>
      </w:r>
    </w:p>
    <w:bookmarkStart w:id="31" w:name="X2f95bd481f7a116626993f84c64d707483c76a2"/>
    <w:p>
      <w:pPr>
        <w:pStyle w:val="Heading3"/>
      </w:pPr>
      <w:r>
        <w:t xml:space="preserve">RF-07 | Maintenance CapEx Understated; Fleet Replacement Backlog of ~$9.8M</w:t>
      </w:r>
    </w:p>
    <w:p>
      <w:pPr>
        <w:pStyle w:val="FirstParagraph"/>
      </w:pPr>
      <w:r>
        <w:rPr>
          <w:b/>
          <w:bCs/>
        </w:rPr>
        <w:t xml:space="preserve">Severity: HIGH</w:t>
      </w:r>
    </w:p>
    <w:p>
      <w:pPr>
        <w:pStyle w:val="BodyText"/>
      </w:pPr>
      <w:r>
        <w:t xml:space="preserve">The fleet and equipment schedule reveals that</w:t>
      </w:r>
      <w:r>
        <w:t xml:space="preserve"> </w:t>
      </w:r>
      <w:r>
        <w:rPr>
          <w:b/>
          <w:bCs/>
        </w:rPr>
        <w:t xml:space="preserve">38 of 85 assets (44.7%) are at or past their stated useful life</w:t>
      </w:r>
      <w:r>
        <w:t xml:space="preserve">, with an average fleet age of 8.2 years against a 7.0-year weighted average useful life. The estimated replacement cost for past-useful-life units alone is</w:t>
      </w:r>
      <w:r>
        <w:t xml:space="preserve"> </w:t>
      </w:r>
      <w:r>
        <w:rPr>
          <w:b/>
          <w:bCs/>
        </w:rPr>
        <w:t xml:space="preserve">$9.8M</w:t>
      </w:r>
      <w:r>
        <w:t xml:space="preserve">. Management’s normalized maintenance CapEx estimate of $4.0–$4.5M per year is inconsistent with this backlog: spreading the $9.8M replacement obligation over three years implies approximately $3.3M per year in catch-up CapEx above the stated run-rate. Several units are flagged as</w:t>
      </w:r>
      <w:r>
        <w:t xml:space="preserve"> </w:t>
      </w:r>
      <w:r>
        <w:t xml:space="preserve">“</w:t>
      </w:r>
      <w:r>
        <w:t xml:space="preserve">At End of Life — No Replacement Scheduled,</w:t>
      </w:r>
      <w:r>
        <w:t xml:space="preserve">”</w:t>
      </w:r>
      <w:r>
        <w:t xml:space="preserve"> </w:t>
      </w:r>
      <w:r>
        <w:t xml:space="preserve">which is operationally concerning for a business dependent on specialized hazardous waste transport equipment.</w:t>
      </w:r>
    </w:p>
    <w:p>
      <w:pPr>
        <w:pStyle w:val="BodyText"/>
      </w:pPr>
      <w:r>
        <w:rPr>
          <w:b/>
          <w:bCs/>
        </w:rPr>
        <w:t xml:space="preserve">Required Action:</w:t>
      </w:r>
      <w:r>
        <w:t xml:space="preserve"> </w:t>
      </w:r>
      <w:r>
        <w:t xml:space="preserve">Commission an independent fleet appraisal. Adjust normalized CapEx upward to reflect the true replacement cycle. Reduce free cash flow projections accordingly.</w:t>
      </w:r>
    </w:p>
    <w:p>
      <w:r>
        <w:pict>
          <v:rect style="width:0;height:1.5pt" o:hralign="center" o:hrstd="t" o:hr="t"/>
        </w:pict>
      </w:r>
    </w:p>
    <w:bookmarkEnd w:id="31"/>
    <w:bookmarkEnd w:id="32"/>
    <w:bookmarkStart w:id="38" w:name="v.-environmental-regulatory-red-flags"/>
    <w:p>
      <w:pPr>
        <w:pStyle w:val="Heading2"/>
      </w:pPr>
      <w:r>
        <w:t xml:space="preserve">V. ENVIRONMENTAL &amp; REGULATORY RED FLAGS</w:t>
      </w:r>
    </w:p>
    <w:bookmarkStart w:id="33" w:name="Xb92c3e716882c3434f8c8850073662d44d34729"/>
    <w:p>
      <w:pPr>
        <w:pStyle w:val="Heading3"/>
      </w:pPr>
      <w:r>
        <w:t xml:space="preserve">RF-08 | Grand Junction Phase II ESA Is Five Years Stale; Contamination Scope Potentially Understated</w:t>
      </w:r>
    </w:p>
    <w:p>
      <w:pPr>
        <w:pStyle w:val="FirstParagraph"/>
      </w:pPr>
      <w:r>
        <w:rPr>
          <w:b/>
          <w:bCs/>
        </w:rPr>
        <w:t xml:space="preserve">Severity: HIGH</w:t>
      </w:r>
    </w:p>
    <w:p>
      <w:pPr>
        <w:pStyle w:val="BodyText"/>
      </w:pPr>
      <w:r>
        <w:t xml:space="preserve">The only Phase II Environmental Site Assessment for the Company’s owned headquarters property (8750 Industrial Parkway, Grand Junction) was completed in</w:t>
      </w:r>
      <w:r>
        <w:t xml:space="preserve"> </w:t>
      </w:r>
      <w:r>
        <w:rPr>
          <w:b/>
          <w:bCs/>
        </w:rPr>
        <w:t xml:space="preserve">June 2019</w:t>
      </w:r>
      <w:r>
        <w:t xml:space="preserve"> </w:t>
      </w:r>
      <w:r>
        <w:t xml:space="preserve">— over five years ago. The ESA identified petroleum hydrocarbon (TPH-DRO, BTEX) and chlorinated solvent (PCE, TCE) contamination in soil and groundwater, with a 2019 remediation cost estimate of</w:t>
      </w:r>
      <w:r>
        <w:t xml:space="preserve"> </w:t>
      </w:r>
      <w:r>
        <w:rPr>
          <w:b/>
          <w:bCs/>
        </w:rPr>
        <w:t xml:space="preserve">$1.8M–$2.6M</w:t>
      </w:r>
      <w:r>
        <w:t xml:space="preserve">. The ESA explicitly recommends updating the assessment</w:t>
      </w:r>
      <w:r>
        <w:t xml:space="preserve"> </w:t>
      </w:r>
      <w:r>
        <w:t xml:space="preserve">“</w:t>
      </w:r>
      <w:r>
        <w:t xml:space="preserve">prior to any property transaction or financing event.</w:t>
      </w:r>
      <w:r>
        <w:t xml:space="preserve">”</w:t>
      </w:r>
      <w:r>
        <w:t xml:space="preserve"> </w:t>
      </w:r>
      <w:r>
        <w:t xml:space="preserve">No update has been performed.</w:t>
      </w:r>
    </w:p>
    <w:p>
      <w:pPr>
        <w:pStyle w:val="BodyText"/>
      </w:pPr>
      <w:r>
        <w:t xml:space="preserve">Key unresolved risks from the 2019 ESA include: (a) off-site plume migration — off-site downgradient monitoring wells were recommended but never installed; (b) vapor intrusion — PCE and TCE detected above EPA RSLs adjacent to the occupied vehicle maintenance building; (c) DNAPL migration — PCE and TCE can migrate vertically through the aquifer, potentially expanding the contamination zone; and (d) cost inflation — the $1.8M–$2.6M estimate is in 2019 dollars, implying a current-dollar estimate of approximately</w:t>
      </w:r>
      <w:r>
        <w:t xml:space="preserve"> </w:t>
      </w:r>
      <w:r>
        <w:rPr>
          <w:b/>
          <w:bCs/>
        </w:rPr>
        <w:t xml:space="preserve">$2.3M–$3.6M</w:t>
      </w:r>
      <w:r>
        <w:t xml:space="preserve"> </w:t>
      </w:r>
      <w:r>
        <w:t xml:space="preserve">before accounting for any plume expansion.</w:t>
      </w:r>
    </w:p>
    <w:p>
      <w:pPr>
        <w:pStyle w:val="BodyText"/>
      </w:pPr>
      <w:r>
        <w:t xml:space="preserve">The Company’s balance sheet accrual of $3.2M (total across all facilities, with ~$2.2M attributed to Grand Junction) may be insufficient.</w:t>
      </w:r>
    </w:p>
    <w:p>
      <w:pPr>
        <w:pStyle w:val="BodyText"/>
      </w:pPr>
      <w:r>
        <w:rPr>
          <w:b/>
          <w:bCs/>
        </w:rPr>
        <w:t xml:space="preserve">Required Action:</w:t>
      </w:r>
      <w:r>
        <w:t xml:space="preserve"> </w:t>
      </w:r>
      <w:r>
        <w:t xml:space="preserve">Commission an updated Phase II ESA immediately. Do not close without current environmental data. Negotiate a specific environmental indemnification escrow sized to the upper end of the updated cost estimate plus a contingency buffer.</w:t>
      </w:r>
    </w:p>
    <w:p>
      <w:r>
        <w:pict>
          <v:rect style="width:0;height:1.5pt" o:hralign="center" o:hrstd="t" o:hr="t"/>
        </w:pict>
      </w:r>
    </w:p>
    <w:bookmarkEnd w:id="33"/>
    <w:bookmarkStart w:id="34" w:name="Xa5072488893f2d1e6b95ca9edf5f16958d19db6"/>
    <w:p>
      <w:pPr>
        <w:pStyle w:val="Heading3"/>
      </w:pPr>
      <w:r>
        <w:t xml:space="preserve">RF-09 | Active CDPHE RCRA Enforcement Action at Grand Junction</w:t>
      </w:r>
    </w:p>
    <w:p>
      <w:pPr>
        <w:pStyle w:val="FirstParagraph"/>
      </w:pPr>
      <w:r>
        <w:rPr>
          <w:b/>
          <w:bCs/>
        </w:rPr>
        <w:t xml:space="preserve">Severity: HIGH</w:t>
      </w:r>
    </w:p>
    <w:p>
      <w:pPr>
        <w:pStyle w:val="BodyText"/>
      </w:pPr>
      <w:r>
        <w:t xml:space="preserve">CDPHE issued a Notice of Violation (Docket No. CDPHE-HW-2024-0093) on July 18, 2024, alleging improper storage of approximately 14,000 gallons of F001/F002 listed hazardous waste at the Grand Junction facility. The parties dispute the violation period: RES asserts 12 days (maximum penalty $450K); CDPHE asserts 31 days (maximum penalty $1.16M). No accrual has been recorded on the balance sheet as of September 30, 2024. An active enforcement action at the Company’s primary permitted facility creates risk of permit conditions being tightened or permit suspension — which would be an Event of Default under the credit agreement. It is also unclear whether CDPHE’s July 2024 NOV was timely reported to High Plains National Bank as required by the credit agreement (within 5 business days).</w:t>
      </w:r>
    </w:p>
    <w:p>
      <w:pPr>
        <w:pStyle w:val="BodyText"/>
      </w:pPr>
      <w:r>
        <w:rPr>
          <w:b/>
          <w:bCs/>
        </w:rPr>
        <w:t xml:space="preserve">Required Action:</w:t>
      </w:r>
      <w:r>
        <w:t xml:space="preserve"> </w:t>
      </w:r>
      <w:r>
        <w:t xml:space="preserve">Obtain full CDPHE correspondence file. Confirm lender notification status. Negotiate a specific indemnification provision for this matter, with a holdback or escrow sized to CDPHE’s maximum penalty position ($1.16M) pending resolution.</w:t>
      </w:r>
    </w:p>
    <w:p>
      <w:r>
        <w:pict>
          <v:rect style="width:0;height:1.5pt" o:hralign="center" o:hrstd="t" o:hr="t"/>
        </w:pict>
      </w:r>
    </w:p>
    <w:bookmarkEnd w:id="34"/>
    <w:bookmarkStart w:id="35" w:name="X1e54fe2c2813abd8a8031ac99a8f7f63dce5767"/>
    <w:p>
      <w:pPr>
        <w:pStyle w:val="Heading3"/>
      </w:pPr>
      <w:r>
        <w:t xml:space="preserve">RF-10 | Wyoming Permit Expired; Operating Under Timely Renewal Provisions</w:t>
      </w:r>
    </w:p>
    <w:p>
      <w:pPr>
        <w:pStyle w:val="FirstParagraph"/>
      </w:pPr>
      <w:r>
        <w:rPr>
          <w:b/>
          <w:bCs/>
        </w:rPr>
        <w:t xml:space="preserve">Severity: MEDIUM</w:t>
      </w:r>
    </w:p>
    <w:p>
      <w:pPr>
        <w:pStyle w:val="BodyText"/>
      </w:pPr>
      <w:r>
        <w:t xml:space="preserve">The Wyoming hazardous waste permit (WY-HW-2019-033) for the Casper facility expired</w:t>
      </w:r>
      <w:r>
        <w:t xml:space="preserve"> </w:t>
      </w:r>
      <w:r>
        <w:rPr>
          <w:b/>
          <w:bCs/>
        </w:rPr>
        <w:t xml:space="preserve">November 30, 2024</w:t>
      </w:r>
      <w:r>
        <w:t xml:space="preserve">. The Company filed a renewal application on October 15, 2024, and is operating under Wyoming’s timely renewal provisions. The credit agreement lists</w:t>
      </w:r>
      <w:r>
        <w:t xml:space="preserve"> </w:t>
      </w:r>
      <w:r>
        <w:t xml:space="preserve">“</w:t>
      </w:r>
      <w:r>
        <w:t xml:space="preserve">revocation, suspension, or non-renewal of any material permit</w:t>
      </w:r>
      <w:r>
        <w:t xml:space="preserve">”</w:t>
      </w:r>
      <w:r>
        <w:t xml:space="preserve"> </w:t>
      </w:r>
      <w:r>
        <w:t xml:space="preserve">as an Event of Default. The Casper facility serves approximately $30.2M of Wyoming-based revenue (23.7% of total).</w:t>
      </w:r>
    </w:p>
    <w:p>
      <w:pPr>
        <w:pStyle w:val="BodyText"/>
      </w:pPr>
      <w:r>
        <w:rPr>
          <w:b/>
          <w:bCs/>
        </w:rPr>
        <w:t xml:space="preserve">Required Action:</w:t>
      </w:r>
      <w:r>
        <w:t xml:space="preserve"> </w:t>
      </w:r>
      <w:r>
        <w:t xml:space="preserve">Obtain confirmation from Wyoming DEQ of the renewal timeline. Include a closing condition requiring either renewal or written confirmation of continued timely renewal status.</w:t>
      </w:r>
    </w:p>
    <w:p>
      <w:r>
        <w:pict>
          <v:rect style="width:0;height:1.5pt" o:hralign="center" o:hrstd="t" o:hr="t"/>
        </w:pict>
      </w:r>
    </w:p>
    <w:bookmarkEnd w:id="35"/>
    <w:bookmarkStart w:id="36" w:name="X910f2889fd513b6a924b8f9855a0bce4758213f"/>
    <w:p>
      <w:pPr>
        <w:pStyle w:val="Heading3"/>
      </w:pPr>
      <w:r>
        <w:t xml:space="preserve">RF-11 | Salt Lake City Permit Not Transferred: Operating Under Pinnacle’s Name for 2.5+ Years</w:t>
      </w:r>
    </w:p>
    <w:p>
      <w:pPr>
        <w:pStyle w:val="FirstParagraph"/>
      </w:pPr>
      <w:r>
        <w:rPr>
          <w:b/>
          <w:bCs/>
        </w:rPr>
        <w:t xml:space="preserve">Severity: HIGH</w:t>
      </w:r>
    </w:p>
    <w:p>
      <w:pPr>
        <w:pStyle w:val="BodyText"/>
      </w:pPr>
      <w:r>
        <w:t xml:space="preserve">Utah hazardous waste permit UTH-0441 for the Salt Lake City transfer station remains in the name of</w:t>
      </w:r>
      <w:r>
        <w:t xml:space="preserve"> </w:t>
      </w:r>
      <w:r>
        <w:rPr>
          <w:b/>
          <w:bCs/>
        </w:rPr>
        <w:t xml:space="preserve">Pinnacle Waste Solutions, LLC</w:t>
      </w:r>
      <w:r>
        <w:t xml:space="preserve"> </w:t>
      </w:r>
      <w:r>
        <w:t xml:space="preserve">— a dormant entity — more than 2.5 years after RES acquired Pinnacle. Under Utah Administrative Code R315-3, permit modifications reflecting changes in ownership require agency approval before becoming effective. The Company may be operating the facility without a valid permit in RES’s name, creating regulatory exposure and a potential representation and warranty breach.</w:t>
      </w:r>
    </w:p>
    <w:p>
      <w:pPr>
        <w:pStyle w:val="BodyText"/>
      </w:pPr>
      <w:r>
        <w:rPr>
          <w:b/>
          <w:bCs/>
        </w:rPr>
        <w:t xml:space="preserve">Required Action:</w:t>
      </w:r>
      <w:r>
        <w:t xml:space="preserve"> </w:t>
      </w:r>
      <w:r>
        <w:t xml:space="preserve">Escalate the SLC permit transfer as a pre-closing condition. Obtain written confirmation from Utah Division of Waste Management of the transfer timeline and interim operational authorization.</w:t>
      </w:r>
    </w:p>
    <w:p>
      <w:r>
        <w:pict>
          <v:rect style="width:0;height:1.5pt" o:hralign="center" o:hrstd="t" o:hr="t"/>
        </w:pict>
      </w:r>
    </w:p>
    <w:bookmarkEnd w:id="36"/>
    <w:bookmarkStart w:id="37" w:name="X6f0f3d66cfaa1fbdeba0a9d75b6a909cbe90817"/>
    <w:p>
      <w:pPr>
        <w:pStyle w:val="Heading3"/>
      </w:pPr>
      <w:r>
        <w:t xml:space="preserve">RF-12 | Asbestos Long-Tail Exposure: Pre-2015 Work Not Covered by Current PLL Policy</w:t>
      </w:r>
    </w:p>
    <w:p>
      <w:pPr>
        <w:pStyle w:val="FirstParagraph"/>
      </w:pPr>
      <w:r>
        <w:rPr>
          <w:b/>
          <w:bCs/>
        </w:rPr>
        <w:t xml:space="preserve">Severity: MEDIUM</w:t>
      </w:r>
    </w:p>
    <w:p>
      <w:pPr>
        <w:pStyle w:val="BodyText"/>
      </w:pPr>
      <w:r>
        <w:t xml:space="preserve">RES operated an asbestos abatement service line from 2012 through September 30, 2023, performing work at approximately 145 commercial and industrial sites. The current Pollution Legal Liability policy has a</w:t>
      </w:r>
      <w:r>
        <w:t xml:space="preserve"> </w:t>
      </w:r>
      <w:r>
        <w:rPr>
          <w:b/>
          <w:bCs/>
        </w:rPr>
        <w:t xml:space="preserve">retroactive date of January 1, 2015</w:t>
      </w:r>
      <w:r>
        <w:t xml:space="preserve">, meaning claims arising from work performed during 2012–2014 are not covered. The CGL policy contains a</w:t>
      </w:r>
      <w:r>
        <w:t xml:space="preserve"> </w:t>
      </w:r>
      <w:r>
        <w:rPr>
          <w:b/>
          <w:bCs/>
        </w:rPr>
        <w:t xml:space="preserve">blanket asbestos exclusion</w:t>
      </w:r>
      <w:r>
        <w:t xml:space="preserve"> </w:t>
      </w:r>
      <w:r>
        <w:t xml:space="preserve">with no tail coverage for completed operations. Two workers’ compensation claims from former asbestos abatement employees remain open (filed 2021 and 2022). The latency period for asbestos-related disease can extend 20–40 years.</w:t>
      </w:r>
    </w:p>
    <w:p>
      <w:pPr>
        <w:pStyle w:val="BodyText"/>
      </w:pPr>
      <w:r>
        <w:rPr>
          <w:b/>
          <w:bCs/>
        </w:rPr>
        <w:t xml:space="preserve">Required Action:</w:t>
      </w:r>
      <w:r>
        <w:t xml:space="preserve"> </w:t>
      </w:r>
      <w:r>
        <w:t xml:space="preserve">Obtain a complete list of all asbestos abatement project sites, dates, and scope. Evaluate the feasibility and cost of procuring a retroactive asbestos tail policy. Negotiate a specific indemnification provision for asbestos-related claims with an extended survival period.</w:t>
      </w:r>
    </w:p>
    <w:p>
      <w:r>
        <w:pict>
          <v:rect style="width:0;height:1.5pt" o:hralign="center" o:hrstd="t" o:hr="t"/>
        </w:pict>
      </w:r>
    </w:p>
    <w:bookmarkEnd w:id="37"/>
    <w:bookmarkEnd w:id="38"/>
    <w:bookmarkStart w:id="43" w:name="X243a9e03efde4ab8c888bf52b10c0b691e4ba5b"/>
    <w:p>
      <w:pPr>
        <w:pStyle w:val="Heading2"/>
      </w:pPr>
      <w:r>
        <w:t xml:space="preserve">VI. COMMERCIAL / CUSTOMER CONCENTRATION RED FLAGS</w:t>
      </w:r>
    </w:p>
    <w:bookmarkStart w:id="39" w:name="X95622a774a499b14917fad86a3966c41c1d212d"/>
    <w:p>
      <w:pPr>
        <w:pStyle w:val="Heading3"/>
      </w:pPr>
      <w:r>
        <w:t xml:space="preserve">RF-13 | DOE IDIQ Ceiling Exhaustion: $12.1M+ Revenue Headwind in FY2025</w:t>
      </w:r>
    </w:p>
    <w:p>
      <w:pPr>
        <w:pStyle w:val="FirstParagraph"/>
      </w:pPr>
      <w:r>
        <w:rPr>
          <w:b/>
          <w:bCs/>
        </w:rPr>
        <w:t xml:space="preserve">Severity: CRITICAL</w:t>
      </w:r>
    </w:p>
    <w:p>
      <w:pPr>
        <w:pStyle w:val="BodyText"/>
      </w:pPr>
      <w:r>
        <w:t xml:space="preserve">The DOE IDIQ contract (DE-EM-0005523) is the Company’s largest customer at $24.4M (19.2% of TTM revenue). The contract has a $45.0M ceiling value, of which</w:t>
      </w:r>
      <w:r>
        <w:t xml:space="preserve"> </w:t>
      </w:r>
      <w:r>
        <w:rPr>
          <w:b/>
          <w:bCs/>
        </w:rPr>
        <w:t xml:space="preserve">$32.7M has been consumed</w:t>
      </w:r>
      <w:r>
        <w:t xml:space="preserve"> </w:t>
      </w:r>
      <w:r>
        <w:t xml:space="preserve">(72.7% utilization) in 61.7% of the contract period. At the current run rate of approximately $2.03M/month, the remaining $12.3M ceiling will be exhausted by approximately</w:t>
      </w:r>
      <w:r>
        <w:t xml:space="preserve"> </w:t>
      </w:r>
      <w:r>
        <w:rPr>
          <w:b/>
          <w:bCs/>
        </w:rPr>
        <w:t xml:space="preserve">April–May 2025</w:t>
      </w:r>
      <w:r>
        <w:t xml:space="preserve"> </w:t>
      </w:r>
      <w:r>
        <w:t xml:space="preserve">— coinciding with the target closing date. If the ceiling is not increased, FY2025 DOE revenue could decline from $24.4M to approximately $12.3M or less — a</w:t>
      </w:r>
      <w:r>
        <w:t xml:space="preserve"> </w:t>
      </w:r>
      <w:r>
        <w:rPr>
          <w:b/>
          <w:bCs/>
        </w:rPr>
        <w:t xml:space="preserve">$12.1M revenue headwind representing 9.5% of current total revenue</w:t>
      </w:r>
      <w:r>
        <w:t xml:space="preserve">. The CIM’s forward narrative makes no mention of this risk. Additionally, the contract requires notification to the Contracting Officer within 30 days of any change in ownership; failure to notify could be grounds for termination for default.</w:t>
      </w:r>
    </w:p>
    <w:p>
      <w:pPr>
        <w:pStyle w:val="BodyText"/>
      </w:pPr>
      <w:r>
        <w:rPr>
          <w:b/>
          <w:bCs/>
        </w:rPr>
        <w:t xml:space="preserve">Required Action:</w:t>
      </w:r>
      <w:r>
        <w:t xml:space="preserve"> </w:t>
      </w:r>
      <w:r>
        <w:t xml:space="preserve">Immediately engage with the DOE Contracting Officer to assess the likelihood and timeline of a ceiling modification. Obtain written confirmation of the CO’s position before closing. Adjust financial projections to reflect the ceiling exhaustion scenario.</w:t>
      </w:r>
    </w:p>
    <w:p>
      <w:r>
        <w:pict>
          <v:rect style="width:0;height:1.5pt" o:hralign="center" o:hrstd="t" o:hr="t"/>
        </w:pict>
      </w:r>
    </w:p>
    <w:bookmarkEnd w:id="39"/>
    <w:bookmarkStart w:id="40" w:name="X0cc8a028b44c57a2b05936289868e33a63b5737"/>
    <w:p>
      <w:pPr>
        <w:pStyle w:val="Heading3"/>
      </w:pPr>
      <w:r>
        <w:t xml:space="preserve">RF-14 | Customer Concentration: Top 5 = 50.4% of Revenue; 8 Contracts Have Change-of-Control Provisions</w:t>
      </w:r>
    </w:p>
    <w:p>
      <w:pPr>
        <w:pStyle w:val="FirstParagraph"/>
      </w:pPr>
      <w:r>
        <w:rPr>
          <w:b/>
          <w:bCs/>
        </w:rPr>
        <w:t xml:space="preserve">Severity: HIGH</w:t>
      </w:r>
    </w:p>
    <w:p>
      <w:pPr>
        <w:pStyle w:val="BodyText"/>
      </w:pPr>
      <w:r>
        <w:t xml:space="preserve">Beyond the DOE issue, the Company’s customer concentration is elevated: Top 1 customer (DOE): 19.2%; Top 2 (DOE + CMMC): 30.6%; Top 5: 50.4%; Top 10: 67.0%. Eight of the top 20 customer contracts contain assignment, change-of-control, or notification provisions, including DOE (non-assignable per Anti-Assignment Act), Intermountain Health Systems (consent required), Utah DEQ (state termination right), Rocky Mountain Pipeline Systems (consent required), Colorado DOT (consent required), Bridger Valley Ranches (mutual consent), Frontier E&amp;P (notification required), and Teton Steel (mutual consent). The Intermountain Health Systems contract ($7.1M, 5.6% of revenue) expires June 30, 2025, with a renewal decision expected by February 2025.</w:t>
      </w:r>
    </w:p>
    <w:p>
      <w:pPr>
        <w:pStyle w:val="BodyText"/>
      </w:pPr>
      <w:r>
        <w:rPr>
          <w:b/>
          <w:bCs/>
        </w:rPr>
        <w:t xml:space="preserve">Required Action:</w:t>
      </w:r>
      <w:r>
        <w:t xml:space="preserve"> </w:t>
      </w:r>
      <w:r>
        <w:t xml:space="preserve">Obtain estoppel certificates or consent letters from all customers with change-of-control provisions prior to closing. Confirm Intermountain Health Systems renewal status.</w:t>
      </w:r>
    </w:p>
    <w:p>
      <w:r>
        <w:pict>
          <v:rect style="width:0;height:1.5pt" o:hralign="center" o:hrstd="t" o:hr="t"/>
        </w:pict>
      </w:r>
    </w:p>
    <w:bookmarkEnd w:id="40"/>
    <w:bookmarkStart w:id="41" w:name="X8adf705fcdc8399a3e6d2b2e3c5bbbf5c290985"/>
    <w:p>
      <w:pPr>
        <w:pStyle w:val="Heading3"/>
      </w:pPr>
      <w:r>
        <w:t xml:space="preserve">RF-15 | CMMC Master Services Agreement: 60-Day Termination for Convenience</w:t>
      </w:r>
    </w:p>
    <w:p>
      <w:pPr>
        <w:pStyle w:val="FirstParagraph"/>
      </w:pPr>
      <w:r>
        <w:rPr>
          <w:b/>
          <w:bCs/>
        </w:rPr>
        <w:t xml:space="preserve">Severity: MEDIUM</w:t>
      </w:r>
    </w:p>
    <w:p>
      <w:pPr>
        <w:pStyle w:val="BodyText"/>
      </w:pPr>
      <w:r>
        <w:t xml:space="preserve">Consolidated Mining &amp; Minerals Corp. (CMMC), the Company’s second-largest customer at $14.5M (11.4% of revenue), is governed by a master services agreement with</w:t>
      </w:r>
      <w:r>
        <w:t xml:space="preserve"> </w:t>
      </w:r>
      <w:r>
        <w:rPr>
          <w:b/>
          <w:bCs/>
        </w:rPr>
        <w:t xml:space="preserve">annual auto-renewal and 60-day termination for convenience</w:t>
      </w:r>
      <w:r>
        <w:t xml:space="preserve"> </w:t>
      </w:r>
      <w:r>
        <w:t xml:space="preserve">by either party. There are no minimum volume commitments. The CIM’s characterization of this as a</w:t>
      </w:r>
      <w:r>
        <w:t xml:space="preserve"> </w:t>
      </w:r>
      <w:r>
        <w:t xml:space="preserve">“</w:t>
      </w:r>
      <w:r>
        <w:t xml:space="preserve">recurring revenue</w:t>
      </w:r>
      <w:r>
        <w:t xml:space="preserve">”</w:t>
      </w:r>
      <w:r>
        <w:t xml:space="preserve"> </w:t>
      </w:r>
      <w:r>
        <w:t xml:space="preserve">relationship overstates the contractual durability.</w:t>
      </w:r>
    </w:p>
    <w:p>
      <w:pPr>
        <w:pStyle w:val="BodyText"/>
      </w:pPr>
      <w:r>
        <w:rPr>
          <w:b/>
          <w:bCs/>
        </w:rPr>
        <w:t xml:space="preserve">Required Action:</w:t>
      </w:r>
      <w:r>
        <w:t xml:space="preserve"> </w:t>
      </w:r>
      <w:r>
        <w:t xml:space="preserve">Assess the feasibility of negotiating a longer notice period or minimum volume commitment with CMMC as a pre-closing condition. At minimum, obtain a comfort letter from CMMC confirming its intention to continue the relationship post-closing.</w:t>
      </w:r>
    </w:p>
    <w:p>
      <w:r>
        <w:pict>
          <v:rect style="width:0;height:1.5pt" o:hralign="center" o:hrstd="t" o:hr="t"/>
        </w:pict>
      </w:r>
    </w:p>
    <w:bookmarkEnd w:id="41"/>
    <w:bookmarkStart w:id="42" w:name="Xb5fa98efa051705211e2e3d9cdb5387db4ab97c"/>
    <w:p>
      <w:pPr>
        <w:pStyle w:val="Heading3"/>
      </w:pPr>
      <w:r>
        <w:t xml:space="preserve">RF-16 | Salt Lake City Facility Revenue Concentration: ~$16.2M at Risk from Lease/Permit Issues</w:t>
      </w:r>
    </w:p>
    <w:p>
      <w:pPr>
        <w:pStyle w:val="FirstParagraph"/>
      </w:pPr>
      <w:r>
        <w:rPr>
          <w:b/>
          <w:bCs/>
        </w:rPr>
        <w:t xml:space="preserve">Severity: HIGH</w:t>
      </w:r>
    </w:p>
    <w:p>
      <w:pPr>
        <w:pStyle w:val="BodyText"/>
      </w:pPr>
      <w:r>
        <w:t xml:space="preserve">Approximately</w:t>
      </w:r>
      <w:r>
        <w:t xml:space="preserve"> </w:t>
      </w:r>
      <w:r>
        <w:rPr>
          <w:b/>
          <w:bCs/>
        </w:rPr>
        <w:t xml:space="preserve">$16.2M of annual revenue (12.7% of total)</w:t>
      </w:r>
      <w:r>
        <w:t xml:space="preserve"> </w:t>
      </w:r>
      <w:r>
        <w:t xml:space="preserve">is served from the Salt Lake City transfer station, including Wasatch Front Petroleum ($6.4M), Silver Creek Mining ($5.8M), Utah DEQ ($4.6M partial), Summit County ($2.9M partial), Uinta Basin Oil &amp; Gas ($0.2M), and Bear River Chemical ($1.7M). This facility operates under an unassigned lease (RF-17) and an untransferred permit (RF-11). Disruption to this facility could impair a material portion of the Company’s revenue base.</w:t>
      </w:r>
    </w:p>
    <w:p>
      <w:pPr>
        <w:pStyle w:val="BodyText"/>
      </w:pPr>
      <w:r>
        <w:rPr>
          <w:b/>
          <w:bCs/>
        </w:rPr>
        <w:t xml:space="preserve">Required Action:</w:t>
      </w:r>
      <w:r>
        <w:t xml:space="preserve"> </w:t>
      </w:r>
      <w:r>
        <w:t xml:space="preserve">Resolve both the lease assignment and permit transfer as pre-closing conditions. Assess business continuity plans if the facility is temporarily unavailable.</w:t>
      </w:r>
    </w:p>
    <w:p>
      <w:r>
        <w:pict>
          <v:rect style="width:0;height:1.5pt" o:hralign="center" o:hrstd="t" o:hr="t"/>
        </w:pict>
      </w:r>
    </w:p>
    <w:bookmarkEnd w:id="42"/>
    <w:bookmarkEnd w:id="43"/>
    <w:bookmarkStart w:id="48" w:name="vii.-legal-litigation-red-flags"/>
    <w:p>
      <w:pPr>
        <w:pStyle w:val="Heading2"/>
      </w:pPr>
      <w:r>
        <w:t xml:space="preserve">VII. LEGAL &amp; LITIGATION RED FLAGS</w:t>
      </w:r>
    </w:p>
    <w:bookmarkStart w:id="44" w:name="X113a9e5a6290781be20374c216071f5ad049a7a"/>
    <w:p>
      <w:pPr>
        <w:pStyle w:val="Heading3"/>
      </w:pPr>
      <w:r>
        <w:t xml:space="preserve">RF-17 | Salt Lake City Lease: Unresolved Assignment + Second Change-of-Control Event</w:t>
      </w:r>
    </w:p>
    <w:p>
      <w:pPr>
        <w:pStyle w:val="FirstParagraph"/>
      </w:pPr>
      <w:r>
        <w:rPr>
          <w:b/>
          <w:bCs/>
        </w:rPr>
        <w:t xml:space="preserve">Severity: HIGH</w:t>
      </w:r>
    </w:p>
    <w:p>
      <w:pPr>
        <w:pStyle w:val="BodyText"/>
      </w:pPr>
      <w:r>
        <w:t xml:space="preserve">The Salt Lake City transfer station lease was originally executed by Pinnacle Waste Solutions, LLC. RES submitted an assignment consent request to landlord Wasatch Industrial Properties, LLC on April 12, 2022. As of December 2024 —</w:t>
      </w:r>
      <w:r>
        <w:t xml:space="preserve"> </w:t>
      </w:r>
      <w:r>
        <w:rPr>
          <w:b/>
          <w:bCs/>
        </w:rPr>
        <w:t xml:space="preserve">32 months later</w:t>
      </w:r>
      <w:r>
        <w:t xml:space="preserve"> </w:t>
      </w:r>
      <w:r>
        <w:t xml:space="preserve">— no written consent has been received. The landlord’s November 2024 correspondence specifically inquired about the change of control. The proposed Sycamore acquisition would constitute a</w:t>
      </w:r>
      <w:r>
        <w:t xml:space="preserve"> </w:t>
      </w:r>
      <w:r>
        <w:rPr>
          <w:b/>
          <w:bCs/>
        </w:rPr>
        <w:t xml:space="preserve">second change-of-control event</w:t>
      </w:r>
      <w:r>
        <w:t xml:space="preserve"> </w:t>
      </w:r>
      <w:r>
        <w:t xml:space="preserve">under Section 14 of the lease, layering additional consent requirements on top of the unresolved first assignment. If the landlord withholds consent or declares a default, the Company could lose its right to occupy the facility, disrupting $16.2M of annual revenue.</w:t>
      </w:r>
    </w:p>
    <w:p>
      <w:pPr>
        <w:pStyle w:val="BodyText"/>
      </w:pPr>
      <w:r>
        <w:rPr>
          <w:b/>
          <w:bCs/>
        </w:rPr>
        <w:t xml:space="preserve">Required Action:</w:t>
      </w:r>
      <w:r>
        <w:t xml:space="preserve"> </w:t>
      </w:r>
      <w:r>
        <w:t xml:space="preserve">Obtain written landlord consent to both the existing Pinnacle-to-RES assignment and the proposed Sycamore acquisition as a</w:t>
      </w:r>
      <w:r>
        <w:t xml:space="preserve"> </w:t>
      </w:r>
      <w:r>
        <w:rPr>
          <w:b/>
          <w:bCs/>
        </w:rPr>
        <w:t xml:space="preserve">hard closing condition</w:t>
      </w:r>
      <w:r>
        <w:t xml:space="preserve">. Do not close without this consent.</w:t>
      </w:r>
    </w:p>
    <w:p>
      <w:r>
        <w:pict>
          <v:rect style="width:0;height:1.5pt" o:hralign="center" o:hrstd="t" o:hr="t"/>
        </w:pict>
      </w:r>
    </w:p>
    <w:bookmarkEnd w:id="44"/>
    <w:bookmarkStart w:id="45" w:name="X05e04e331462fa3df1093038d6e4473648bf268"/>
    <w:p>
      <w:pPr>
        <w:pStyle w:val="Heading3"/>
      </w:pPr>
      <w:r>
        <w:t xml:space="preserve">RF-18 | Ramirez Personal Injury Lawsuit: Coverage Determination Pending; $4.8M Claimed</w:t>
      </w:r>
    </w:p>
    <w:p>
      <w:pPr>
        <w:pStyle w:val="FirstParagraph"/>
      </w:pPr>
      <w:r>
        <w:rPr>
          <w:b/>
          <w:bCs/>
        </w:rPr>
        <w:t xml:space="preserve">Severity: MEDIUM</w:t>
      </w:r>
    </w:p>
    <w:p>
      <w:pPr>
        <w:pStyle w:val="BodyText"/>
      </w:pPr>
      <w:r>
        <w:t xml:space="preserve">Miguel Ramirez, a former field technician, filed suit on August 12, 2024 (Case No. 2:24-cv-00187, D. Wyo.) alleging $4.8M in damages for VOC and heavy metal exposure at a Sheridan, Wyoming remediation site. The insurer has issued a</w:t>
      </w:r>
      <w:r>
        <w:t xml:space="preserve"> </w:t>
      </w:r>
      <w:r>
        <w:rPr>
          <w:b/>
          <w:bCs/>
        </w:rPr>
        <w:t xml:space="preserve">reservation of rights letter</w:t>
      </w:r>
      <w:r>
        <w:t xml:space="preserve"> </w:t>
      </w:r>
      <w:r>
        <w:t xml:space="preserve">dated September 19, 2024, and coverage determination remains pending. If coverage is denied — which is possible given the pollution exclusion in the CGL policy and the gradual-release exclusion in the PLL policy — the Company would bear the full cost of defense and any judgment. Management’s estimated exposure of $500K–$1.5M has not been accrued.</w:t>
      </w:r>
    </w:p>
    <w:p>
      <w:pPr>
        <w:pStyle w:val="BodyText"/>
      </w:pPr>
      <w:r>
        <w:rPr>
          <w:b/>
          <w:bCs/>
        </w:rPr>
        <w:t xml:space="preserve">Required Action:</w:t>
      </w:r>
      <w:r>
        <w:t xml:space="preserve"> </w:t>
      </w:r>
      <w:r>
        <w:t xml:space="preserve">Obtain the full reservation of rights letter and assess coverage position. Include this matter in the specific indemnification provisions of the SPA.</w:t>
      </w:r>
    </w:p>
    <w:p>
      <w:r>
        <w:pict>
          <v:rect style="width:0;height:1.5pt" o:hralign="center" o:hrstd="t" o:hr="t"/>
        </w:pict>
      </w:r>
    </w:p>
    <w:bookmarkEnd w:id="45"/>
    <w:bookmarkStart w:id="46" w:name="X66c37aec8e1d6eba3fd2db5d9dda4c68b1008bb"/>
    <w:p>
      <w:pPr>
        <w:pStyle w:val="Heading3"/>
      </w:pPr>
      <w:r>
        <w:t xml:space="preserve">RF-19 | Former Employee Wage Claim: FLSA Overtime Exposure</w:t>
      </w:r>
    </w:p>
    <w:p>
      <w:pPr>
        <w:pStyle w:val="FirstParagraph"/>
      </w:pPr>
      <w:r>
        <w:rPr>
          <w:b/>
          <w:bCs/>
        </w:rPr>
        <w:t xml:space="preserve">Severity: LOW-MEDIUM</w:t>
      </w:r>
    </w:p>
    <w:p>
      <w:pPr>
        <w:pStyle w:val="BodyText"/>
      </w:pPr>
      <w:r>
        <w:t xml:space="preserve">In October 2024, RES received a demand letter from counsel representing approximately 8 former asbestos abatement employees alleging unpaid overtime under the FLSA and Colorado COMPS Order. Total claimed exposure is approximately $330K (including liquidated damages). No lawsuit has been filed.</w:t>
      </w:r>
    </w:p>
    <w:p>
      <w:pPr>
        <w:pStyle w:val="BodyText"/>
      </w:pPr>
      <w:r>
        <w:rPr>
          <w:b/>
          <w:bCs/>
        </w:rPr>
        <w:t xml:space="preserve">Required Action:</w:t>
      </w:r>
      <w:r>
        <w:t xml:space="preserve"> </w:t>
      </w:r>
      <w:r>
        <w:t xml:space="preserve">Obtain employment counsel’s written analysis of the motor carrier exemption applicability. Include this matter in the SPA disclosure schedules.</w:t>
      </w:r>
    </w:p>
    <w:p>
      <w:r>
        <w:pict>
          <v:rect style="width:0;height:1.5pt" o:hralign="center" o:hrstd="t" o:hr="t"/>
        </w:pict>
      </w:r>
    </w:p>
    <w:bookmarkEnd w:id="46"/>
    <w:bookmarkStart w:id="47" w:name="X258b624291fabadb26b67cf99b0a680b73b42d8"/>
    <w:p>
      <w:pPr>
        <w:pStyle w:val="Heading3"/>
      </w:pPr>
      <w:r>
        <w:t xml:space="preserve">RF-20 | NLRB Unionization Petition: 62 Field Technicians at Grand Junction and Casper</w:t>
      </w:r>
    </w:p>
    <w:p>
      <w:pPr>
        <w:pStyle w:val="FirstParagraph"/>
      </w:pPr>
      <w:r>
        <w:rPr>
          <w:b/>
          <w:bCs/>
        </w:rPr>
        <w:t xml:space="preserve">Severity: MEDIUM</w:t>
      </w:r>
    </w:p>
    <w:p>
      <w:pPr>
        <w:pStyle w:val="BodyText"/>
      </w:pPr>
      <w:r>
        <w:t xml:space="preserve">A footnote in the Employee Benefits Summary discloses that on</w:t>
      </w:r>
      <w:r>
        <w:t xml:space="preserve"> </w:t>
      </w:r>
      <w:r>
        <w:rPr>
          <w:b/>
          <w:bCs/>
        </w:rPr>
        <w:t xml:space="preserve">November 4, 2024</w:t>
      </w:r>
      <w:r>
        <w:t xml:space="preserve">, the International Brotherhood of Teamsters Local 455 filed an NLRB election petition covering 62 field technicians at the Grand Junction and Casper facilities. If the union election succeeds, the Company would be required to bargain collectively, potentially increasing labor costs, reducing operational flexibility, and creating a new Event of Default risk under the credit agreement. The CIM’s characterization of the workforce as</w:t>
      </w:r>
      <w:r>
        <w:t xml:space="preserve"> </w:t>
      </w:r>
      <w:r>
        <w:t xml:space="preserve">“</w:t>
      </w:r>
      <w:r>
        <w:t xml:space="preserve">entirely non-unionized</w:t>
      </w:r>
      <w:r>
        <w:t xml:space="preserve">”</w:t>
      </w:r>
      <w:r>
        <w:t xml:space="preserve"> </w:t>
      </w:r>
      <w:r>
        <w:t xml:space="preserve">with</w:t>
      </w:r>
      <w:r>
        <w:t xml:space="preserve"> </w:t>
      </w:r>
      <w:r>
        <w:t xml:space="preserve">“</w:t>
      </w:r>
      <w:r>
        <w:t xml:space="preserve">positive and productive relations</w:t>
      </w:r>
      <w:r>
        <w:t xml:space="preserve">”</w:t>
      </w:r>
      <w:r>
        <w:t xml:space="preserve"> </w:t>
      </w:r>
      <w:r>
        <w:t xml:space="preserve">is materially incomplete given this pending petition.</w:t>
      </w:r>
    </w:p>
    <w:p>
      <w:pPr>
        <w:pStyle w:val="BodyText"/>
      </w:pPr>
      <w:r>
        <w:rPr>
          <w:b/>
          <w:bCs/>
        </w:rPr>
        <w:t xml:space="preserve">Required Action:</w:t>
      </w:r>
      <w:r>
        <w:t xml:space="preserve"> </w:t>
      </w:r>
      <w:r>
        <w:t xml:space="preserve">Obtain full details of the NLRB petition, including the bargaining unit description and election timeline. Include a representation in the SPA that no union election has been certified and no collective bargaining agreement has been entered into prior to closing.</w:t>
      </w:r>
    </w:p>
    <w:p>
      <w:r>
        <w:pict>
          <v:rect style="width:0;height:1.5pt" o:hralign="center" o:hrstd="t" o:hr="t"/>
        </w:pict>
      </w:r>
    </w:p>
    <w:bookmarkEnd w:id="47"/>
    <w:bookmarkEnd w:id="48"/>
    <w:bookmarkStart w:id="51" w:name="viii.-transaction-structuring-red-flags"/>
    <w:p>
      <w:pPr>
        <w:pStyle w:val="Heading2"/>
      </w:pPr>
      <w:r>
        <w:t xml:space="preserve">VIII. TRANSACTION STRUCTURING RED FLAGS</w:t>
      </w:r>
    </w:p>
    <w:bookmarkStart w:id="49" w:name="X28303c5dc35c1514d7bb0227117542cf4e1e24a"/>
    <w:p>
      <w:pPr>
        <w:pStyle w:val="Heading3"/>
      </w:pPr>
      <w:r>
        <w:t xml:space="preserve">RF-21 | Single-Trigger Change-of-Control Severance: $2.625M Payable at Closing</w:t>
      </w:r>
    </w:p>
    <w:p>
      <w:pPr>
        <w:pStyle w:val="FirstParagraph"/>
      </w:pPr>
      <w:r>
        <w:rPr>
          <w:b/>
          <w:bCs/>
        </w:rPr>
        <w:t xml:space="preserve">Severity: MEDIUM</w:t>
      </w:r>
    </w:p>
    <w:p>
      <w:pPr>
        <w:pStyle w:val="BodyText"/>
      </w:pPr>
      <w:r>
        <w:t xml:space="preserve">The employment agreements for Derek Calloway (CEO) and Jason Calloway (COO) contain</w:t>
      </w:r>
      <w:r>
        <w:t xml:space="preserve"> </w:t>
      </w:r>
      <w:r>
        <w:rPr>
          <w:b/>
          <w:bCs/>
        </w:rPr>
        <w:t xml:space="preserve">single-trigger</w:t>
      </w:r>
      <w:r>
        <w:t xml:space="preserve"> </w:t>
      </w:r>
      <w:r>
        <w:t xml:space="preserve">change-of-control severance provisions totaling</w:t>
      </w:r>
      <w:r>
        <w:t xml:space="preserve"> </w:t>
      </w:r>
      <w:r>
        <w:rPr>
          <w:b/>
          <w:bCs/>
        </w:rPr>
        <w:t xml:space="preserve">$2.625M</w:t>
      </w:r>
      <w:r>
        <w:t xml:space="preserve"> </w:t>
      </w:r>
      <w:r>
        <w:t xml:space="preserve">($1.3125M each), payable within 30 days of closing regardless of whether their employment continues. The LOI’s definition of</w:t>
      </w:r>
      <w:r>
        <w:t xml:space="preserve"> </w:t>
      </w:r>
      <w:r>
        <w:t xml:space="preserve">“</w:t>
      </w:r>
      <w:r>
        <w:t xml:space="preserve">Transaction Expenses</w:t>
      </w:r>
      <w:r>
        <w:t xml:space="preserve">”</w:t>
      </w:r>
      <w:r>
        <w:t xml:space="preserve"> </w:t>
      </w:r>
      <w:r>
        <w:t xml:space="preserve">does not explicitly address these payments, creating ambiguity about whether they reduce the purchase price or are borne by the Buyer separately. The double-trigger provisions for Engel, Dillon, and Oakes total an additional $1.15M (contingent on post-closing employment events).</w:t>
      </w:r>
    </w:p>
    <w:p>
      <w:pPr>
        <w:pStyle w:val="BodyText"/>
      </w:pPr>
      <w:r>
        <w:rPr>
          <w:b/>
          <w:bCs/>
        </w:rPr>
        <w:t xml:space="preserve">Required Action:</w:t>
      </w:r>
      <w:r>
        <w:t xml:space="preserve"> </w:t>
      </w:r>
      <w:r>
        <w:t xml:space="preserve">Confirm treatment of the $2.625M single-trigger severance in the purchase price mechanism. Consider renegotiating the Calloway agreements to convert to double-trigger prior to closing.</w:t>
      </w:r>
    </w:p>
    <w:p>
      <w:r>
        <w:pict>
          <v:rect style="width:0;height:1.5pt" o:hralign="center" o:hrstd="t" o:hr="t"/>
        </w:pict>
      </w:r>
    </w:p>
    <w:bookmarkEnd w:id="49"/>
    <w:bookmarkStart w:id="50" w:name="Xfb26ae8c2777738e9c41c6ad6574a98abb0bc42"/>
    <w:p>
      <w:pPr>
        <w:pStyle w:val="Heading3"/>
      </w:pPr>
      <w:r>
        <w:t xml:space="preserve">RF-22 | Credit Agreement Change-of-Control: Mandatory Prepayment of ~$39.2M Within 5 Business Days</w:t>
      </w:r>
    </w:p>
    <w:p>
      <w:pPr>
        <w:pStyle w:val="FirstParagraph"/>
      </w:pPr>
      <w:r>
        <w:rPr>
          <w:b/>
          <w:bCs/>
        </w:rPr>
        <w:t xml:space="preserve">Severity: HIGH</w:t>
      </w:r>
    </w:p>
    <w:p>
      <w:pPr>
        <w:pStyle w:val="BodyText"/>
      </w:pPr>
      <w:r>
        <w:t xml:space="preserve">The High Plains National Bank credit agreement contains a</w:t>
      </w:r>
      <w:r>
        <w:t xml:space="preserve"> </w:t>
      </w:r>
      <w:r>
        <w:rPr>
          <w:b/>
          <w:bCs/>
        </w:rPr>
        <w:t xml:space="preserve">mandatory prepayment provision</w:t>
      </w:r>
      <w:r>
        <w:t xml:space="preserve"> </w:t>
      </w:r>
      <w:r>
        <w:t xml:space="preserve">triggered by the proposed acquisition. Upon a Change of Control, the Company must prepay all outstanding obligations within</w:t>
      </w:r>
      <w:r>
        <w:t xml:space="preserve"> </w:t>
      </w:r>
      <w:r>
        <w:rPr>
          <w:b/>
          <w:bCs/>
        </w:rPr>
        <w:t xml:space="preserve">five (5) business days</w:t>
      </w:r>
      <w:r>
        <w:t xml:space="preserve">. As of September 30, 2024, total obligations include: Revolving facility ($12.4M), Term loan ($26.3M), Term loan prepayment premium at 1.0% (~$263K), and accrued interest (~$200K–$300K) —</w:t>
      </w:r>
      <w:r>
        <w:t xml:space="preserve"> </w:t>
      </w:r>
      <w:r>
        <w:rPr>
          <w:b/>
          <w:bCs/>
        </w:rPr>
        <w:t xml:space="preserve">total estimated ~$39.2M</w:t>
      </w:r>
      <w:r>
        <w:t xml:space="preserve">. The credit agreement provides</w:t>
      </w:r>
      <w:r>
        <w:t xml:space="preserve"> </w:t>
      </w:r>
      <w:r>
        <w:rPr>
          <w:b/>
          <w:bCs/>
        </w:rPr>
        <w:t xml:space="preserve">no waiver or consent mechanism</w:t>
      </w:r>
      <w:r>
        <w:t xml:space="preserve"> </w:t>
      </w:r>
      <w:r>
        <w:t xml:space="preserve">for the Change of Control provision.</w:t>
      </w:r>
    </w:p>
    <w:p>
      <w:pPr>
        <w:pStyle w:val="BodyText"/>
      </w:pPr>
      <w:r>
        <w:rPr>
          <w:b/>
          <w:bCs/>
        </w:rPr>
        <w:t xml:space="preserve">Required Action:</w:t>
      </w:r>
      <w:r>
        <w:t xml:space="preserve"> </w:t>
      </w:r>
      <w:r>
        <w:t xml:space="preserve">Arrange acquisition financing that includes payoff of the existing credit facility at closing. Obtain a payoff letter from High Plains National Bank. Confirm that the prepayment premium is included in the net debt adjustment under the LOI.</w:t>
      </w:r>
    </w:p>
    <w:p>
      <w:r>
        <w:pict>
          <v:rect style="width:0;height:1.5pt" o:hralign="center" o:hrstd="t" o:hr="t"/>
        </w:pict>
      </w:r>
    </w:p>
    <w:bookmarkEnd w:id="50"/>
    <w:bookmarkEnd w:id="51"/>
    <w:bookmarkStart w:id="52" w:name="ix.-summary-risk-matrix"/>
    <w:p>
      <w:pPr>
        <w:pStyle w:val="Heading2"/>
      </w:pPr>
      <w:r>
        <w:t xml:space="preserve">IX. SUMMARY RISK MATRIX</w:t>
      </w:r>
    </w:p>
    <w:tbl>
      <w:tblPr>
        <w:tblStyle w:val="Table"/>
        <w:tblW w:type="pct" w:w="5000"/>
        <w:jc w:val="left"/>
        <w:tblLayout w:type="fixed"/>
        <w:tblLook w:firstRow="1" w:lastRow="0" w:firstColumn="0" w:lastColumn="0" w:noHBand="0" w:noVBand="0" w:val="0020"/>
      </w:tblPr>
      <w:tblGrid>
        <w:gridCol w:w="416"/>
        <w:gridCol w:w="1389"/>
        <w:gridCol w:w="1389"/>
        <w:gridCol w:w="1389"/>
        <w:gridCol w:w="3334"/>
      </w:tblGrid>
      <w:tr>
        <w:trPr>
          <w:tblHeader w:val="on"/>
        </w:trPr>
        <w:tc>
          <w:tcPr/>
          <w:p>
            <w:pPr>
              <w:pStyle w:val="Compact"/>
              <w:jc w:val="left"/>
            </w:pPr>
            <w:r>
              <w:t xml:space="preserve">#</w:t>
            </w:r>
          </w:p>
        </w:tc>
        <w:tc>
          <w:tcPr/>
          <w:p>
            <w:pPr>
              <w:pStyle w:val="Compact"/>
              <w:jc w:val="left"/>
            </w:pPr>
            <w:r>
              <w:t xml:space="preserve">Red Flag</w:t>
            </w:r>
          </w:p>
        </w:tc>
        <w:tc>
          <w:tcPr/>
          <w:p>
            <w:pPr>
              <w:pStyle w:val="Compact"/>
              <w:jc w:val="left"/>
            </w:pPr>
            <w:r>
              <w:t xml:space="preserve">Category</w:t>
            </w:r>
          </w:p>
        </w:tc>
        <w:tc>
          <w:tcPr/>
          <w:p>
            <w:pPr>
              <w:pStyle w:val="Compact"/>
              <w:jc w:val="left"/>
            </w:pPr>
            <w:r>
              <w:t xml:space="preserve">Severity</w:t>
            </w:r>
          </w:p>
        </w:tc>
        <w:tc>
          <w:tcPr/>
          <w:p>
            <w:pPr>
              <w:pStyle w:val="Compact"/>
              <w:jc w:val="left"/>
            </w:pPr>
            <w:r>
              <w:t xml:space="preserve">Est. Financial Exposure</w:t>
            </w:r>
          </w:p>
        </w:tc>
      </w:tr>
      <w:tr>
        <w:tc>
          <w:tcPr/>
          <w:p>
            <w:pPr>
              <w:pStyle w:val="Compact"/>
              <w:jc w:val="left"/>
            </w:pPr>
            <w:r>
              <w:t xml:space="preserve">RF-01</w:t>
            </w:r>
          </w:p>
        </w:tc>
        <w:tc>
          <w:tcPr/>
          <w:p>
            <w:pPr>
              <w:pStyle w:val="Compact"/>
              <w:jc w:val="left"/>
            </w:pPr>
            <w:r>
              <w:t xml:space="preserve">EBITDA Discrepancy ($1.0M gap)</w:t>
            </w:r>
          </w:p>
        </w:tc>
        <w:tc>
          <w:tcPr/>
          <w:p>
            <w:pPr>
              <w:pStyle w:val="Compact"/>
              <w:jc w:val="left"/>
            </w:pPr>
            <w:r>
              <w:t xml:space="preserve">Financial/QoE</w:t>
            </w:r>
          </w:p>
        </w:tc>
        <w:tc>
          <w:tcPr/>
          <w:p>
            <w:pPr>
              <w:pStyle w:val="Compact"/>
              <w:jc w:val="left"/>
            </w:pPr>
            <w:r>
              <w:t xml:space="preserve">HIGH</w:t>
            </w:r>
          </w:p>
        </w:tc>
        <w:tc>
          <w:tcPr/>
          <w:p>
            <w:pPr>
              <w:pStyle w:val="Compact"/>
              <w:jc w:val="left"/>
            </w:pPr>
            <w:r>
              <w:t xml:space="preserve">$8–9M valuation impact</w:t>
            </w:r>
          </w:p>
        </w:tc>
      </w:tr>
      <w:tr>
        <w:tc>
          <w:tcPr/>
          <w:p>
            <w:pPr>
              <w:pStyle w:val="Compact"/>
              <w:jc w:val="left"/>
            </w:pPr>
            <w:r>
              <w:t xml:space="preserve">RF-02</w:t>
            </w:r>
          </w:p>
        </w:tc>
        <w:tc>
          <w:tcPr/>
          <w:p>
            <w:pPr>
              <w:pStyle w:val="Compact"/>
              <w:jc w:val="left"/>
            </w:pPr>
            <w:r>
              <w:t xml:space="preserve">Reported EBITDA down 27% YoY</w:t>
            </w:r>
          </w:p>
        </w:tc>
        <w:tc>
          <w:tcPr/>
          <w:p>
            <w:pPr>
              <w:pStyle w:val="Compact"/>
              <w:jc w:val="left"/>
            </w:pPr>
            <w:r>
              <w:t xml:space="preserve">Financial/QoE</w:t>
            </w:r>
          </w:p>
        </w:tc>
        <w:tc>
          <w:tcPr/>
          <w:p>
            <w:pPr>
              <w:pStyle w:val="Compact"/>
              <w:jc w:val="left"/>
            </w:pPr>
            <w:r>
              <w:t xml:space="preserve">HIGH</w:t>
            </w:r>
          </w:p>
        </w:tc>
        <w:tc>
          <w:tcPr/>
          <w:p>
            <w:pPr>
              <w:pStyle w:val="Compact"/>
              <w:jc w:val="left"/>
            </w:pPr>
            <w:r>
              <w:t xml:space="preserve">Valuation anchor risk</w:t>
            </w:r>
          </w:p>
        </w:tc>
      </w:tr>
      <w:tr>
        <w:tc>
          <w:tcPr/>
          <w:p>
            <w:pPr>
              <w:pStyle w:val="Compact"/>
              <w:jc w:val="left"/>
            </w:pPr>
            <w:r>
              <w:t xml:space="preserve">RF-03</w:t>
            </w:r>
          </w:p>
        </w:tc>
        <w:tc>
          <w:tcPr/>
          <w:p>
            <w:pPr>
              <w:pStyle w:val="Compact"/>
              <w:jc w:val="left"/>
            </w:pPr>
            <w:r>
              <w:t xml:space="preserve">Owner comp add-back not achievable</w:t>
            </w:r>
          </w:p>
        </w:tc>
        <w:tc>
          <w:tcPr/>
          <w:p>
            <w:pPr>
              <w:pStyle w:val="Compact"/>
              <w:jc w:val="left"/>
            </w:pPr>
            <w:r>
              <w:t xml:space="preserve">Financial/QoE</w:t>
            </w:r>
          </w:p>
        </w:tc>
        <w:tc>
          <w:tcPr/>
          <w:p>
            <w:pPr>
              <w:pStyle w:val="Compact"/>
              <w:jc w:val="left"/>
            </w:pPr>
            <w:r>
              <w:t xml:space="preserve">HIGH</w:t>
            </w:r>
          </w:p>
        </w:tc>
        <w:tc>
          <w:tcPr/>
          <w:p>
            <w:pPr>
              <w:pStyle w:val="Compact"/>
              <w:jc w:val="left"/>
            </w:pPr>
            <w:r>
              <w:t xml:space="preserve">$950K per year</w:t>
            </w:r>
          </w:p>
        </w:tc>
      </w:tr>
      <w:tr>
        <w:tc>
          <w:tcPr/>
          <w:p>
            <w:pPr>
              <w:pStyle w:val="Compact"/>
              <w:jc w:val="left"/>
            </w:pPr>
            <w:r>
              <w:t xml:space="preserve">RF-04</w:t>
            </w:r>
          </w:p>
        </w:tc>
        <w:tc>
          <w:tcPr/>
          <w:p>
            <w:pPr>
              <w:pStyle w:val="Compact"/>
              <w:jc w:val="left"/>
            </w:pPr>
            <w:r>
              <w:t xml:space="preserve">Litigation settlement is a receipt</w:t>
            </w:r>
          </w:p>
        </w:tc>
        <w:tc>
          <w:tcPr/>
          <w:p>
            <w:pPr>
              <w:pStyle w:val="Compact"/>
              <w:jc w:val="left"/>
            </w:pPr>
            <w:r>
              <w:t xml:space="preserve">Financial/QoE</w:t>
            </w:r>
          </w:p>
        </w:tc>
        <w:tc>
          <w:tcPr/>
          <w:p>
            <w:pPr>
              <w:pStyle w:val="Compact"/>
              <w:jc w:val="left"/>
            </w:pPr>
            <w:r>
              <w:t xml:space="preserve">MEDIUM</w:t>
            </w:r>
          </w:p>
        </w:tc>
        <w:tc>
          <w:tcPr/>
          <w:p>
            <w:pPr>
              <w:pStyle w:val="Compact"/>
              <w:jc w:val="left"/>
            </w:pPr>
            <w:r>
              <w:t xml:space="preserve">$1.2M overstatement</w:t>
            </w:r>
          </w:p>
        </w:tc>
      </w:tr>
      <w:tr>
        <w:tc>
          <w:tcPr/>
          <w:p>
            <w:pPr>
              <w:pStyle w:val="Compact"/>
              <w:jc w:val="left"/>
            </w:pPr>
            <w:r>
              <w:t xml:space="preserve">RF-05</w:t>
            </w:r>
          </w:p>
        </w:tc>
        <w:tc>
          <w:tcPr/>
          <w:p>
            <w:pPr>
              <w:pStyle w:val="Compact"/>
              <w:jc w:val="left"/>
            </w:pPr>
            <w:r>
              <w:t xml:space="preserve">Multi-year integration add-backs</w:t>
            </w:r>
          </w:p>
        </w:tc>
        <w:tc>
          <w:tcPr/>
          <w:p>
            <w:pPr>
              <w:pStyle w:val="Compact"/>
              <w:jc w:val="left"/>
            </w:pPr>
            <w:r>
              <w:t xml:space="preserve">Financial/QoE</w:t>
            </w:r>
          </w:p>
        </w:tc>
        <w:tc>
          <w:tcPr/>
          <w:p>
            <w:pPr>
              <w:pStyle w:val="Compact"/>
              <w:jc w:val="left"/>
            </w:pPr>
            <w:r>
              <w:t xml:space="preserve">MEDIUM</w:t>
            </w:r>
          </w:p>
        </w:tc>
        <w:tc>
          <w:tcPr/>
          <w:p>
            <w:pPr>
              <w:pStyle w:val="Compact"/>
              <w:jc w:val="left"/>
            </w:pPr>
            <w:r>
              <w:t xml:space="preserve">$800K–$1.24M/yr</w:t>
            </w:r>
          </w:p>
        </w:tc>
      </w:tr>
      <w:tr>
        <w:tc>
          <w:tcPr/>
          <w:p>
            <w:pPr>
              <w:pStyle w:val="Compact"/>
              <w:jc w:val="left"/>
            </w:pPr>
            <w:r>
              <w:t xml:space="preserve">RF-06</w:t>
            </w:r>
          </w:p>
        </w:tc>
        <w:tc>
          <w:tcPr/>
          <w:p>
            <w:pPr>
              <w:pStyle w:val="Compact"/>
              <w:jc w:val="left"/>
            </w:pPr>
            <w:r>
              <w:t xml:space="preserve">Unaudited FY2024; auditor change</w:t>
            </w:r>
          </w:p>
        </w:tc>
        <w:tc>
          <w:tcPr/>
          <w:p>
            <w:pPr>
              <w:pStyle w:val="Compact"/>
              <w:jc w:val="left"/>
            </w:pPr>
            <w:r>
              <w:t xml:space="preserve">Financial/QoE</w:t>
            </w:r>
          </w:p>
        </w:tc>
        <w:tc>
          <w:tcPr/>
          <w:p>
            <w:pPr>
              <w:pStyle w:val="Compact"/>
              <w:jc w:val="left"/>
            </w:pPr>
            <w:r>
              <w:t xml:space="preserve">MEDIUM</w:t>
            </w:r>
          </w:p>
        </w:tc>
        <w:tc>
          <w:tcPr/>
          <w:p>
            <w:pPr>
              <w:pStyle w:val="Compact"/>
              <w:jc w:val="left"/>
            </w:pPr>
            <w:r>
              <w:t xml:space="preserve">Closing condition risk</w:t>
            </w:r>
          </w:p>
        </w:tc>
      </w:tr>
      <w:tr>
        <w:tc>
          <w:tcPr/>
          <w:p>
            <w:pPr>
              <w:pStyle w:val="Compact"/>
              <w:jc w:val="left"/>
            </w:pPr>
            <w:r>
              <w:t xml:space="preserve">RF-07</w:t>
            </w:r>
          </w:p>
        </w:tc>
        <w:tc>
          <w:tcPr/>
          <w:p>
            <w:pPr>
              <w:pStyle w:val="Compact"/>
              <w:jc w:val="left"/>
            </w:pPr>
            <w:r>
              <w:t xml:space="preserve">Fleet replacement backlog $9.8M</w:t>
            </w:r>
          </w:p>
        </w:tc>
        <w:tc>
          <w:tcPr/>
          <w:p>
            <w:pPr>
              <w:pStyle w:val="Compact"/>
              <w:jc w:val="left"/>
            </w:pPr>
            <w:r>
              <w:t xml:space="preserve">Operational</w:t>
            </w:r>
          </w:p>
        </w:tc>
        <w:tc>
          <w:tcPr/>
          <w:p>
            <w:pPr>
              <w:pStyle w:val="Compact"/>
              <w:jc w:val="left"/>
            </w:pPr>
            <w:r>
              <w:t xml:space="preserve">HIGH</w:t>
            </w:r>
          </w:p>
        </w:tc>
        <w:tc>
          <w:tcPr/>
          <w:p>
            <w:pPr>
              <w:pStyle w:val="Compact"/>
              <w:jc w:val="left"/>
            </w:pPr>
            <w:r>
              <w:t xml:space="preserve">$3.3M/yr incremental CapEx</w:t>
            </w:r>
          </w:p>
        </w:tc>
      </w:tr>
      <w:tr>
        <w:tc>
          <w:tcPr/>
          <w:p>
            <w:pPr>
              <w:pStyle w:val="Compact"/>
              <w:jc w:val="left"/>
            </w:pPr>
            <w:r>
              <w:t xml:space="preserve">RF-08</w:t>
            </w:r>
          </w:p>
        </w:tc>
        <w:tc>
          <w:tcPr/>
          <w:p>
            <w:pPr>
              <w:pStyle w:val="Compact"/>
              <w:jc w:val="left"/>
            </w:pPr>
            <w:r>
              <w:t xml:space="preserve">Phase II ESA 5 years stale</w:t>
            </w:r>
          </w:p>
        </w:tc>
        <w:tc>
          <w:tcPr/>
          <w:p>
            <w:pPr>
              <w:pStyle w:val="Compact"/>
              <w:jc w:val="left"/>
            </w:pPr>
            <w:r>
              <w:t xml:space="preserve">Environmental</w:t>
            </w:r>
          </w:p>
        </w:tc>
        <w:tc>
          <w:tcPr/>
          <w:p>
            <w:pPr>
              <w:pStyle w:val="Compact"/>
              <w:jc w:val="left"/>
            </w:pPr>
            <w:r>
              <w:t xml:space="preserve">HIGH</w:t>
            </w:r>
          </w:p>
        </w:tc>
        <w:tc>
          <w:tcPr/>
          <w:p>
            <w:pPr>
              <w:pStyle w:val="Compact"/>
              <w:jc w:val="left"/>
            </w:pPr>
            <w:r>
              <w:t xml:space="preserve">$2.3M–$5M+ remediation</w:t>
            </w:r>
          </w:p>
        </w:tc>
      </w:tr>
      <w:tr>
        <w:tc>
          <w:tcPr/>
          <w:p>
            <w:pPr>
              <w:pStyle w:val="Compact"/>
              <w:jc w:val="left"/>
            </w:pPr>
            <w:r>
              <w:t xml:space="preserve">RF-09</w:t>
            </w:r>
          </w:p>
        </w:tc>
        <w:tc>
          <w:tcPr/>
          <w:p>
            <w:pPr>
              <w:pStyle w:val="Compact"/>
              <w:jc w:val="left"/>
            </w:pPr>
            <w:r>
              <w:t xml:space="preserve">Active CDPHE RCRA enforcement</w:t>
            </w:r>
          </w:p>
        </w:tc>
        <w:tc>
          <w:tcPr/>
          <w:p>
            <w:pPr>
              <w:pStyle w:val="Compact"/>
              <w:jc w:val="left"/>
            </w:pPr>
            <w:r>
              <w:t xml:space="preserve">Environmental</w:t>
            </w:r>
          </w:p>
        </w:tc>
        <w:tc>
          <w:tcPr/>
          <w:p>
            <w:pPr>
              <w:pStyle w:val="Compact"/>
              <w:jc w:val="left"/>
            </w:pPr>
            <w:r>
              <w:t xml:space="preserve">HIGH</w:t>
            </w:r>
          </w:p>
        </w:tc>
        <w:tc>
          <w:tcPr/>
          <w:p>
            <w:pPr>
              <w:pStyle w:val="Compact"/>
              <w:jc w:val="left"/>
            </w:pPr>
            <w:r>
              <w:t xml:space="preserve">$200K–$1.16M penalty</w:t>
            </w:r>
          </w:p>
        </w:tc>
      </w:tr>
      <w:tr>
        <w:tc>
          <w:tcPr/>
          <w:p>
            <w:pPr>
              <w:pStyle w:val="Compact"/>
              <w:jc w:val="left"/>
            </w:pPr>
            <w:r>
              <w:t xml:space="preserve">RF-10</w:t>
            </w:r>
          </w:p>
        </w:tc>
        <w:tc>
          <w:tcPr/>
          <w:p>
            <w:pPr>
              <w:pStyle w:val="Compact"/>
              <w:jc w:val="left"/>
            </w:pPr>
            <w:r>
              <w:t xml:space="preserve">Wyoming permit expired</w:t>
            </w:r>
          </w:p>
        </w:tc>
        <w:tc>
          <w:tcPr/>
          <w:p>
            <w:pPr>
              <w:pStyle w:val="Compact"/>
              <w:jc w:val="left"/>
            </w:pPr>
            <w:r>
              <w:t xml:space="preserve">Environmental</w:t>
            </w:r>
          </w:p>
        </w:tc>
        <w:tc>
          <w:tcPr/>
          <w:p>
            <w:pPr>
              <w:pStyle w:val="Compact"/>
              <w:jc w:val="left"/>
            </w:pPr>
            <w:r>
              <w:t xml:space="preserve">MEDIUM</w:t>
            </w:r>
          </w:p>
        </w:tc>
        <w:tc>
          <w:tcPr/>
          <w:p>
            <w:pPr>
              <w:pStyle w:val="Compact"/>
              <w:jc w:val="left"/>
            </w:pPr>
            <w:r>
              <w:t xml:space="preserve">Permit/default risk</w:t>
            </w:r>
          </w:p>
        </w:tc>
      </w:tr>
      <w:tr>
        <w:tc>
          <w:tcPr/>
          <w:p>
            <w:pPr>
              <w:pStyle w:val="Compact"/>
              <w:jc w:val="left"/>
            </w:pPr>
            <w:r>
              <w:t xml:space="preserve">RF-11</w:t>
            </w:r>
          </w:p>
        </w:tc>
        <w:tc>
          <w:tcPr/>
          <w:p>
            <w:pPr>
              <w:pStyle w:val="Compact"/>
              <w:jc w:val="left"/>
            </w:pPr>
            <w:r>
              <w:t xml:space="preserve">SLC permit not transferred (2.5 yrs)</w:t>
            </w:r>
          </w:p>
        </w:tc>
        <w:tc>
          <w:tcPr/>
          <w:p>
            <w:pPr>
              <w:pStyle w:val="Compact"/>
              <w:jc w:val="left"/>
            </w:pPr>
            <w:r>
              <w:t xml:space="preserve">Environmental</w:t>
            </w:r>
          </w:p>
        </w:tc>
        <w:tc>
          <w:tcPr/>
          <w:p>
            <w:pPr>
              <w:pStyle w:val="Compact"/>
              <w:jc w:val="left"/>
            </w:pPr>
            <w:r>
              <w:t xml:space="preserve">HIGH</w:t>
            </w:r>
          </w:p>
        </w:tc>
        <w:tc>
          <w:tcPr/>
          <w:p>
            <w:pPr>
              <w:pStyle w:val="Compact"/>
              <w:jc w:val="left"/>
            </w:pPr>
            <w:r>
              <w:t xml:space="preserve">Operational/regulatory risk</w:t>
            </w:r>
          </w:p>
        </w:tc>
      </w:tr>
      <w:tr>
        <w:tc>
          <w:tcPr/>
          <w:p>
            <w:pPr>
              <w:pStyle w:val="Compact"/>
              <w:jc w:val="left"/>
            </w:pPr>
            <w:r>
              <w:t xml:space="preserve">RF-12</w:t>
            </w:r>
          </w:p>
        </w:tc>
        <w:tc>
          <w:tcPr/>
          <w:p>
            <w:pPr>
              <w:pStyle w:val="Compact"/>
              <w:jc w:val="left"/>
            </w:pPr>
            <w:r>
              <w:t xml:space="preserve">Asbestos tail: pre-2015 gap</w:t>
            </w:r>
          </w:p>
        </w:tc>
        <w:tc>
          <w:tcPr/>
          <w:p>
            <w:pPr>
              <w:pStyle w:val="Compact"/>
              <w:jc w:val="left"/>
            </w:pPr>
            <w:r>
              <w:t xml:space="preserve">Environmental</w:t>
            </w:r>
          </w:p>
        </w:tc>
        <w:tc>
          <w:tcPr/>
          <w:p>
            <w:pPr>
              <w:pStyle w:val="Compact"/>
              <w:jc w:val="left"/>
            </w:pPr>
            <w:r>
              <w:t xml:space="preserve">MEDIUM</w:t>
            </w:r>
          </w:p>
        </w:tc>
        <w:tc>
          <w:tcPr/>
          <w:p>
            <w:pPr>
              <w:pStyle w:val="Compact"/>
              <w:jc w:val="left"/>
            </w:pPr>
            <w:r>
              <w:t xml:space="preserve">Unquantified long-tail</w:t>
            </w:r>
          </w:p>
        </w:tc>
      </w:tr>
      <w:tr>
        <w:tc>
          <w:tcPr/>
          <w:p>
            <w:pPr>
              <w:pStyle w:val="Compact"/>
              <w:jc w:val="left"/>
            </w:pPr>
            <w:r>
              <w:t xml:space="preserve">RF-13</w:t>
            </w:r>
          </w:p>
        </w:tc>
        <w:tc>
          <w:tcPr/>
          <w:p>
            <w:pPr>
              <w:pStyle w:val="Compact"/>
              <w:jc w:val="left"/>
            </w:pPr>
            <w:r>
              <w:t xml:space="preserve">DOE IDIQ ceiling exhaustion</w:t>
            </w:r>
          </w:p>
        </w:tc>
        <w:tc>
          <w:tcPr/>
          <w:p>
            <w:pPr>
              <w:pStyle w:val="Compact"/>
              <w:jc w:val="left"/>
            </w:pPr>
            <w:r>
              <w:t xml:space="preserve">Commercial</w:t>
            </w:r>
          </w:p>
        </w:tc>
        <w:tc>
          <w:tcPr/>
          <w:p>
            <w:pPr>
              <w:pStyle w:val="Compact"/>
              <w:jc w:val="left"/>
            </w:pPr>
            <w:r>
              <w:t xml:space="preserve">CRITICAL</w:t>
            </w:r>
          </w:p>
        </w:tc>
        <w:tc>
          <w:tcPr/>
          <w:p>
            <w:pPr>
              <w:pStyle w:val="Compact"/>
              <w:jc w:val="left"/>
            </w:pPr>
            <w:r>
              <w:t xml:space="preserve">$12.1M+ FY2025 headwind</w:t>
            </w:r>
          </w:p>
        </w:tc>
      </w:tr>
      <w:tr>
        <w:tc>
          <w:tcPr/>
          <w:p>
            <w:pPr>
              <w:pStyle w:val="Compact"/>
              <w:jc w:val="left"/>
            </w:pPr>
            <w:r>
              <w:t xml:space="preserve">RF-14</w:t>
            </w:r>
          </w:p>
        </w:tc>
        <w:tc>
          <w:tcPr/>
          <w:p>
            <w:pPr>
              <w:pStyle w:val="Compact"/>
              <w:jc w:val="left"/>
            </w:pPr>
            <w:r>
              <w:t xml:space="preserve">Customer concentration; 8 CoC clauses</w:t>
            </w:r>
          </w:p>
        </w:tc>
        <w:tc>
          <w:tcPr/>
          <w:p>
            <w:pPr>
              <w:pStyle w:val="Compact"/>
              <w:jc w:val="left"/>
            </w:pPr>
            <w:r>
              <w:t xml:space="preserve">Commercial</w:t>
            </w:r>
          </w:p>
        </w:tc>
        <w:tc>
          <w:tcPr/>
          <w:p>
            <w:pPr>
              <w:pStyle w:val="Compact"/>
              <w:jc w:val="left"/>
            </w:pPr>
            <w:r>
              <w:t xml:space="preserve">HIGH</w:t>
            </w:r>
          </w:p>
        </w:tc>
        <w:tc>
          <w:tcPr/>
          <w:p>
            <w:pPr>
              <w:pStyle w:val="Compact"/>
              <w:jc w:val="left"/>
            </w:pPr>
            <w:r>
              <w:t xml:space="preserve">Revenue at risk</w:t>
            </w:r>
          </w:p>
        </w:tc>
      </w:tr>
      <w:tr>
        <w:tc>
          <w:tcPr/>
          <w:p>
            <w:pPr>
              <w:pStyle w:val="Compact"/>
              <w:jc w:val="left"/>
            </w:pPr>
            <w:r>
              <w:t xml:space="preserve">RF-15</w:t>
            </w:r>
          </w:p>
        </w:tc>
        <w:tc>
          <w:tcPr/>
          <w:p>
            <w:pPr>
              <w:pStyle w:val="Compact"/>
              <w:jc w:val="left"/>
            </w:pPr>
            <w:r>
              <w:t xml:space="preserve">CMMC 60-day termination for convenience</w:t>
            </w:r>
          </w:p>
        </w:tc>
        <w:tc>
          <w:tcPr/>
          <w:p>
            <w:pPr>
              <w:pStyle w:val="Compact"/>
              <w:jc w:val="left"/>
            </w:pPr>
            <w:r>
              <w:t xml:space="preserve">Commercial</w:t>
            </w:r>
          </w:p>
        </w:tc>
        <w:tc>
          <w:tcPr/>
          <w:p>
            <w:pPr>
              <w:pStyle w:val="Compact"/>
              <w:jc w:val="left"/>
            </w:pPr>
            <w:r>
              <w:t xml:space="preserve">MEDIUM</w:t>
            </w:r>
          </w:p>
        </w:tc>
        <w:tc>
          <w:tcPr/>
          <w:p>
            <w:pPr>
              <w:pStyle w:val="Compact"/>
              <w:jc w:val="left"/>
            </w:pPr>
            <w:r>
              <w:t xml:space="preserve">$14.5M at risk</w:t>
            </w:r>
          </w:p>
        </w:tc>
      </w:tr>
      <w:tr>
        <w:tc>
          <w:tcPr/>
          <w:p>
            <w:pPr>
              <w:pStyle w:val="Compact"/>
              <w:jc w:val="left"/>
            </w:pPr>
            <w:r>
              <w:t xml:space="preserve">RF-16</w:t>
            </w:r>
          </w:p>
        </w:tc>
        <w:tc>
          <w:tcPr/>
          <w:p>
            <w:pPr>
              <w:pStyle w:val="Compact"/>
              <w:jc w:val="left"/>
            </w:pPr>
            <w:r>
              <w:t xml:space="preserve">SLC facility revenue concentration</w:t>
            </w:r>
          </w:p>
        </w:tc>
        <w:tc>
          <w:tcPr/>
          <w:p>
            <w:pPr>
              <w:pStyle w:val="Compact"/>
              <w:jc w:val="left"/>
            </w:pPr>
            <w:r>
              <w:t xml:space="preserve">Commercial</w:t>
            </w:r>
          </w:p>
        </w:tc>
        <w:tc>
          <w:tcPr/>
          <w:p>
            <w:pPr>
              <w:pStyle w:val="Compact"/>
              <w:jc w:val="left"/>
            </w:pPr>
            <w:r>
              <w:t xml:space="preserve">HIGH</w:t>
            </w:r>
          </w:p>
        </w:tc>
        <w:tc>
          <w:tcPr/>
          <w:p>
            <w:pPr>
              <w:pStyle w:val="Compact"/>
              <w:jc w:val="left"/>
            </w:pPr>
            <w:r>
              <w:t xml:space="preserve">$16.2M at risk</w:t>
            </w:r>
          </w:p>
        </w:tc>
      </w:tr>
      <w:tr>
        <w:tc>
          <w:tcPr/>
          <w:p>
            <w:pPr>
              <w:pStyle w:val="Compact"/>
              <w:jc w:val="left"/>
            </w:pPr>
            <w:r>
              <w:t xml:space="preserve">RF-17</w:t>
            </w:r>
          </w:p>
        </w:tc>
        <w:tc>
          <w:tcPr/>
          <w:p>
            <w:pPr>
              <w:pStyle w:val="Compact"/>
              <w:jc w:val="left"/>
            </w:pPr>
            <w:r>
              <w:t xml:space="preserve">SLC lease unassigned + 2nd CoC event</w:t>
            </w:r>
          </w:p>
        </w:tc>
        <w:tc>
          <w:tcPr/>
          <w:p>
            <w:pPr>
              <w:pStyle w:val="Compact"/>
              <w:jc w:val="left"/>
            </w:pPr>
            <w:r>
              <w:t xml:space="preserve">Legal</w:t>
            </w:r>
          </w:p>
        </w:tc>
        <w:tc>
          <w:tcPr/>
          <w:p>
            <w:pPr>
              <w:pStyle w:val="Compact"/>
              <w:jc w:val="left"/>
            </w:pPr>
            <w:r>
              <w:t xml:space="preserve">HIGH</w:t>
            </w:r>
          </w:p>
        </w:tc>
        <w:tc>
          <w:tcPr/>
          <w:p>
            <w:pPr>
              <w:pStyle w:val="Compact"/>
              <w:jc w:val="left"/>
            </w:pPr>
            <w:r>
              <w:t xml:space="preserve">Lease termination risk</w:t>
            </w:r>
          </w:p>
        </w:tc>
      </w:tr>
      <w:tr>
        <w:tc>
          <w:tcPr/>
          <w:p>
            <w:pPr>
              <w:pStyle w:val="Compact"/>
              <w:jc w:val="left"/>
            </w:pPr>
            <w:r>
              <w:t xml:space="preserve">RF-18</w:t>
            </w:r>
          </w:p>
        </w:tc>
        <w:tc>
          <w:tcPr/>
          <w:p>
            <w:pPr>
              <w:pStyle w:val="Compact"/>
              <w:jc w:val="left"/>
            </w:pPr>
            <w:r>
              <w:t xml:space="preserve">Ramirez lawsuit; coverage pending</w:t>
            </w:r>
          </w:p>
        </w:tc>
        <w:tc>
          <w:tcPr/>
          <w:p>
            <w:pPr>
              <w:pStyle w:val="Compact"/>
              <w:jc w:val="left"/>
            </w:pPr>
            <w:r>
              <w:t xml:space="preserve">Legal</w:t>
            </w:r>
          </w:p>
        </w:tc>
        <w:tc>
          <w:tcPr/>
          <w:p>
            <w:pPr>
              <w:pStyle w:val="Compact"/>
              <w:jc w:val="left"/>
            </w:pPr>
            <w:r>
              <w:t xml:space="preserve">MEDIUM</w:t>
            </w:r>
          </w:p>
        </w:tc>
        <w:tc>
          <w:tcPr/>
          <w:p>
            <w:pPr>
              <w:pStyle w:val="Compact"/>
              <w:jc w:val="left"/>
            </w:pPr>
            <w:r>
              <w:t xml:space="preserve">$500K–$4.8M</w:t>
            </w:r>
          </w:p>
        </w:tc>
      </w:tr>
      <w:tr>
        <w:tc>
          <w:tcPr/>
          <w:p>
            <w:pPr>
              <w:pStyle w:val="Compact"/>
              <w:jc w:val="left"/>
            </w:pPr>
            <w:r>
              <w:t xml:space="preserve">RF-19</w:t>
            </w:r>
          </w:p>
        </w:tc>
        <w:tc>
          <w:tcPr/>
          <w:p>
            <w:pPr>
              <w:pStyle w:val="Compact"/>
              <w:jc w:val="left"/>
            </w:pPr>
            <w:r>
              <w:t xml:space="preserve">FLSA wage claim (8 employees)</w:t>
            </w:r>
          </w:p>
        </w:tc>
        <w:tc>
          <w:tcPr/>
          <w:p>
            <w:pPr>
              <w:pStyle w:val="Compact"/>
              <w:jc w:val="left"/>
            </w:pPr>
            <w:r>
              <w:t xml:space="preserve">Legal</w:t>
            </w:r>
          </w:p>
        </w:tc>
        <w:tc>
          <w:tcPr/>
          <w:p>
            <w:pPr>
              <w:pStyle w:val="Compact"/>
              <w:jc w:val="left"/>
            </w:pPr>
            <w:r>
              <w:t xml:space="preserve">LOW-MEDIUM</w:t>
            </w:r>
          </w:p>
        </w:tc>
        <w:tc>
          <w:tcPr/>
          <w:p>
            <w:pPr>
              <w:pStyle w:val="Compact"/>
              <w:jc w:val="left"/>
            </w:pPr>
            <w:r>
              <w:t xml:space="preserve">$100K–$330K</w:t>
            </w:r>
          </w:p>
        </w:tc>
      </w:tr>
      <w:tr>
        <w:tc>
          <w:tcPr/>
          <w:p>
            <w:pPr>
              <w:pStyle w:val="Compact"/>
              <w:jc w:val="left"/>
            </w:pPr>
            <w:r>
              <w:t xml:space="preserve">RF-20</w:t>
            </w:r>
          </w:p>
        </w:tc>
        <w:tc>
          <w:tcPr/>
          <w:p>
            <w:pPr>
              <w:pStyle w:val="Compact"/>
              <w:jc w:val="left"/>
            </w:pPr>
            <w:r>
              <w:t xml:space="preserve">NLRB unionization petition (62 workers)</w:t>
            </w:r>
          </w:p>
        </w:tc>
        <w:tc>
          <w:tcPr/>
          <w:p>
            <w:pPr>
              <w:pStyle w:val="Compact"/>
              <w:jc w:val="left"/>
            </w:pPr>
            <w:r>
              <w:t xml:space="preserve">Legal</w:t>
            </w:r>
          </w:p>
        </w:tc>
        <w:tc>
          <w:tcPr/>
          <w:p>
            <w:pPr>
              <w:pStyle w:val="Compact"/>
              <w:jc w:val="left"/>
            </w:pPr>
            <w:r>
              <w:t xml:space="preserve">MEDIUM</w:t>
            </w:r>
          </w:p>
        </w:tc>
        <w:tc>
          <w:tcPr/>
          <w:p>
            <w:pPr>
              <w:pStyle w:val="Compact"/>
              <w:jc w:val="left"/>
            </w:pPr>
            <w:r>
              <w:t xml:space="preserve">Labor cost/default risk</w:t>
            </w:r>
          </w:p>
        </w:tc>
      </w:tr>
      <w:tr>
        <w:tc>
          <w:tcPr/>
          <w:p>
            <w:pPr>
              <w:pStyle w:val="Compact"/>
              <w:jc w:val="left"/>
            </w:pPr>
            <w:r>
              <w:t xml:space="preserve">RF-21</w:t>
            </w:r>
          </w:p>
        </w:tc>
        <w:tc>
          <w:tcPr/>
          <w:p>
            <w:pPr>
              <w:pStyle w:val="Compact"/>
              <w:jc w:val="left"/>
            </w:pPr>
            <w:r>
              <w:t xml:space="preserve">Single-trigger CoC severance</w:t>
            </w:r>
          </w:p>
        </w:tc>
        <w:tc>
          <w:tcPr/>
          <w:p>
            <w:pPr>
              <w:pStyle w:val="Compact"/>
              <w:jc w:val="left"/>
            </w:pPr>
            <w:r>
              <w:t xml:space="preserve">Transaction</w:t>
            </w:r>
          </w:p>
        </w:tc>
        <w:tc>
          <w:tcPr/>
          <w:p>
            <w:pPr>
              <w:pStyle w:val="Compact"/>
              <w:jc w:val="left"/>
            </w:pPr>
            <w:r>
              <w:t xml:space="preserve">MEDIUM</w:t>
            </w:r>
          </w:p>
        </w:tc>
        <w:tc>
          <w:tcPr/>
          <w:p>
            <w:pPr>
              <w:pStyle w:val="Compact"/>
              <w:jc w:val="left"/>
            </w:pPr>
            <w:r>
              <w:t xml:space="preserve">$2.625M at closing</w:t>
            </w:r>
          </w:p>
        </w:tc>
      </w:tr>
      <w:tr>
        <w:tc>
          <w:tcPr/>
          <w:p>
            <w:pPr>
              <w:pStyle w:val="Compact"/>
              <w:jc w:val="left"/>
            </w:pPr>
            <w:r>
              <w:t xml:space="preserve">RF-22</w:t>
            </w:r>
          </w:p>
        </w:tc>
        <w:tc>
          <w:tcPr/>
          <w:p>
            <w:pPr>
              <w:pStyle w:val="Compact"/>
              <w:jc w:val="left"/>
            </w:pPr>
            <w:r>
              <w:t xml:space="preserve">Credit agreement mandatory prepayment</w:t>
            </w:r>
          </w:p>
        </w:tc>
        <w:tc>
          <w:tcPr/>
          <w:p>
            <w:pPr>
              <w:pStyle w:val="Compact"/>
              <w:jc w:val="left"/>
            </w:pPr>
            <w:r>
              <w:t xml:space="preserve">Transaction</w:t>
            </w:r>
          </w:p>
        </w:tc>
        <w:tc>
          <w:tcPr/>
          <w:p>
            <w:pPr>
              <w:pStyle w:val="Compact"/>
              <w:jc w:val="left"/>
            </w:pPr>
            <w:r>
              <w:t xml:space="preserve">HIGH</w:t>
            </w:r>
          </w:p>
        </w:tc>
        <w:tc>
          <w:tcPr/>
          <w:p>
            <w:pPr>
              <w:pStyle w:val="Compact"/>
              <w:jc w:val="left"/>
            </w:pPr>
            <w:r>
              <w:t xml:space="preserve">~$39.2M within 5 days</w:t>
            </w:r>
          </w:p>
        </w:tc>
      </w:tr>
    </w:tbl>
    <w:p>
      <w:r>
        <w:pict>
          <v:rect style="width:0;height:1.5pt" o:hralign="center" o:hrstd="t" o:hr="t"/>
        </w:pict>
      </w:r>
    </w:p>
    <w:bookmarkEnd w:id="52"/>
    <w:bookmarkStart w:id="53" w:name="x.-recommended-next-steps"/>
    <w:p>
      <w:pPr>
        <w:pStyle w:val="Heading2"/>
      </w:pPr>
      <w:r>
        <w:t xml:space="preserve">X. RECOMMENDED NEXT STEPS</w:t>
      </w:r>
    </w:p>
    <w:p>
      <w:pPr>
        <w:pStyle w:val="Compact"/>
        <w:numPr>
          <w:ilvl w:val="0"/>
          <w:numId w:val="1003"/>
        </w:numPr>
      </w:pPr>
      <w:r>
        <w:rPr>
          <w:b/>
          <w:bCs/>
        </w:rPr>
        <w:t xml:space="preserve">Immediately</w:t>
      </w:r>
      <w:r>
        <w:t xml:space="preserve"> </w:t>
      </w:r>
      <w:r>
        <w:t xml:space="preserve">commission an updated Phase II ESA at the Grand Junction facility and a vapor intrusion assessment of the vehicle maintenance building.</w:t>
      </w:r>
    </w:p>
    <w:p>
      <w:pPr>
        <w:pStyle w:val="Compact"/>
        <w:numPr>
          <w:ilvl w:val="0"/>
          <w:numId w:val="1003"/>
        </w:numPr>
      </w:pPr>
      <w:r>
        <w:rPr>
          <w:b/>
          <w:bCs/>
        </w:rPr>
        <w:t xml:space="preserve">Before SPA execution</w:t>
      </w:r>
      <w:r>
        <w:t xml:space="preserve">, obtain a written position from the DOE Contracting Officer on the IDIQ ceiling modification and novation requirements.</w:t>
      </w:r>
    </w:p>
    <w:p>
      <w:pPr>
        <w:pStyle w:val="Compact"/>
        <w:numPr>
          <w:ilvl w:val="0"/>
          <w:numId w:val="1003"/>
        </w:numPr>
      </w:pPr>
      <w:r>
        <w:rPr>
          <w:b/>
          <w:bCs/>
        </w:rPr>
        <w:t xml:space="preserve">Before SPA execution</w:t>
      </w:r>
      <w:r>
        <w:t xml:space="preserve">, obtain written landlord consent from Wasatch Industrial Properties, LLC for both the existing Pinnacle-to-RES assignment and the proposed Sycamore acquisition.</w:t>
      </w:r>
    </w:p>
    <w:p>
      <w:pPr>
        <w:pStyle w:val="Compact"/>
        <w:numPr>
          <w:ilvl w:val="0"/>
          <w:numId w:val="1003"/>
        </w:numPr>
      </w:pPr>
      <w:r>
        <w:rPr>
          <w:b/>
          <w:bCs/>
        </w:rPr>
        <w:t xml:space="preserve">Before SPA execution</w:t>
      </w:r>
      <w:r>
        <w:t xml:space="preserve">, resolve the $1.0M EBITDA discrepancy with Bridgewater Forsyth Group and obtain a certified, reconciled EBITDA bridge.</w:t>
      </w:r>
    </w:p>
    <w:p>
      <w:pPr>
        <w:pStyle w:val="Compact"/>
        <w:numPr>
          <w:ilvl w:val="0"/>
          <w:numId w:val="1003"/>
        </w:numPr>
      </w:pPr>
      <w:r>
        <w:rPr>
          <w:b/>
          <w:bCs/>
        </w:rPr>
        <w:t xml:space="preserve">Negotiate</w:t>
      </w:r>
      <w:r>
        <w:t xml:space="preserve"> </w:t>
      </w:r>
      <w:r>
        <w:t xml:space="preserve">a specific environmental indemnification escrow (separate from the general 10% holdback) sized to cover: (a) CDPHE penalty exposure ($1.16M), (b) updated Grand Junction remediation estimate, and (c) asbestos tail exposure.</w:t>
      </w:r>
    </w:p>
    <w:p>
      <w:pPr>
        <w:pStyle w:val="Compact"/>
        <w:numPr>
          <w:ilvl w:val="0"/>
          <w:numId w:val="1003"/>
        </w:numPr>
      </w:pPr>
      <w:r>
        <w:rPr>
          <w:b/>
          <w:bCs/>
        </w:rPr>
        <w:t xml:space="preserve">Negotiate</w:t>
      </w:r>
      <w:r>
        <w:t xml:space="preserve"> </w:t>
      </w:r>
      <w:r>
        <w:t xml:space="preserve">purchase price adjustments to reflect: (a) elimination of the $1.2M litigation receipt add-back, (b) elimination or reduction of the owner compensation normalization if founders remain at current salaries, and (c) incremental CapEx requirements from the fleet replacement backlog.</w:t>
      </w:r>
    </w:p>
    <w:p>
      <w:pPr>
        <w:pStyle w:val="Compact"/>
        <w:numPr>
          <w:ilvl w:val="0"/>
          <w:numId w:val="1003"/>
        </w:numPr>
      </w:pPr>
      <w:r>
        <w:rPr>
          <w:b/>
          <w:bCs/>
        </w:rPr>
        <w:t xml:space="preserve">Arrange</w:t>
      </w:r>
      <w:r>
        <w:t xml:space="preserve"> </w:t>
      </w:r>
      <w:r>
        <w:t xml:space="preserve">acquisition financing that includes full payoff of the High Plains National Bank credit facility at closing, including the prepayment premium.</w:t>
      </w:r>
    </w:p>
    <w:p>
      <w:pPr>
        <w:pStyle w:val="Compact"/>
        <w:numPr>
          <w:ilvl w:val="0"/>
          <w:numId w:val="1003"/>
        </w:numPr>
      </w:pPr>
      <w:r>
        <w:rPr>
          <w:b/>
          <w:bCs/>
        </w:rPr>
        <w:t xml:space="preserve">Obtain</w:t>
      </w:r>
      <w:r>
        <w:t xml:space="preserve"> </w:t>
      </w:r>
      <w:r>
        <w:t xml:space="preserve">estoppel certificates or consent letters from all customers with change-of-control provisions, with priority on DOE, Intermountain Health Systems, and Rocky Mountain Pipeline Systems.</w:t>
      </w:r>
    </w:p>
    <w:p>
      <w:pPr>
        <w:pStyle w:val="Compact"/>
        <w:numPr>
          <w:ilvl w:val="0"/>
          <w:numId w:val="1003"/>
        </w:numPr>
      </w:pPr>
      <w:r>
        <w:rPr>
          <w:b/>
          <w:bCs/>
        </w:rPr>
        <w:t xml:space="preserve">Assess</w:t>
      </w:r>
      <w:r>
        <w:t xml:space="preserve"> </w:t>
      </w:r>
      <w:r>
        <w:t xml:space="preserve">the NLRB petition status and develop a labor relations strategy for the post-closing period.</w:t>
      </w:r>
    </w:p>
    <w:p>
      <w:pPr>
        <w:pStyle w:val="Compact"/>
        <w:numPr>
          <w:ilvl w:val="0"/>
          <w:numId w:val="1003"/>
        </w:numPr>
      </w:pPr>
      <w:r>
        <w:rPr>
          <w:b/>
          <w:bCs/>
        </w:rPr>
        <w:t xml:space="preserve">Confirm</w:t>
      </w:r>
      <w:r>
        <w:t xml:space="preserve"> </w:t>
      </w:r>
      <w:r>
        <w:t xml:space="preserve">treatment of the $2.625M single-trigger severance in the purchase price mechanism and consider renegotiating to double-trigger.</w:t>
      </w:r>
    </w:p>
    <w:p>
      <w:r>
        <w:pict>
          <v:rect style="width:0;height:1.5pt" o:hralign="center" o:hrstd="t" o:hr="t"/>
        </w:pict>
      </w:r>
    </w:p>
    <w:p>
      <w:pPr>
        <w:pStyle w:val="FirstParagraph"/>
      </w:pPr>
      <w:r>
        <w:rPr>
          <w:i/>
          <w:iCs/>
        </w:rPr>
        <w:t xml:space="preserve">This memorandum is prepared solely for the internal use of Sycamore Capital Partners, LP and its advisors in connection with the evaluation of the proposed acquisition of Ridgeline Environmental Services, Inc. It is based on information available in the Project Ridgeline data room as of December 2024 and does not constitute legal, financial, tax, or environmental advice. Recipients should consult qualified advisors in each relevant discipline before making any investment decision.</w:t>
      </w:r>
    </w:p>
    <w:p>
      <w:r>
        <w:pict>
          <v:rect style="width:0;height:1.5pt" o:hralign="center" o:hrstd="t" o:hr="t"/>
        </w:pict>
      </w:r>
    </w:p>
    <w:p>
      <w:pPr>
        <w:pStyle w:val="FirstParagraph"/>
      </w:pPr>
      <w:r>
        <w:rPr>
          <w:b/>
          <w:bCs/>
        </w:rPr>
        <w:t xml:space="preserve">END OF MEMORANDUM</w:t>
      </w:r>
    </w:p>
    <w:bookmarkEnd w:id="53"/>
    <w:bookmarkEnd w:id="5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2026-08-24T23:21:10Z</dcterms:created>
  <dcterms:modified xsi:type="dcterms:W3CDTF">2026-08-24T23:21:10Z</dcterms:modified>
</cp:coreProperties>
</file>

<file path=docProps/custom.xml><?xml version="1.0" encoding="utf-8"?>
<Properties xmlns="http://schemas.openxmlformats.org/officeDocument/2006/custom-properties" xmlns:vt="http://schemas.openxmlformats.org/officeDocument/2006/docPropsVTypes"/>
</file>