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38" w:name="due-diligence-red-flag-memorandum"/>
    <w:p>
      <w:pPr>
        <w:pStyle w:val="Heading1"/>
      </w:pPr>
      <w:r>
        <w:t xml:space="preserve">Due Diligence Red Flag Memorandum</w:t>
      </w:r>
    </w:p>
    <w:p>
      <w:pPr>
        <w:pStyle w:val="FirstParagraph"/>
      </w:pPr>
      <w:r>
        <w:rPr>
          <w:b/>
          <w:bCs/>
        </w:rPr>
        <w:t xml:space="preserve">Project Ridgeline — Ridgeline Environmental Services, Inc.</w:t>
      </w:r>
    </w:p>
    <w:p>
      <w:pPr>
        <w:pStyle w:val="BodyText"/>
      </w:pPr>
      <w:r>
        <w:rPr>
          <w:b/>
          <w:bCs/>
        </w:rPr>
        <w:t xml:space="preserve">Prepared for:</w:t>
      </w:r>
      <w:r>
        <w:t xml:space="preserve"> </w:t>
      </w:r>
      <w:r>
        <w:t xml:space="preserve">Sycamore Capital Partners, LP Deal Team</w:t>
      </w:r>
    </w:p>
    <w:p>
      <w:pPr>
        <w:pStyle w:val="BodyText"/>
      </w:pPr>
      <w:r>
        <w:rPr>
          <w:b/>
          <w:bCs/>
        </w:rPr>
        <w:t xml:space="preserve">Prepared by:</w:t>
      </w:r>
      <w:r>
        <w:t xml:space="preserve"> </w:t>
      </w:r>
      <w:r>
        <w:t xml:space="preserve">Diligence Advisory Team</w:t>
      </w:r>
    </w:p>
    <w:p>
      <w:pPr>
        <w:pStyle w:val="BodyText"/>
      </w:pPr>
      <w:r>
        <w:rPr>
          <w:b/>
          <w:bCs/>
        </w:rPr>
        <w:t xml:space="preserve">Date:</w:t>
      </w:r>
      <w:r>
        <w:t xml:space="preserve"> </w:t>
      </w:r>
      <w:r>
        <w:t xml:space="preserve">December 2024</w:t>
      </w:r>
    </w:p>
    <w:p>
      <w:pPr>
        <w:pStyle w:val="BodyText"/>
      </w:pPr>
      <w:r>
        <w:rPr>
          <w:b/>
          <w:bCs/>
        </w:rPr>
        <w:t xml:space="preserve">Subject:</w:t>
      </w:r>
      <w:r>
        <w:t xml:space="preserve"> </w:t>
      </w:r>
      <w:r>
        <w:t xml:space="preserve">Summary of Material Red Flags Identified in Data Room Review</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material red flags and diligence concerns identified through review of the Project Ridgeline data room, including the Confidential Information Memorandum, Quality of Earnings data package, Litigation and Regulatory Summary, Real Property and Lease Schedule, Phase II Environmental Site Assessment, Credit Agreement Summary, Customer Contract Summary, Employment Agreements Summary, Environmental Permit Schedule, Insurance Program Summary, and Employee Benefits Summary.</w:t>
      </w:r>
    </w:p>
    <w:p>
      <w:pPr>
        <w:pStyle w:val="BodyText"/>
      </w:pPr>
      <w:r>
        <w:t xml:space="preserve">Thirteen discrete red flag categories have been identified, spanning financial quality of earnings, environmental liability, regulatory compliance, customer concentration and contract risk, real property, debt structure, human capital, and insurance. Several of these issues are individually material and, in combination, represent a meaningful risk to the proposed enterprise value of $182–$205 million (8.0x–9.0x Adjusted EBITDA of $22.8M).</w:t>
      </w:r>
    </w:p>
    <w:p>
      <w:pPr>
        <w:pStyle w:val="BodyText"/>
      </w:pPr>
      <w:r>
        <w:rPr>
          <w:b/>
          <w:bCs/>
        </w:rPr>
        <w:t xml:space="preserve">Buyer’s counsel and advisors should prioritize the following critical issues before proceeding to a definitive agreement:</w:t>
      </w:r>
    </w:p>
    <w:p>
      <w:pPr>
        <w:pStyle w:val="Compact"/>
        <w:numPr>
          <w:ilvl w:val="0"/>
          <w:numId w:val="1001"/>
        </w:numPr>
      </w:pPr>
      <w:r>
        <w:t xml:space="preserve">The DOE IDIQ contract ceiling is projected to be exhausted by April–May 2025, creating a potential $12.1M revenue headwind in FY2025 — the first full year of ownership.</w:t>
      </w:r>
    </w:p>
    <w:p>
      <w:pPr>
        <w:pStyle w:val="Compact"/>
        <w:numPr>
          <w:ilvl w:val="0"/>
          <w:numId w:val="1001"/>
        </w:numPr>
      </w:pPr>
      <w:r>
        <w:t xml:space="preserve">The QofE-prepared EBITDA bridge shows $23.8M Adjusted EBITDA versus the CIM’s stated $22.8M — a $1.0M unexplained discrepancy that management has not resolved.</w:t>
      </w:r>
    </w:p>
    <w:p>
      <w:pPr>
        <w:pStyle w:val="Compact"/>
        <w:numPr>
          <w:ilvl w:val="0"/>
          <w:numId w:val="1001"/>
        </w:numPr>
      </w:pPr>
      <w:r>
        <w:t xml:space="preserve">The Salt Lake City transfer station lease and operating permit remain in the name of Pinnacle Waste Solutions, LLC, with no landlord consent to the 2022 assignment and a second change-of-control event (the proposed acquisition) now layering on top.</w:t>
      </w:r>
    </w:p>
    <w:p>
      <w:pPr>
        <w:pStyle w:val="Compact"/>
        <w:numPr>
          <w:ilvl w:val="0"/>
          <w:numId w:val="1001"/>
        </w:numPr>
      </w:pPr>
      <w:r>
        <w:t xml:space="preserve">The Grand Junction Phase II ESA is five years stale, vapor intrusion at the maintenance building has never been assessed, and the $1.8–$2.6M remediation estimate excludes off-site migration and vapor intrusion costs.</w:t>
      </w:r>
    </w:p>
    <w:p>
      <w:pPr>
        <w:pStyle w:val="Compact"/>
        <w:numPr>
          <w:ilvl w:val="0"/>
          <w:numId w:val="1001"/>
        </w:numPr>
      </w:pPr>
      <w:r>
        <w:t xml:space="preserve">An NLRB union election petition covering 62 Grand Junction and Casper field technicians was filed November 4, 2024 — disclosed only in a footnote to the Employee Benefits Summary.</w:t>
      </w:r>
    </w:p>
    <w:p>
      <w:r>
        <w:pict>
          <v:rect style="width:0;height:1.5pt" o:hralign="center" o:hrstd="t" o:hr="t"/>
        </w:pict>
      </w:r>
    </w:p>
    <w:bookmarkEnd w:id="21"/>
    <w:bookmarkStart w:id="35" w:name="ii.-red-flag-detail"/>
    <w:p>
      <w:pPr>
        <w:pStyle w:val="Heading2"/>
      </w:pPr>
      <w:r>
        <w:t xml:space="preserve">II. Red Flag Detail</w:t>
      </w:r>
    </w:p>
    <w:bookmarkStart w:id="22" w:name="X9dae39918256e5b67267587b8e025740090b09e"/>
    <w:p>
      <w:pPr>
        <w:pStyle w:val="Heading3"/>
      </w:pPr>
      <w:r>
        <w:t xml:space="preserve">RF-01 | EBITDA Quality — Unexplained $1.0M Discrepancy Between CIM and QofE Bridge</w:t>
      </w:r>
    </w:p>
    <w:p>
      <w:pPr>
        <w:pStyle w:val="FirstParagraph"/>
      </w:pPr>
      <w:r>
        <w:rPr>
          <w:b/>
          <w:bCs/>
        </w:rPr>
        <w:t xml:space="preserve">Severity: HIGH</w:t>
      </w:r>
    </w:p>
    <w:p>
      <w:pPr>
        <w:pStyle w:val="BodyText"/>
      </w:pPr>
      <w:r>
        <w:rPr>
          <w:b/>
          <w:bCs/>
        </w:rPr>
        <w:t xml:space="preserve">Source Documents:</w:t>
      </w:r>
      <w:r>
        <w:t xml:space="preserve"> </w:t>
      </w:r>
      <w:r>
        <w:t xml:space="preserve">CIM (Section VI.B); QofE Data Request Response — EBITDA Bridge &amp; Adjustments Tab</w:t>
      </w:r>
    </w:p>
    <w:p>
      <w:pPr>
        <w:pStyle w:val="BodyText"/>
      </w:pPr>
      <w:r>
        <w:t xml:space="preserve">The CIM presents FY2024 Adjusted EBITDA of</w:t>
      </w:r>
      <w:r>
        <w:t xml:space="preserve"> </w:t>
      </w:r>
      <w:r>
        <w:rPr>
          <w:b/>
          <w:bCs/>
        </w:rPr>
        <w:t xml:space="preserve">$22.8M</w:t>
      </w:r>
      <w:r>
        <w:t xml:space="preserve">. The QofE data package prepared by Bridgewater Forsyth Group calculates Adjusted EBITDA of</w:t>
      </w:r>
      <w:r>
        <w:t xml:space="preserve"> </w:t>
      </w:r>
      <w:r>
        <w:rPr>
          <w:b/>
          <w:bCs/>
        </w:rPr>
        <w:t xml:space="preserve">$23.8M</w:t>
      </w:r>
      <w:r>
        <w:t xml:space="preserve"> </w:t>
      </w:r>
      <w:r>
        <w:t xml:space="preserve">— a $1.0M difference. The QofE package itself flags this discrepancy and states that</w:t>
      </w:r>
      <w:r>
        <w:t xml:space="preserve"> </w:t>
      </w:r>
      <w:r>
        <w:t xml:space="preserve">“</w:t>
      </w:r>
      <w:r>
        <w:t xml:space="preserve">management intends to reconcile the difference and will provide an updated schedule</w:t>
      </w:r>
      <w:r>
        <w:t xml:space="preserve">”</w:t>
      </w:r>
      <w:r>
        <w:t xml:space="preserve"> </w:t>
      </w:r>
      <w:r>
        <w:t xml:space="preserve">but that</w:t>
      </w:r>
      <w:r>
        <w:t xml:space="preserve"> </w:t>
      </w:r>
      <w:r>
        <w:t xml:space="preserve">“</w:t>
      </w:r>
      <w:r>
        <w:t xml:space="preserve">the specific adjustment category causing the discrepancy has not been identified.</w:t>
      </w:r>
      <w:r>
        <w:t xml:space="preserve">”</w:t>
      </w:r>
      <w:r>
        <w:t xml:space="preserve"> </w:t>
      </w:r>
      <w:r>
        <w:t xml:space="preserve">This is a significant quality-of-earnings concern: the valuation anchor for the entire transaction has not been reconciled between the seller’s marketing document and the seller’s own QofE response. At the midpoint multiple of 8.5x, a $1.0M EBITDA difference implies an $8.5M enterprise value swing.</w:t>
      </w:r>
    </w:p>
    <w:p>
      <w:pPr>
        <w:pStyle w:val="BodyText"/>
      </w:pPr>
      <w:r>
        <w:rPr>
          <w:b/>
          <w:bCs/>
        </w:rPr>
        <w:t xml:space="preserve">Additional EBITDA Concerns:</w:t>
      </w:r>
    </w:p>
    <w:p>
      <w:pPr>
        <w:pStyle w:val="Compact"/>
        <w:numPr>
          <w:ilvl w:val="0"/>
          <w:numId w:val="1002"/>
        </w:numPr>
      </w:pPr>
      <w:r>
        <w:t xml:space="preserve">The CIM’s reported EBITDA starting point is $18.4M, but the QofE Historical P&amp;L tab shows a calculated reported EBITDA of $26.0M (adding D&amp;A back to EBIT). Management presents EBITDA</w:t>
      </w:r>
      <w:r>
        <w:t xml:space="preserve"> </w:t>
      </w:r>
      <w:r>
        <w:t xml:space="preserve">“</w:t>
      </w:r>
      <w:r>
        <w:t xml:space="preserve">excluding D&amp;A add-back differently,</w:t>
      </w:r>
      <w:r>
        <w:t xml:space="preserve">”</w:t>
      </w:r>
      <w:r>
        <w:t xml:space="preserve"> </w:t>
      </w:r>
      <w:r>
        <w:t xml:space="preserve">suggesting non-standard EBITDA presentation.</w:t>
      </w:r>
    </w:p>
    <w:p>
      <w:pPr>
        <w:pStyle w:val="Compact"/>
        <w:numPr>
          <w:ilvl w:val="0"/>
          <w:numId w:val="1002"/>
        </w:numPr>
      </w:pPr>
      <w:r>
        <w:t xml:space="preserve">The $4.4M–$5.4M adjustment stack includes items of questionable non-recurrence: (a) Pinnacle acquisition integration costs of $800K are being added back in FY2024, two-plus years post-close; (b) asbestos abatement wind-down costs of $1.8M span FY2023 and FY2024, suggesting the</w:t>
      </w:r>
      <w:r>
        <w:t xml:space="preserve"> </w:t>
      </w:r>
      <w:r>
        <w:t xml:space="preserve">“</w:t>
      </w:r>
      <w:r>
        <w:t xml:space="preserve">one-time</w:t>
      </w:r>
      <w:r>
        <w:t xml:space="preserve">”</w:t>
      </w:r>
      <w:r>
        <w:t xml:space="preserve"> </w:t>
      </w:r>
      <w:r>
        <w:t xml:space="preserve">characterization is aggressive; (c) ERP implementation costs of $650K are described as complete, but the QofE notes</w:t>
      </w:r>
      <w:r>
        <w:t xml:space="preserve"> </w:t>
      </w:r>
      <w:r>
        <w:t xml:space="preserve">“</w:t>
      </w:r>
      <w:r>
        <w:t xml:space="preserve">Phase 2 expected to be completed Q2 FY2025,</w:t>
      </w:r>
      <w:r>
        <w:t xml:space="preserve">”</w:t>
      </w:r>
      <w:r>
        <w:t xml:space="preserve"> </w:t>
      </w:r>
      <w:r>
        <w:t xml:space="preserve">indicating further costs are likely.</w:t>
      </w:r>
    </w:p>
    <w:p>
      <w:pPr>
        <w:pStyle w:val="Compact"/>
        <w:numPr>
          <w:ilvl w:val="0"/>
          <w:numId w:val="1002"/>
        </w:numPr>
      </w:pPr>
      <w:r>
        <w:t xml:space="preserve">The owner compensation normalization add-back of $950K assumes market-rate CEO/COO salaries of $400K each. Post-closing, the Calloway brothers will receive $1.3125M each in single-trigger change-of-control severance, and any replacement executives will command market-rate salaries — the net economics of this adjustment require careful modeling.</w:t>
      </w:r>
    </w:p>
    <w:p>
      <w:pPr>
        <w:pStyle w:val="Compact"/>
        <w:numPr>
          <w:ilvl w:val="0"/>
          <w:numId w:val="1002"/>
        </w:numPr>
      </w:pPr>
      <w:r>
        <w:t xml:space="preserve">The bank’s Consolidated EBITDA definition (per the Credit Agreement) permits only $500K of non-recurring add-backs, yielding a bank EBITDA of approximately $18.4M — $4.4M below management’s adjusted figure. This is relevant to covenant compliance analysis and to any buyer leverage model.</w:t>
      </w:r>
    </w:p>
    <w:p>
      <w:pPr>
        <w:pStyle w:val="FirstParagraph"/>
      </w:pPr>
      <w:r>
        <w:rPr>
          <w:b/>
          <w:bCs/>
        </w:rPr>
        <w:t xml:space="preserve">Action Required:</w:t>
      </w:r>
      <w:r>
        <w:t xml:space="preserve"> </w:t>
      </w:r>
      <w:r>
        <w:t xml:space="preserve">Demand a fully reconciled, line-by-line EBITDA bridge signed by the CFO before proceeding. Independently validate each add-back category. Assess whether ERP Phase 2 costs should be treated as a recurring capital/expense item.</w:t>
      </w:r>
    </w:p>
    <w:p>
      <w:r>
        <w:pict>
          <v:rect style="width:0;height:1.5pt" o:hralign="center" o:hrstd="t" o:hr="t"/>
        </w:pict>
      </w:r>
    </w:p>
    <w:bookmarkEnd w:id="22"/>
    <w:bookmarkStart w:id="23" w:name="Xd51aa8379fdb8727ea72abb6d8f19e9476b7b38"/>
    <w:p>
      <w:pPr>
        <w:pStyle w:val="Heading3"/>
      </w:pPr>
      <w:r>
        <w:t xml:space="preserve">RF-02 | DOE IDIQ Contract — Ceiling Exhaustion Risk Creates ~$12.1M FY2025 Revenue Headwind</w:t>
      </w:r>
    </w:p>
    <w:p>
      <w:pPr>
        <w:pStyle w:val="FirstParagraph"/>
      </w:pPr>
      <w:r>
        <w:rPr>
          <w:b/>
          <w:bCs/>
        </w:rPr>
        <w:t xml:space="preserve">Severity: CRITICAL</w:t>
      </w:r>
    </w:p>
    <w:p>
      <w:pPr>
        <w:pStyle w:val="BodyText"/>
      </w:pPr>
      <w:r>
        <w:rPr>
          <w:b/>
          <w:bCs/>
        </w:rPr>
        <w:t xml:space="preserve">Source Documents:</w:t>
      </w:r>
      <w:r>
        <w:t xml:space="preserve"> </w:t>
      </w:r>
      <w:r>
        <w:t xml:space="preserve">Customer Contract Summary — DOE IDIQ Utilization Analysis Tab; CIM (Section VI.D)</w:t>
      </w:r>
    </w:p>
    <w:p>
      <w:pPr>
        <w:pStyle w:val="BodyText"/>
      </w:pPr>
      <w:r>
        <w:t xml:space="preserve">The U.S. Department of Energy IDIQ contract (No. DE-EM-0005523) is the Company’s single largest customer at</w:t>
      </w:r>
      <w:r>
        <w:t xml:space="preserve"> </w:t>
      </w:r>
      <w:r>
        <w:rPr>
          <w:b/>
          <w:bCs/>
        </w:rPr>
        <w:t xml:space="preserve">$24.4M, or 19.2% of TTM revenue</w:t>
      </w:r>
      <w:r>
        <w:t xml:space="preserve">. The contract has a $45.0M ceiling value and a five-year term through August 31, 2026. As of October 2024:</w:t>
      </w:r>
    </w:p>
    <w:p>
      <w:pPr>
        <w:pStyle w:val="Compact"/>
        <w:numPr>
          <w:ilvl w:val="0"/>
          <w:numId w:val="1003"/>
        </w:numPr>
      </w:pPr>
      <w:r>
        <w:rPr>
          <w:b/>
          <w:bCs/>
        </w:rPr>
        <w:t xml:space="preserve">$32.7M of the $45.0M ceiling has been consumed</w:t>
      </w:r>
      <w:r>
        <w:t xml:space="preserve"> </w:t>
      </w:r>
      <w:r>
        <w:t xml:space="preserve">(72.7% utilization) in 61.7% of the contract period.</w:t>
      </w:r>
    </w:p>
    <w:p>
      <w:pPr>
        <w:pStyle w:val="Compact"/>
        <w:numPr>
          <w:ilvl w:val="0"/>
          <w:numId w:val="1003"/>
        </w:numPr>
      </w:pPr>
      <w:r>
        <w:rPr>
          <w:b/>
          <w:bCs/>
        </w:rPr>
        <w:t xml:space="preserve">Only $12.3M of ceiling remains</w:t>
      </w:r>
      <w:r>
        <w:t xml:space="preserve"> </w:t>
      </w:r>
      <w:r>
        <w:t xml:space="preserve">for new task order issuance.</w:t>
      </w:r>
    </w:p>
    <w:p>
      <w:pPr>
        <w:pStyle w:val="Compact"/>
        <w:numPr>
          <w:ilvl w:val="0"/>
          <w:numId w:val="1003"/>
        </w:numPr>
      </w:pPr>
      <w:r>
        <w:t xml:space="preserve">At the current TTM run rate of ~$24.4M/year (~$2.03M/month), the remaining ceiling will be</w:t>
      </w:r>
      <w:r>
        <w:t xml:space="preserve"> </w:t>
      </w:r>
      <w:r>
        <w:rPr>
          <w:b/>
          <w:bCs/>
        </w:rPr>
        <w:t xml:space="preserve">exhausted by approximately April–May 2025</w:t>
      </w:r>
      <w:r>
        <w:t xml:space="preserve"> </w:t>
      </w:r>
      <w:r>
        <w:t xml:space="preserve">— coinciding with the target closing date.</w:t>
      </w:r>
    </w:p>
    <w:p>
      <w:pPr>
        <w:pStyle w:val="Compact"/>
        <w:numPr>
          <w:ilvl w:val="0"/>
          <w:numId w:val="1003"/>
        </w:numPr>
      </w:pPr>
      <w:r>
        <w:t xml:space="preserve">If the ceiling is not increased,</w:t>
      </w:r>
      <w:r>
        <w:t xml:space="preserve"> </w:t>
      </w:r>
      <w:r>
        <w:rPr>
          <w:b/>
          <w:bCs/>
        </w:rPr>
        <w:t xml:space="preserve">DOE revenue in FY2025 could fall from $24.4M to $12.3M or less</w:t>
      </w:r>
      <w:r>
        <w:t xml:space="preserve">, a revenue headwind of</w:t>
      </w:r>
      <w:r>
        <w:t xml:space="preserve"> </w:t>
      </w:r>
      <w:r>
        <w:rPr>
          <w:b/>
          <w:bCs/>
        </w:rPr>
        <w:t xml:space="preserve">~$12.1M (9.5% of total revenue)</w:t>
      </w:r>
      <w:r>
        <w:t xml:space="preserve">.</w:t>
      </w:r>
    </w:p>
    <w:p>
      <w:pPr>
        <w:pStyle w:val="Compact"/>
        <w:numPr>
          <w:ilvl w:val="0"/>
          <w:numId w:val="1003"/>
        </w:numPr>
      </w:pPr>
      <w:r>
        <w:t xml:space="preserve">The contract does not expire until August 31, 2026, leaving approximately 16 months of unfunded contract period.</w:t>
      </w:r>
    </w:p>
    <w:p>
      <w:pPr>
        <w:pStyle w:val="FirstParagraph"/>
      </w:pPr>
      <w:r>
        <w:t xml:space="preserve">The CIM presents the DOE relationship as providing</w:t>
      </w:r>
      <w:r>
        <w:t xml:space="preserve"> </w:t>
      </w:r>
      <w:r>
        <w:t xml:space="preserve">“</w:t>
      </w:r>
      <w:r>
        <w:t xml:space="preserve">substantial near-term revenue visibility</w:t>
      </w:r>
      <w:r>
        <w:t xml:space="preserve">”</w:t>
      </w:r>
      <w:r>
        <w:t xml:space="preserve"> </w:t>
      </w:r>
      <w:r>
        <w:t xml:space="preserve">— this characterization is materially misleading given the ceiling exhaustion trajectory. The CIM does not disclose the ceiling utilization issue.</w:t>
      </w:r>
    </w:p>
    <w:p>
      <w:pPr>
        <w:pStyle w:val="BodyText"/>
      </w:pPr>
      <w:r>
        <w:rPr>
          <w:b/>
          <w:bCs/>
        </w:rPr>
        <w:t xml:space="preserve">Additional DOE Contract Risk:</w:t>
      </w:r>
      <w:r>
        <w:t xml:space="preserve"> </w:t>
      </w:r>
      <w:r>
        <w:t xml:space="preserve">The contract is non-assignable without Contracting Officer consent per the Anti-Assignment Act (41 U.S.C. § 6305) and FAR 42.12. While a stock acquisition may not technically constitute an assignment, the contract’s Special Contract Requirements (Clause H-12) require written notification to the Contracting Officer within 30 days of any change in ownership. Failure to notify may be grounds for termination for default. A novation agreement may be required.</w:t>
      </w:r>
    </w:p>
    <w:p>
      <w:pPr>
        <w:pStyle w:val="BodyText"/>
      </w:pPr>
      <w:r>
        <w:rPr>
          <w:b/>
          <w:bCs/>
        </w:rPr>
        <w:t xml:space="preserve">Action Required:</w:t>
      </w:r>
      <w:r>
        <w:t xml:space="preserve"> </w:t>
      </w:r>
      <w:r>
        <w:t xml:space="preserve">Immediately engage with the DOE Contracting Officer to (a) confirm whether a ceiling modification or new contract award is anticipated, (b) assess novation requirements, and (c) obtain written confirmation of the contract’s status post-closing. Model FY2025 and FY2026 revenue scenarios assuming no ceiling increase. Adjust enterprise value accordingly.</w:t>
      </w:r>
    </w:p>
    <w:p>
      <w:r>
        <w:pict>
          <v:rect style="width:0;height:1.5pt" o:hralign="center" o:hrstd="t" o:hr="t"/>
        </w:pict>
      </w:r>
    </w:p>
    <w:bookmarkEnd w:id="23"/>
    <w:bookmarkStart w:id="24" w:name="X263dd8486893eb1381dacdb82a59227b576f199"/>
    <w:p>
      <w:pPr>
        <w:pStyle w:val="Heading3"/>
      </w:pPr>
      <w:r>
        <w:t xml:space="preserve">RF-03 | Salt Lake City Facility — Dual Unresolved Assignment Issues (Lease and Permit)</w:t>
      </w:r>
    </w:p>
    <w:p>
      <w:pPr>
        <w:pStyle w:val="FirstParagraph"/>
      </w:pPr>
      <w:r>
        <w:rPr>
          <w:b/>
          <w:bCs/>
        </w:rPr>
        <w:t xml:space="preserve">Severity: CRITICAL</w:t>
      </w:r>
    </w:p>
    <w:p>
      <w:pPr>
        <w:pStyle w:val="BodyText"/>
      </w:pPr>
      <w:r>
        <w:rPr>
          <w:b/>
          <w:bCs/>
        </w:rPr>
        <w:t xml:space="preserve">Source Documents:</w:t>
      </w:r>
      <w:r>
        <w:t xml:space="preserve"> </w:t>
      </w:r>
      <w:r>
        <w:t xml:space="preserve">Real Property and Lease Schedule (Sections 4.1, 6); Environmental Permit Schedule (Section 2.2); Customer Contract Summary (Customer Concentration Summary Tab)</w:t>
      </w:r>
    </w:p>
    <w:p>
      <w:pPr>
        <w:pStyle w:val="BodyText"/>
      </w:pPr>
      <w:r>
        <w:t xml:space="preserve">The Salt Lake City transfer station at 2100 West North Temple is one of the Company’s most operationally significant facilities, serving approximately</w:t>
      </w:r>
      <w:r>
        <w:t xml:space="preserve"> </w:t>
      </w:r>
      <w:r>
        <w:rPr>
          <w:b/>
          <w:bCs/>
        </w:rPr>
        <w:t xml:space="preserve">$16.2M of annual revenue (12.7% of total)</w:t>
      </w:r>
      <w:r>
        <w:t xml:space="preserve"> </w:t>
      </w:r>
      <w:r>
        <w:t xml:space="preserve">from customers including Wasatch Front Petroleum ($6.4M), Silver Creek Mining ($5.8M), Utah DEQ ($4.6M), Summit County ($2.9M), and others.</w:t>
      </w:r>
    </w:p>
    <w:p>
      <w:pPr>
        <w:pStyle w:val="BodyText"/>
      </w:pPr>
      <w:r>
        <w:rPr>
          <w:b/>
          <w:bCs/>
        </w:rPr>
        <w:t xml:space="preserve">Lease Assignment Issue:</w:t>
      </w:r>
      <w:r>
        <w:t xml:space="preserve"> </w:t>
      </w:r>
      <w:r>
        <w:t xml:space="preserve">The facility lease was executed by Pinnacle Waste Solutions, LLC in 2019. Following RES’s acquisition of Pinnacle in March 2022, RES submitted a consent-to-assignment request to landlord Wasatch Industrial Properties, LLC on April 12, 2022.</w:t>
      </w:r>
      <w:r>
        <w:t xml:space="preserve"> </w:t>
      </w:r>
      <w:r>
        <w:rPr>
          <w:b/>
          <w:bCs/>
        </w:rPr>
        <w:t xml:space="preserve">As of December 2024 — nearly three years later — the landlord has not provided written consent.</w:t>
      </w:r>
      <w:r>
        <w:t xml:space="preserve"> </w:t>
      </w:r>
      <w:r>
        <w:t xml:space="preserve">The lease contains an explicit change-of-control provision requiring landlord consent for any change of control of the tenant. The proposed Sycamore acquisition would constitute a second change-of-control event layered on top of the unresolved first assignment. The landlord sent a lease compliance inquiry in November 2024 specifically referencing the consent-to-assignment clause, suggesting the landlord is aware of and focused on this issue.</w:t>
      </w:r>
    </w:p>
    <w:p>
      <w:pPr>
        <w:pStyle w:val="BodyText"/>
      </w:pPr>
      <w:r>
        <w:rPr>
          <w:b/>
          <w:bCs/>
        </w:rPr>
        <w:t xml:space="preserve">Permit Transfer Issue:</w:t>
      </w:r>
      <w:r>
        <w:t xml:space="preserve"> </w:t>
      </w:r>
      <w:r>
        <w:t xml:space="preserve">Utah hazardous waste transfer station permit UTH-0441 remains in the name of Pinnacle Waste Solutions, LLC. The transfer application to RES has been pending since 2022 and has not been completed. Under Utah Administrative Code R315-3, permit modifications reflecting changes in ownership require Division approval before becoming effective. The facility is currently operating under Pinnacle’s permit, which may not be technically authorized given that Pinnacle is dormant.</w:t>
      </w:r>
    </w:p>
    <w:p>
      <w:pPr>
        <w:pStyle w:val="BodyText"/>
      </w:pPr>
      <w:r>
        <w:rPr>
          <w:b/>
          <w:bCs/>
        </w:rPr>
        <w:t xml:space="preserve">Compounding Risk:</w:t>
      </w:r>
      <w:r>
        <w:t xml:space="preserve"> </w:t>
      </w:r>
      <w:r>
        <w:t xml:space="preserve">The proposed acquisition would trigger a second change-of-control event under the lease before the first has been resolved. The landlord could assert a pre-existing default and seek to terminate the lease, which would disrupt $16.2M of annual revenue and potentially jeopardize the Utah hazardous waste permit.</w:t>
      </w:r>
    </w:p>
    <w:p>
      <w:pPr>
        <w:pStyle w:val="BodyText"/>
      </w:pPr>
      <w:r>
        <w:rPr>
          <w:b/>
          <w:bCs/>
        </w:rPr>
        <w:t xml:space="preserve">Action Required:</w:t>
      </w:r>
      <w:r>
        <w:t xml:space="preserve"> </w:t>
      </w:r>
      <w:r>
        <w:t xml:space="preserve">Obtain landlord consent to the existing Pinnacle-to-RES assignment and to the proposed Sycamore acquisition as a condition to closing. Accelerate the Utah permit transfer to RES. Consider whether the Pinnacle entity should be maintained or dissolved, and the implications for the permit. Evaluate whether the SLC facility disruption risk warrants a specific indemnification escrow or purchase price reduction.</w:t>
      </w:r>
    </w:p>
    <w:p>
      <w:r>
        <w:pict>
          <v:rect style="width:0;height:1.5pt" o:hralign="center" o:hrstd="t" o:hr="t"/>
        </w:pict>
      </w:r>
    </w:p>
    <w:bookmarkEnd w:id="24"/>
    <w:bookmarkStart w:id="25" w:name="X2fda10c0b9655eca729bfbb9e7e1926aac03924"/>
    <w:p>
      <w:pPr>
        <w:pStyle w:val="Heading3"/>
      </w:pPr>
      <w:r>
        <w:t xml:space="preserve">RF-04 | Environmental Liability — Stale Phase II ESA, Unassessed Vapor Intrusion, and Uncapped Remediation Cost</w:t>
      </w:r>
    </w:p>
    <w:p>
      <w:pPr>
        <w:pStyle w:val="FirstParagraph"/>
      </w:pPr>
      <w:r>
        <w:rPr>
          <w:b/>
          <w:bCs/>
        </w:rPr>
        <w:t xml:space="preserve">Severity: HIGH</w:t>
      </w:r>
    </w:p>
    <w:p>
      <w:pPr>
        <w:pStyle w:val="BodyText"/>
      </w:pPr>
      <w:r>
        <w:rPr>
          <w:b/>
          <w:bCs/>
        </w:rPr>
        <w:t xml:space="preserve">Source Documents:</w:t>
      </w:r>
      <w:r>
        <w:t xml:space="preserve"> </w:t>
      </w:r>
      <w:r>
        <w:t xml:space="preserve">Phase II ESA Executive Summary (Elkhorn Environmental Consultants, June 2019); Litigation and Regulatory Summary (Section VI.A); Real Property and Lease Schedule (Section 2.1); Insurance Program Summary (Section 4)</w:t>
      </w:r>
    </w:p>
    <w:p>
      <w:pPr>
        <w:pStyle w:val="BodyText"/>
      </w:pPr>
      <w:r>
        <w:t xml:space="preserve">The Grand Junction headquarters property has documented soil and groundwater contamination from pre-acquisition operations:</w:t>
      </w:r>
    </w:p>
    <w:p>
      <w:pPr>
        <w:pStyle w:val="Compact"/>
        <w:numPr>
          <w:ilvl w:val="0"/>
          <w:numId w:val="1004"/>
        </w:numPr>
      </w:pPr>
      <w:r>
        <w:rPr>
          <w:b/>
          <w:bCs/>
        </w:rPr>
        <w:t xml:space="preserve">Area 1 (Former UST Area):</w:t>
      </w:r>
      <w:r>
        <w:t xml:space="preserve"> </w:t>
      </w:r>
      <w:r>
        <w:t xml:space="preserve">Petroleum hydrocarbons (TPH-diesel up to 4,200 mg/kg; benzene in groundwater at 12 µg/L, exceeding the 5 µg/L Colorado standard) across approximately 8,500 sq. ft.</w:t>
      </w:r>
    </w:p>
    <w:p>
      <w:pPr>
        <w:pStyle w:val="Compact"/>
        <w:numPr>
          <w:ilvl w:val="0"/>
          <w:numId w:val="1004"/>
        </w:numPr>
      </w:pPr>
      <w:r>
        <w:rPr>
          <w:b/>
          <w:bCs/>
        </w:rPr>
        <w:t xml:space="preserve">Area 2 (Former Degreasing Area):</w:t>
      </w:r>
      <w:r>
        <w:t xml:space="preserve"> </w:t>
      </w:r>
      <w:r>
        <w:t xml:space="preserve">Chlorinated solvents (PCE up to 18 mg/kg in soil; PCE at 22 µg/L and TCE at 8.7 µg/L in groundwater, both exceeding Colorado standards) across approximately 12,000 sq. ft. PCE and TCE are DNAPLs with potential for continued downward migration.</w:t>
      </w:r>
    </w:p>
    <w:p>
      <w:pPr>
        <w:pStyle w:val="FirstParagraph"/>
      </w:pPr>
      <w:r>
        <w:rPr>
          <w:b/>
          <w:bCs/>
        </w:rPr>
        <w:t xml:space="preserve">Key Concerns:</w:t>
      </w:r>
    </w:p>
    <w:p>
      <w:pPr>
        <w:pStyle w:val="Compact"/>
        <w:numPr>
          <w:ilvl w:val="0"/>
          <w:numId w:val="1005"/>
        </w:numPr>
      </w:pPr>
      <w:r>
        <w:rPr>
          <w:b/>
          <w:bCs/>
        </w:rPr>
        <w:t xml:space="preserve">The Phase II ESA is five years old (June 2019).</w:t>
      </w:r>
      <w:r>
        <w:t xml:space="preserve"> </w:t>
      </w:r>
      <w:r>
        <w:t xml:space="preserve">Elkhorn expressly recommended the ESA be updated</w:t>
      </w:r>
      <w:r>
        <w:t xml:space="preserve"> </w:t>
      </w:r>
      <w:r>
        <w:t xml:space="preserve">“</w:t>
      </w:r>
      <w:r>
        <w:t xml:space="preserve">prior to any property transaction.</w:t>
      </w:r>
      <w:r>
        <w:t xml:space="preserve">”</w:t>
      </w:r>
      <w:r>
        <w:t xml:space="preserve"> </w:t>
      </w:r>
      <w:r>
        <w:t xml:space="preserve">No updated investigation has been performed. Contaminant conditions — particularly DNAPL migration — may have materially worsened.</w:t>
      </w:r>
    </w:p>
    <w:p>
      <w:pPr>
        <w:pStyle w:val="Compact"/>
        <w:numPr>
          <w:ilvl w:val="0"/>
          <w:numId w:val="1005"/>
        </w:numPr>
      </w:pPr>
      <w:r>
        <w:rPr>
          <w:b/>
          <w:bCs/>
        </w:rPr>
        <w:t xml:space="preserve">Vapor intrusion has never been assessed.</w:t>
      </w:r>
      <w:r>
        <w:t xml:space="preserve"> </w:t>
      </w:r>
      <w:r>
        <w:t xml:space="preserve">Soil gas sampling detected PCE at 450 µg/m³ and TCE at 120 µg/m³ adjacent to the 28,000 sq. ft. vehicle maintenance building (both exceeding EPA RSLs). Elkhorn flagged this as</w:t>
      </w:r>
      <w:r>
        <w:t xml:space="preserve"> </w:t>
      </w:r>
      <w:r>
        <w:t xml:space="preserve">“</w:t>
      </w:r>
      <w:r>
        <w:t xml:space="preserve">a matter warranting prompt attention.</w:t>
      </w:r>
      <w:r>
        <w:t xml:space="preserve">”</w:t>
      </w:r>
      <w:r>
        <w:t xml:space="preserve"> </w:t>
      </w:r>
      <w:r>
        <w:t xml:space="preserve">No vapor intrusion assessment or indoor air quality sampling has been conducted. If vapor intrusion is confirmed, occupational health measures and sub-slab depressurization systems may be required, and OSHA/worker health liability could be significant.</w:t>
      </w:r>
    </w:p>
    <w:p>
      <w:pPr>
        <w:pStyle w:val="Compact"/>
        <w:numPr>
          <w:ilvl w:val="0"/>
          <w:numId w:val="1005"/>
        </w:numPr>
      </w:pPr>
      <w:r>
        <w:rPr>
          <w:b/>
          <w:bCs/>
        </w:rPr>
        <w:t xml:space="preserve">Off-site migration has not been confirmed or ruled out.</w:t>
      </w:r>
      <w:r>
        <w:t xml:space="preserve"> </w:t>
      </w:r>
      <w:r>
        <w:t xml:space="preserve">The 2019 monitoring well network did not include off-site sentinel wells. Elkhorn recommended at least two off-site downgradient wells. If off-site migration is confirmed, remediation scope and cost could increase substantially, and third-party claims or natural resource damage claims could arise.</w:t>
      </w:r>
    </w:p>
    <w:p>
      <w:pPr>
        <w:pStyle w:val="Compact"/>
        <w:numPr>
          <w:ilvl w:val="0"/>
          <w:numId w:val="1005"/>
        </w:numPr>
      </w:pPr>
      <w:r>
        <w:rPr>
          <w:b/>
          <w:bCs/>
        </w:rPr>
        <w:t xml:space="preserve">The $1.8–$2.6M remediation estimate (2019 dollars) explicitly excludes</w:t>
      </w:r>
      <w:r>
        <w:t xml:space="preserve"> </w:t>
      </w:r>
      <w:r>
        <w:t xml:space="preserve">vapor intrusion assessment/mitigation, off-site remediation, third-party claims, and natural resource damages. The Company’s $2.2M accrual for Grand Junction (within the $3.2M total) is based on the 2019 estimate and has not been updated for inflation or changed site conditions.</w:t>
      </w:r>
    </w:p>
    <w:p>
      <w:pPr>
        <w:pStyle w:val="Compact"/>
        <w:numPr>
          <w:ilvl w:val="0"/>
          <w:numId w:val="1005"/>
        </w:numPr>
      </w:pPr>
      <w:r>
        <w:rPr>
          <w:b/>
          <w:bCs/>
        </w:rPr>
        <w:t xml:space="preserve">Insurance gap:</w:t>
      </w:r>
      <w:r>
        <w:t xml:space="preserve"> </w:t>
      </w:r>
      <w:r>
        <w:t xml:space="preserve">The Pollution Legal Liability policy explicitly excludes gradual contamination at owned facilities. The Grand Junction contamination — characterized by Elkhorn as resulting from</w:t>
      </w:r>
      <w:r>
        <w:t xml:space="preserve"> </w:t>
      </w:r>
      <w:r>
        <w:t xml:space="preserve">“</w:t>
      </w:r>
      <w:r>
        <w:t xml:space="preserve">gradual, long-term releases</w:t>
      </w:r>
      <w:r>
        <w:t xml:space="preserve">”</w:t>
      </w:r>
      <w:r>
        <w:t xml:space="preserve"> </w:t>
      </w:r>
      <w:r>
        <w:t xml:space="preserve">over decades — falls squarely within this exclusion. The Company has no insurance coverage for the Grand Junction remediation obligation.</w:t>
      </w:r>
    </w:p>
    <w:p>
      <w:pPr>
        <w:pStyle w:val="FirstParagraph"/>
      </w:pPr>
      <w:r>
        <w:rPr>
          <w:b/>
          <w:bCs/>
        </w:rPr>
        <w:t xml:space="preserve">Action Required:</w:t>
      </w:r>
      <w:r>
        <w:t xml:space="preserve"> </w:t>
      </w:r>
      <w:r>
        <w:t xml:space="preserve">Commission an updated Phase II ESA and vapor intrusion assessment as a condition to closing. Obtain independent remediation cost estimates. Negotiate specific environmental indemnification provisions with an extended survival period (the LOI contemplates six years) and consider a separate environmental escrow. Evaluate whether the $3.2M accrual is adequate.</w:t>
      </w:r>
    </w:p>
    <w:p>
      <w:r>
        <w:pict>
          <v:rect style="width:0;height:1.5pt" o:hralign="center" o:hrstd="t" o:hr="t"/>
        </w:pict>
      </w:r>
    </w:p>
    <w:bookmarkEnd w:id="25"/>
    <w:bookmarkStart w:id="26" w:name="Xac363e274a15c1c27b706212c0bd00cd22157c3"/>
    <w:p>
      <w:pPr>
        <w:pStyle w:val="Heading3"/>
      </w:pPr>
      <w:r>
        <w:t xml:space="preserve">RF-05 | CDPHE Enforcement Action — Unaccrued Penalty Exposure and Permit Compliance Risk</w:t>
      </w:r>
    </w:p>
    <w:p>
      <w:pPr>
        <w:pStyle w:val="FirstParagraph"/>
      </w:pPr>
      <w:r>
        <w:rPr>
          <w:b/>
          <w:bCs/>
        </w:rPr>
        <w:t xml:space="preserve">Severity: MEDIUM-HIGH</w:t>
      </w:r>
    </w:p>
    <w:p>
      <w:pPr>
        <w:pStyle w:val="BodyText"/>
      </w:pPr>
      <w:r>
        <w:rPr>
          <w:b/>
          <w:bCs/>
        </w:rPr>
        <w:t xml:space="preserve">Source Documents:</w:t>
      </w:r>
      <w:r>
        <w:t xml:space="preserve"> </w:t>
      </w:r>
      <w:r>
        <w:t xml:space="preserve">Litigation and Regulatory Summary (Section III.A); Environmental Permit Schedule (Section 2.1)</w:t>
      </w:r>
    </w:p>
    <w:p>
      <w:pPr>
        <w:pStyle w:val="BodyText"/>
      </w:pPr>
      <w:r>
        <w:t xml:space="preserve">CDPHE issued a Notice of Violation (Docket No. CDPHE-HW-2024-0093) on July 18, 2024, alleging improper storage of approximately 14,000 gallons of F001/F002 listed hazardous waste at the Grand Junction facility in an unauthorized staging area beyond the 90-day accumulation limit.</w:t>
      </w:r>
    </w:p>
    <w:p>
      <w:pPr>
        <w:pStyle w:val="Compact"/>
        <w:numPr>
          <w:ilvl w:val="0"/>
          <w:numId w:val="1006"/>
        </w:numPr>
      </w:pPr>
      <w:r>
        <w:rPr>
          <w:b/>
          <w:bCs/>
        </w:rPr>
        <w:t xml:space="preserve">Company’s position:</w:t>
      </w:r>
      <w:r>
        <w:t xml:space="preserve"> </w:t>
      </w:r>
      <w:r>
        <w:t xml:space="preserve">12-day violation period; maximum exposure $450,000 (12 × $37,500/day).</w:t>
      </w:r>
    </w:p>
    <w:p>
      <w:pPr>
        <w:pStyle w:val="Compact"/>
        <w:numPr>
          <w:ilvl w:val="0"/>
          <w:numId w:val="1006"/>
        </w:numPr>
      </w:pPr>
      <w:r>
        <w:rPr>
          <w:b/>
          <w:bCs/>
        </w:rPr>
        <w:t xml:space="preserve">CDPHE’s position:</w:t>
      </w:r>
      <w:r>
        <w:t xml:space="preserve"> </w:t>
      </w:r>
      <w:r>
        <w:t xml:space="preserve">31-day violation period; maximum exposure $1,162,500 (31 × $37,500/day).</w:t>
      </w:r>
    </w:p>
    <w:p>
      <w:pPr>
        <w:pStyle w:val="Compact"/>
        <w:numPr>
          <w:ilvl w:val="0"/>
          <w:numId w:val="1006"/>
        </w:numPr>
      </w:pPr>
      <w:r>
        <w:rPr>
          <w:b/>
          <w:bCs/>
        </w:rPr>
        <w:t xml:space="preserve">No accrual has been recorded</w:t>
      </w:r>
      <w:r>
        <w:t xml:space="preserve"> </w:t>
      </w:r>
      <w:r>
        <w:t xml:space="preserve">as of September 30, 2024.</w:t>
      </w:r>
    </w:p>
    <w:p>
      <w:pPr>
        <w:pStyle w:val="Compact"/>
        <w:numPr>
          <w:ilvl w:val="0"/>
          <w:numId w:val="1006"/>
        </w:numPr>
      </w:pPr>
      <w:r>
        <w:t xml:space="preserve">The matter is in administrative negotiation; a settlement conference is expected in Q1 2025.</w:t>
      </w:r>
    </w:p>
    <w:p>
      <w:pPr>
        <w:pStyle w:val="FirstParagraph"/>
      </w:pPr>
      <w:r>
        <w:t xml:space="preserve">The RCRA Part B permit for Grand Junction (COD-098-2761) expires December 31, 2026. A material enforcement action could complicate the renewal process. The Credit Agreement also provides that revocation, suspension, or non-renewal of any material permit constitutes an Event of Default.</w:t>
      </w:r>
    </w:p>
    <w:p>
      <w:pPr>
        <w:pStyle w:val="BodyText"/>
      </w:pPr>
      <w:r>
        <w:rPr>
          <w:b/>
          <w:bCs/>
        </w:rPr>
        <w:t xml:space="preserve">Action Required:</w:t>
      </w:r>
      <w:r>
        <w:t xml:space="preserve"> </w:t>
      </w:r>
      <w:r>
        <w:t xml:space="preserve">Require the Company to accrue the low end of the estimated settlement range ($200K) before closing. Negotiate specific indemnification for the CDPHE matter. Monitor settlement progress and require buyer consent to any settlement exceeding $100K (consistent with the LOI’s interim operating covenant). Assess permit renewal risk.</w:t>
      </w:r>
    </w:p>
    <w:p>
      <w:r>
        <w:pict>
          <v:rect style="width:0;height:1.5pt" o:hralign="center" o:hrstd="t" o:hr="t"/>
        </w:pict>
      </w:r>
    </w:p>
    <w:bookmarkEnd w:id="26"/>
    <w:bookmarkStart w:id="27" w:name="X33c2c7fe4d9ce192df451677389402e1095e86e"/>
    <w:p>
      <w:pPr>
        <w:pStyle w:val="Heading3"/>
      </w:pPr>
      <w:r>
        <w:t xml:space="preserve">RF-06 | Wyoming Permit Expired — Operating Under Timely Renewal Provisions</w:t>
      </w:r>
    </w:p>
    <w:p>
      <w:pPr>
        <w:pStyle w:val="FirstParagraph"/>
      </w:pPr>
      <w:r>
        <w:rPr>
          <w:b/>
          <w:bCs/>
        </w:rPr>
        <w:t xml:space="preserve">Severity: MEDIUM</w:t>
      </w:r>
    </w:p>
    <w:p>
      <w:pPr>
        <w:pStyle w:val="BodyText"/>
      </w:pPr>
      <w:r>
        <w:rPr>
          <w:b/>
          <w:bCs/>
        </w:rPr>
        <w:t xml:space="preserve">Source Documents:</w:t>
      </w:r>
      <w:r>
        <w:t xml:space="preserve"> </w:t>
      </w:r>
      <w:r>
        <w:t xml:space="preserve">Environmental Permit Schedule (Section 2.4); Credit Agreement Summary (Section 10)</w:t>
      </w:r>
    </w:p>
    <w:p>
      <w:pPr>
        <w:pStyle w:val="BodyText"/>
      </w:pPr>
      <w:r>
        <w:t xml:space="preserve">Wyoming hazardous waste permit WY-HW-2019-033 for the Casper facility</w:t>
      </w:r>
      <w:r>
        <w:t xml:space="preserve"> </w:t>
      </w:r>
      <w:r>
        <w:rPr>
          <w:b/>
          <w:bCs/>
        </w:rPr>
        <w:t xml:space="preserve">expired November 30, 2024</w:t>
      </w:r>
      <w:r>
        <w:t xml:space="preserve">. The Company filed a timely renewal application on October 15, 2024, and is currently operating under Wyoming’s timely renewal provisions. While this is a legally recognized mechanism, it creates risk:</w:t>
      </w:r>
    </w:p>
    <w:p>
      <w:pPr>
        <w:pStyle w:val="Compact"/>
        <w:numPr>
          <w:ilvl w:val="0"/>
          <w:numId w:val="1007"/>
        </w:numPr>
      </w:pPr>
      <w:r>
        <w:t xml:space="preserve">If Wyoming DEQ identifies deficiencies in the renewal application or initiates a contested proceeding, operations at the Casper facility could be disrupted.</w:t>
      </w:r>
    </w:p>
    <w:p>
      <w:pPr>
        <w:pStyle w:val="Compact"/>
        <w:numPr>
          <w:ilvl w:val="0"/>
          <w:numId w:val="1007"/>
        </w:numPr>
      </w:pPr>
      <w:r>
        <w:t xml:space="preserve">The Credit Agreement identifies revocation, suspension, or non-renewal of any material permit as an Event of Default with no cure period.</w:t>
      </w:r>
    </w:p>
    <w:p>
      <w:pPr>
        <w:pStyle w:val="Compact"/>
        <w:numPr>
          <w:ilvl w:val="0"/>
          <w:numId w:val="1007"/>
        </w:numPr>
      </w:pPr>
      <w:r>
        <w:t xml:space="preserve">The Casper facility serves approximately $30.2M of Wyoming-based revenue (23.7% of total).</w:t>
      </w:r>
    </w:p>
    <w:p>
      <w:pPr>
        <w:pStyle w:val="FirstParagraph"/>
      </w:pPr>
      <w:r>
        <w:rPr>
          <w:b/>
          <w:bCs/>
        </w:rPr>
        <w:t xml:space="preserve">Action Required:</w:t>
      </w:r>
      <w:r>
        <w:t xml:space="preserve"> </w:t>
      </w:r>
      <w:r>
        <w:t xml:space="preserve">Obtain written confirmation from Wyoming DEQ of the renewal application’s completeness and expected timeline. Require the Company to provide prompt notice of any DEQ communications regarding the renewal. Consider a closing condition requiring permit renewal or a specific indemnification for permit-related disruption.</w:t>
      </w:r>
    </w:p>
    <w:p>
      <w:r>
        <w:pict>
          <v:rect style="width:0;height:1.5pt" o:hralign="center" o:hrstd="t" o:hr="t"/>
        </w:pict>
      </w:r>
    </w:p>
    <w:bookmarkEnd w:id="27"/>
    <w:bookmarkStart w:id="28" w:name="Xff210678c5d0c76cb6127d38c83bf17b2a20419"/>
    <w:p>
      <w:pPr>
        <w:pStyle w:val="Heading3"/>
      </w:pPr>
      <w:r>
        <w:t xml:space="preserve">RF-07 | Change-of-Control Severance — $2.625M Single-Trigger Obligation Payable at Closing</w:t>
      </w:r>
    </w:p>
    <w:p>
      <w:pPr>
        <w:pStyle w:val="FirstParagraph"/>
      </w:pPr>
      <w:r>
        <w:rPr>
          <w:b/>
          <w:bCs/>
        </w:rPr>
        <w:t xml:space="preserve">Severity: HIGH</w:t>
      </w:r>
    </w:p>
    <w:p>
      <w:pPr>
        <w:pStyle w:val="BodyText"/>
      </w:pPr>
      <w:r>
        <w:rPr>
          <w:b/>
          <w:bCs/>
        </w:rPr>
        <w:t xml:space="preserve">Source Documents:</w:t>
      </w:r>
      <w:r>
        <w:t xml:space="preserve"> </w:t>
      </w:r>
      <w:r>
        <w:t xml:space="preserve">Employment Agreements Summary (Sections 3, 4, 8); QofE Data Request Response — Executive Compensation Tab</w:t>
      </w:r>
    </w:p>
    <w:p>
      <w:pPr>
        <w:pStyle w:val="BodyText"/>
      </w:pPr>
      <w:r>
        <w:t xml:space="preserve">The employment agreements for Derek Calloway (CEO) and Jason Calloway (COO) contain</w:t>
      </w:r>
      <w:r>
        <w:t xml:space="preserve"> </w:t>
      </w:r>
      <w:r>
        <w:rPr>
          <w:b/>
          <w:bCs/>
        </w:rPr>
        <w:t xml:space="preserve">single-trigger change-of-control severance provisions</w:t>
      </w:r>
      <w:r>
        <w:t xml:space="preserve"> </w:t>
      </w:r>
      <w:r>
        <w:t xml:space="preserve">totaling</w:t>
      </w:r>
      <w:r>
        <w:t xml:space="preserve"> </w:t>
      </w:r>
      <w:r>
        <w:rPr>
          <w:b/>
          <w:bCs/>
        </w:rPr>
        <w:t xml:space="preserve">$2,625,000</w:t>
      </w:r>
      <w:r>
        <w:t xml:space="preserve">, payable within 30 days of closing regardless of whether their employment continues, is modified, or is terminated. This is a certain cash obligation triggered by the closing of the transaction.</w:t>
      </w:r>
    </w:p>
    <w:p>
      <w:pPr>
        <w:pStyle w:val="Compact"/>
        <w:numPr>
          <w:ilvl w:val="0"/>
          <w:numId w:val="1008"/>
        </w:numPr>
      </w:pPr>
      <w:r>
        <w:t xml:space="preserve">Derek Calloway: $1,312,500 (18 months × $875,000 base salary)</w:t>
      </w:r>
    </w:p>
    <w:p>
      <w:pPr>
        <w:pStyle w:val="Compact"/>
        <w:numPr>
          <w:ilvl w:val="0"/>
          <w:numId w:val="1008"/>
        </w:numPr>
      </w:pPr>
      <w:r>
        <w:t xml:space="preserve">Jason Calloway: $1,312,500 (18 months × $875,000 base salary)</w:t>
      </w:r>
    </w:p>
    <w:p>
      <w:pPr>
        <w:pStyle w:val="FirstParagraph"/>
      </w:pPr>
      <w:r>
        <w:t xml:space="preserve">Three additional executives (CFO, VP Operations, VP Business Development) have double-trigger provisions totaling $1,150,000, contingent on post-closing termination or material diminution of duties.</w:t>
      </w:r>
    </w:p>
    <w:p>
      <w:pPr>
        <w:pStyle w:val="BodyText"/>
      </w:pPr>
      <w:r>
        <w:rPr>
          <w:b/>
          <w:bCs/>
        </w:rPr>
        <w:t xml:space="preserve">Total aggregate change-of-control severance: $3,775,000.</w:t>
      </w:r>
    </w:p>
    <w:p>
      <w:pPr>
        <w:pStyle w:val="BodyText"/>
      </w:pPr>
      <w:r>
        <w:t xml:space="preserve">The LOI’s definition of</w:t>
      </w:r>
      <w:r>
        <w:t xml:space="preserve"> </w:t>
      </w:r>
      <w:r>
        <w:t xml:space="preserve">“</w:t>
      </w:r>
      <w:r>
        <w:t xml:space="preserve">Transaction Expenses</w:t>
      </w:r>
      <w:r>
        <w:t xml:space="preserve">”</w:t>
      </w:r>
      <w:r>
        <w:t xml:space="preserve"> </w:t>
      </w:r>
      <w:r>
        <w:t xml:space="preserve">does not explicitly address whether these severance payments are seller-borne transaction expenses (reducing the purchase price) or buyer-borne post-closing obligations. This classification has not been resolved. The QofE compensation tab flags this issue but notes it</w:t>
      </w:r>
      <w:r>
        <w:t xml:space="preserve"> </w:t>
      </w:r>
      <w:r>
        <w:t xml:space="preserve">“</w:t>
      </w:r>
      <w:r>
        <w:t xml:space="preserve">has not been addressed in the LOI or this data package.</w:t>
      </w:r>
      <w:r>
        <w:t xml:space="preserve">”</w:t>
      </w:r>
    </w:p>
    <w:p>
      <w:pPr>
        <w:pStyle w:val="BodyText"/>
      </w:pPr>
      <w:r>
        <w:t xml:space="preserve">Additionally, the owner compensation normalization EBITDA add-back of $950K assumes the Calloway brothers will be replaced at $400K each. If they depart post-closing (which the single-trigger severance incentivizes), replacement executives will cost at least $800K combined — eliminating the add-back benefit — and the Company will have paid $2.625M in severance on top.</w:t>
      </w:r>
    </w:p>
    <w:p>
      <w:pPr>
        <w:pStyle w:val="BodyText"/>
      </w:pPr>
      <w:r>
        <w:rPr>
          <w:b/>
          <w:bCs/>
        </w:rPr>
        <w:t xml:space="preserve">Action Required:</w:t>
      </w:r>
      <w:r>
        <w:t xml:space="preserve"> </w:t>
      </w:r>
      <w:r>
        <w:t xml:space="preserve">Negotiate the classification of single-trigger severance as a seller transaction expense (purchase price deduction). Assess post-closing management continuity risk. Consider whether retention agreements with the Calloway brothers are necessary and, if so, whether the single-trigger severance should be credited against retention payments.</w:t>
      </w:r>
    </w:p>
    <w:p>
      <w:r>
        <w:pict>
          <v:rect style="width:0;height:1.5pt" o:hralign="center" o:hrstd="t" o:hr="t"/>
        </w:pict>
      </w:r>
    </w:p>
    <w:bookmarkEnd w:id="28"/>
    <w:bookmarkStart w:id="29" w:name="X57e669e0108ccb4888f50b9b8117d8d36584b2c"/>
    <w:p>
      <w:pPr>
        <w:pStyle w:val="Heading3"/>
      </w:pPr>
      <w:r>
        <w:t xml:space="preserve">RF-08 | Customer Concentration and Contract Risk — Top 5 Customers = 50.4% of Revenue</w:t>
      </w:r>
    </w:p>
    <w:p>
      <w:pPr>
        <w:pStyle w:val="FirstParagraph"/>
      </w:pPr>
      <w:r>
        <w:rPr>
          <w:b/>
          <w:bCs/>
        </w:rPr>
        <w:t xml:space="preserve">Severity: MEDIUM-HIGH</w:t>
      </w:r>
    </w:p>
    <w:p>
      <w:pPr>
        <w:pStyle w:val="BodyText"/>
      </w:pPr>
      <w:r>
        <w:rPr>
          <w:b/>
          <w:bCs/>
        </w:rPr>
        <w:t xml:space="preserve">Source Documents:</w:t>
      </w:r>
      <w:r>
        <w:t xml:space="preserve"> </w:t>
      </w:r>
      <w:r>
        <w:t xml:space="preserve">Customer Contract Summary — Customer Concentration Summary Tab; CIM (Section VI.D)</w:t>
      </w:r>
    </w:p>
    <w:p>
      <w:pPr>
        <w:pStyle w:val="BodyText"/>
      </w:pPr>
      <w:r>
        <w:t xml:space="preserve">Beyond the DOE ceiling issue (RF-02), the Company’s customer concentration presents additional risk:</w:t>
      </w:r>
    </w:p>
    <w:p>
      <w:pPr>
        <w:pStyle w:val="Compact"/>
        <w:numPr>
          <w:ilvl w:val="0"/>
          <w:numId w:val="1009"/>
        </w:numPr>
      </w:pPr>
      <w:r>
        <w:rPr>
          <w:b/>
          <w:bCs/>
        </w:rPr>
        <w:t xml:space="preserve">Top 2 customers (DOE + Consolidated Mining) = 30.6% of revenue.</w:t>
      </w:r>
      <w:r>
        <w:t xml:space="preserve"> </w:t>
      </w:r>
      <w:r>
        <w:t xml:space="preserve">The CMMC MSA is subject to 60-day termination for convenience with no minimum volume commitments.</w:t>
      </w:r>
    </w:p>
    <w:p>
      <w:pPr>
        <w:pStyle w:val="Compact"/>
        <w:numPr>
          <w:ilvl w:val="0"/>
          <w:numId w:val="1009"/>
        </w:numPr>
      </w:pPr>
      <w:r>
        <w:rPr>
          <w:b/>
          <w:bCs/>
        </w:rPr>
        <w:t xml:space="preserve">Top 5 customers = 50.4% of revenue</w:t>
      </w:r>
      <w:r>
        <w:t xml:space="preserve"> </w:t>
      </w:r>
      <w:r>
        <w:t xml:space="preserve">($64.1M of $127.3M).</w:t>
      </w:r>
    </w:p>
    <w:p>
      <w:pPr>
        <w:pStyle w:val="Compact"/>
        <w:numPr>
          <w:ilvl w:val="0"/>
          <w:numId w:val="1009"/>
        </w:numPr>
      </w:pPr>
      <w:r>
        <w:rPr>
          <w:b/>
          <w:bCs/>
        </w:rPr>
        <w:t xml:space="preserve">8 of the top 20 customer contracts</w:t>
      </w:r>
      <w:r>
        <w:t xml:space="preserve"> </w:t>
      </w:r>
      <w:r>
        <w:t xml:space="preserve">contain assignment, change-of-control, or notification provisions requiring action in connection with the proposed acquisition, including: DOE (non-assignable per Anti-Assignment Act), Intermountain Health Systems (consent required; renewal decision pending February 2025), Rocky Mountain Pipeline (consent required), Colorado DOT (consent required), Utah DEQ (state termination right), and others.</w:t>
      </w:r>
    </w:p>
    <w:p>
      <w:pPr>
        <w:pStyle w:val="Compact"/>
        <w:numPr>
          <w:ilvl w:val="0"/>
          <w:numId w:val="1009"/>
        </w:numPr>
      </w:pPr>
      <w:r>
        <w:rPr>
          <w:b/>
          <w:bCs/>
        </w:rPr>
        <w:t xml:space="preserve">Intermountain Health Systems</w:t>
      </w:r>
      <w:r>
        <w:t xml:space="preserve"> </w:t>
      </w:r>
      <w:r>
        <w:t xml:space="preserve">($7.1M, 5.6% of revenue): The fixed-price service agreement expires June 30, 2025, with a renewal option requiring 120-day advance notice. The renewal decision is expected by February 2025 — during the due diligence period. Non-renewal would eliminate $7.1M of revenue.</w:t>
      </w:r>
    </w:p>
    <w:p>
      <w:pPr>
        <w:pStyle w:val="Compact"/>
        <w:numPr>
          <w:ilvl w:val="0"/>
          <w:numId w:val="1009"/>
        </w:numPr>
      </w:pPr>
      <w:r>
        <w:rPr>
          <w:b/>
          <w:bCs/>
        </w:rPr>
        <w:t xml:space="preserve">12 of the top 20 contracts</w:t>
      </w:r>
      <w:r>
        <w:t xml:space="preserve"> </w:t>
      </w:r>
      <w:r>
        <w:t xml:space="preserve">include termination for convenience clauses with 60-day or shorter notice periods.</w:t>
      </w:r>
    </w:p>
    <w:p>
      <w:pPr>
        <w:pStyle w:val="Compact"/>
        <w:numPr>
          <w:ilvl w:val="0"/>
          <w:numId w:val="1009"/>
        </w:numPr>
      </w:pPr>
      <w:r>
        <w:rPr>
          <w:b/>
          <w:bCs/>
        </w:rPr>
        <w:t xml:space="preserve">The CIM’s customer table</w:t>
      </w:r>
      <w:r>
        <w:t xml:space="preserve"> </w:t>
      </w:r>
      <w:r>
        <w:t xml:space="preserve">(Section VI.D) anonymizes Customers C through E, obscuring the identities of the #3 ($10.2M, 8.0%), #4 ($7.6M, 6.0%), and #5 ($6.4M, 5.0%) customers. The QofE data package reveals these are Western Slope Municipal Water District, High Plains Energy Partners, and Intermountain Health Systems — all with distinct contract risk profiles not disclosed in the CIM.</w:t>
      </w:r>
    </w:p>
    <w:p>
      <w:pPr>
        <w:pStyle w:val="FirstParagraph"/>
      </w:pPr>
      <w:r>
        <w:rPr>
          <w:b/>
          <w:bCs/>
        </w:rPr>
        <w:t xml:space="preserve">Action Required:</w:t>
      </w:r>
      <w:r>
        <w:t xml:space="preserve"> </w:t>
      </w:r>
      <w:r>
        <w:t xml:space="preserve">Obtain written confirmation of contract status and renewal intentions from all top 10 customers. Obtain required change-of-control consents as a closing condition. Confirm Intermountain Health Systems renewal before signing. Model revenue scenarios assuming loss of one or more top-5 customers.</w:t>
      </w:r>
    </w:p>
    <w:p>
      <w:r>
        <w:pict>
          <v:rect style="width:0;height:1.5pt" o:hralign="center" o:hrstd="t" o:hr="t"/>
        </w:pict>
      </w:r>
    </w:p>
    <w:bookmarkEnd w:id="29"/>
    <w:bookmarkStart w:id="30" w:name="Xc18dee887d191bae33a113c2be423915d3cd6b2"/>
    <w:p>
      <w:pPr>
        <w:pStyle w:val="Heading3"/>
      </w:pPr>
      <w:r>
        <w:t xml:space="preserve">RF-09 | Fleet Condition — 44.7% of Assets Past Useful Life; ~$9.8M Replacement Backlog</w:t>
      </w:r>
    </w:p>
    <w:p>
      <w:pPr>
        <w:pStyle w:val="FirstParagraph"/>
      </w:pPr>
      <w:r>
        <w:rPr>
          <w:b/>
          <w:bCs/>
        </w:rPr>
        <w:t xml:space="preserve">Severity: MEDIUM</w:t>
      </w:r>
    </w:p>
    <w:p>
      <w:pPr>
        <w:pStyle w:val="BodyText"/>
      </w:pPr>
      <w:r>
        <w:rPr>
          <w:b/>
          <w:bCs/>
        </w:rPr>
        <w:t xml:space="preserve">Source Documents:</w:t>
      </w:r>
      <w:r>
        <w:t xml:space="preserve"> </w:t>
      </w:r>
      <w:r>
        <w:t xml:space="preserve">QofE Data Request Response — Fleet &amp; Equipment Schedule Tab; Capex Detail Tab</w:t>
      </w:r>
    </w:p>
    <w:p>
      <w:pPr>
        <w:pStyle w:val="BodyText"/>
      </w:pPr>
      <w:r>
        <w:t xml:space="preserve">The Company’s fleet and equipment schedule reveals significant deferred capital investment:</w:t>
      </w:r>
    </w:p>
    <w:p>
      <w:pPr>
        <w:pStyle w:val="Compact"/>
        <w:numPr>
          <w:ilvl w:val="0"/>
          <w:numId w:val="1010"/>
        </w:numPr>
      </w:pPr>
      <w:r>
        <w:rPr>
          <w:b/>
          <w:bCs/>
        </w:rPr>
        <w:t xml:space="preserve">38 of 85 fleet and equipment assets (44.7%) are at or past their stated useful life</w:t>
      </w:r>
      <w:r>
        <w:t xml:space="preserve">, with many marked</w:t>
      </w:r>
      <w:r>
        <w:t xml:space="preserve"> </w:t>
      </w:r>
      <w:r>
        <w:t xml:space="preserve">“</w:t>
      </w:r>
      <w:r>
        <w:t xml:space="preserve">Replacement Deferred.</w:t>
      </w:r>
      <w:r>
        <w:t xml:space="preserve">”</w:t>
      </w:r>
    </w:p>
    <w:p>
      <w:pPr>
        <w:pStyle w:val="Compact"/>
        <w:numPr>
          <w:ilvl w:val="0"/>
          <w:numId w:val="1010"/>
        </w:numPr>
      </w:pPr>
      <w:r>
        <w:rPr>
          <w:b/>
          <w:bCs/>
        </w:rPr>
        <w:t xml:space="preserve">Average fleet age of 8.2 years</w:t>
      </w:r>
      <w:r>
        <w:t xml:space="preserve"> </w:t>
      </w:r>
      <w:r>
        <w:t xml:space="preserve">exceeds the weighted average useful life of 7.0 years (trucks/trailers).</w:t>
      </w:r>
    </w:p>
    <w:p>
      <w:pPr>
        <w:pStyle w:val="Compact"/>
        <w:numPr>
          <w:ilvl w:val="0"/>
          <w:numId w:val="1010"/>
        </w:numPr>
      </w:pPr>
      <w:r>
        <w:rPr>
          <w:b/>
          <w:bCs/>
        </w:rPr>
        <w:t xml:space="preserve">Total estimated replacement cost for past-useful-life assets: $9.8M.</w:t>
      </w:r>
      <w:r>
        <w:t xml:space="preserve"> </w:t>
      </w:r>
      <w:r>
        <w:t xml:space="preserve">Spreading this backlog over three years implies approximately</w:t>
      </w:r>
      <w:r>
        <w:t xml:space="preserve"> </w:t>
      </w:r>
      <w:r>
        <w:rPr>
          <w:b/>
          <w:bCs/>
        </w:rPr>
        <w:t xml:space="preserve">$3.3M/year in catch-up capex</w:t>
      </w:r>
      <w:r>
        <w:t xml:space="preserve"> </w:t>
      </w:r>
      <w:r>
        <w:t xml:space="preserve">above the current run rate.</w:t>
      </w:r>
    </w:p>
    <w:p>
      <w:pPr>
        <w:pStyle w:val="Compact"/>
        <w:numPr>
          <w:ilvl w:val="0"/>
          <w:numId w:val="1010"/>
        </w:numPr>
      </w:pPr>
      <w:r>
        <w:t xml:space="preserve">Management’s normalized maintenance capex estimate of $4.0–$4.5M/year appears understated given the fleet age profile. Actual maintenance capex has averaged $4.27M over five years, but the fleet’s aging suggests this figure will increase.</w:t>
      </w:r>
    </w:p>
    <w:p>
      <w:pPr>
        <w:pStyle w:val="Compact"/>
        <w:numPr>
          <w:ilvl w:val="0"/>
          <w:numId w:val="1010"/>
        </w:numPr>
      </w:pPr>
      <w:r>
        <w:t xml:space="preserve">Several assets are flagged as</w:t>
      </w:r>
      <w:r>
        <w:t xml:space="preserve"> </w:t>
      </w:r>
      <w:r>
        <w:t xml:space="preserve">“</w:t>
      </w:r>
      <w:r>
        <w:t xml:space="preserve">At End of Life — No Replacement Scheduled,</w:t>
      </w:r>
      <w:r>
        <w:t xml:space="preserve">”</w:t>
      </w:r>
      <w:r>
        <w:t xml:space="preserve"> </w:t>
      </w:r>
      <w:r>
        <w:t xml:space="preserve">including TRK-002, TRK-011, TRK-026, TRK-034, TRK-040, TRK-050, LDR-001, and SKD-002.</w:t>
      </w:r>
    </w:p>
    <w:p>
      <w:pPr>
        <w:pStyle w:val="Compact"/>
        <w:numPr>
          <w:ilvl w:val="0"/>
          <w:numId w:val="1010"/>
        </w:numPr>
      </w:pPr>
      <w:r>
        <w:t xml:space="preserve">The fleet replacement deferral was a conscious management decision during the Pinnacle integration period (FY2022–FY2023), but the backlog has not been addressed.</w:t>
      </w:r>
    </w:p>
    <w:p>
      <w:pPr>
        <w:pStyle w:val="FirstParagraph"/>
      </w:pPr>
      <w:r>
        <w:rPr>
          <w:b/>
          <w:bCs/>
        </w:rPr>
        <w:t xml:space="preserve">Action Required:</w:t>
      </w:r>
      <w:r>
        <w:t xml:space="preserve"> </w:t>
      </w:r>
      <w:r>
        <w:t xml:space="preserve">Obtain an independent fleet condition assessment. Adjust the normalized maintenance capex assumption upward to reflect the replacement backlog. Reduce free cash flow projections accordingly. Assess whether the fleet condition creates operational risk (breakdowns, regulatory non-compliance for hazmat transport vehicles) or safety liability.</w:t>
      </w:r>
    </w:p>
    <w:p>
      <w:r>
        <w:pict>
          <v:rect style="width:0;height:1.5pt" o:hralign="center" o:hrstd="t" o:hr="t"/>
        </w:pict>
      </w:r>
    </w:p>
    <w:bookmarkEnd w:id="30"/>
    <w:bookmarkStart w:id="31" w:name="Xca42bffea163a4d8487f674a6e371578b67bea1"/>
    <w:p>
      <w:pPr>
        <w:pStyle w:val="Heading3"/>
      </w:pPr>
      <w:r>
        <w:t xml:space="preserve">RF-10 | Debt Structure — Mandatory Prepayment of $38.7M+ at Closing; Prepayment Premium</w:t>
      </w:r>
    </w:p>
    <w:p>
      <w:pPr>
        <w:pStyle w:val="FirstParagraph"/>
      </w:pPr>
      <w:r>
        <w:rPr>
          <w:b/>
          <w:bCs/>
        </w:rPr>
        <w:t xml:space="preserve">Severity: MEDIUM</w:t>
      </w:r>
      <w:r>
        <w:t xml:space="preserve"> </w:t>
      </w:r>
      <w:r>
        <w:t xml:space="preserve">(known but requires precise quantification)</w:t>
      </w:r>
    </w:p>
    <w:p>
      <w:pPr>
        <w:pStyle w:val="BodyText"/>
      </w:pPr>
      <w:r>
        <w:rPr>
          <w:b/>
          <w:bCs/>
        </w:rPr>
        <w:t xml:space="preserve">Source Documents:</w:t>
      </w:r>
      <w:r>
        <w:t xml:space="preserve"> </w:t>
      </w:r>
      <w:r>
        <w:t xml:space="preserve">Credit Agreement Summary (Sections 8, 9); LOI (Section 4(b))</w:t>
      </w:r>
    </w:p>
    <w:p>
      <w:pPr>
        <w:pStyle w:val="BodyText"/>
      </w:pPr>
      <w:r>
        <w:t xml:space="preserve">The Credit Agreement with High Plains National Bank contains a Change of Control provision that is triggered by the proposed acquisition. Upon a Change of Control:</w:t>
      </w:r>
    </w:p>
    <w:p>
      <w:pPr>
        <w:pStyle w:val="Compact"/>
        <w:numPr>
          <w:ilvl w:val="0"/>
          <w:numId w:val="1011"/>
        </w:numPr>
      </w:pPr>
      <w:r>
        <w:rPr>
          <w:b/>
          <w:bCs/>
        </w:rPr>
        <w:t xml:space="preserve">All $38.7M of outstanding debt must be prepaid within five business days</w:t>
      </w:r>
      <w:r>
        <w:t xml:space="preserve"> </w:t>
      </w:r>
      <w:r>
        <w:t xml:space="preserve">of closing.</w:t>
      </w:r>
    </w:p>
    <w:p>
      <w:pPr>
        <w:pStyle w:val="Compact"/>
        <w:numPr>
          <w:ilvl w:val="0"/>
          <w:numId w:val="1011"/>
        </w:numPr>
      </w:pPr>
      <w:r>
        <w:t xml:space="preserve">A</w:t>
      </w:r>
      <w:r>
        <w:t xml:space="preserve"> </w:t>
      </w:r>
      <w:r>
        <w:rPr>
          <w:b/>
          <w:bCs/>
        </w:rPr>
        <w:t xml:space="preserve">prepayment premium of 1.00% applies to the term loan</w:t>
      </w:r>
      <w:r>
        <w:t xml:space="preserve"> </w:t>
      </w:r>
      <w:r>
        <w:t xml:space="preserve">($26.3M × 1.00% =</w:t>
      </w:r>
      <w:r>
        <w:t xml:space="preserve"> </w:t>
      </w:r>
      <w:r>
        <w:rPr>
          <w:b/>
          <w:bCs/>
        </w:rPr>
        <w:t xml:space="preserve">$263,000</w:t>
      </w:r>
      <w:r>
        <w:t xml:space="preserve">) if closing occurs between January 17, 2025 and January 16, 2026 (the target closing date of April 30, 2025 falls within this window).</w:t>
      </w:r>
    </w:p>
    <w:p>
      <w:pPr>
        <w:pStyle w:val="Compact"/>
        <w:numPr>
          <w:ilvl w:val="0"/>
          <w:numId w:val="1011"/>
        </w:numPr>
      </w:pPr>
      <w:r>
        <w:t xml:space="preserve">The revolving commitment is permanently terminated upon Change of Control.</w:t>
      </w:r>
    </w:p>
    <w:p>
      <w:pPr>
        <w:pStyle w:val="Compact"/>
        <w:numPr>
          <w:ilvl w:val="0"/>
          <w:numId w:val="1011"/>
        </w:numPr>
      </w:pPr>
      <w:r>
        <w:rPr>
          <w:b/>
          <w:bCs/>
        </w:rPr>
        <w:t xml:space="preserve">No consent or waiver mechanism exists</w:t>
      </w:r>
      <w:r>
        <w:t xml:space="preserve"> </w:t>
      </w:r>
      <w:r>
        <w:t xml:space="preserve">— the only path is full prepayment or refinancing.</w:t>
      </w:r>
    </w:p>
    <w:p>
      <w:pPr>
        <w:pStyle w:val="Compact"/>
        <w:numPr>
          <w:ilvl w:val="0"/>
          <w:numId w:val="1011"/>
        </w:numPr>
      </w:pPr>
      <w:r>
        <w:t xml:space="preserve">The Credit Agreement also contains a</w:t>
      </w:r>
      <w:r>
        <w:t xml:space="preserve"> </w:t>
      </w:r>
      <w:r>
        <w:rPr>
          <w:b/>
          <w:bCs/>
        </w:rPr>
        <w:t xml:space="preserve">key-man provision</w:t>
      </w:r>
      <w:r>
        <w:t xml:space="preserve">: Derek Calloway must remain as CEO or a Lender-approved successor must be appointed within 90 days. His departure (incentivized by the single-trigger severance) would constitute an Event of Default.</w:t>
      </w:r>
    </w:p>
    <w:p>
      <w:pPr>
        <w:pStyle w:val="FirstParagraph"/>
      </w:pPr>
      <w:r>
        <w:t xml:space="preserve">The LOI’s Net Debt adjustment captures the $38.7M principal but may not fully account for the prepayment premium, accrued interest, and SOFR breakage costs. Total estimated mandatory prepayment: approximately</w:t>
      </w:r>
      <w:r>
        <w:t xml:space="preserve"> </w:t>
      </w:r>
      <w:r>
        <w:rPr>
          <w:b/>
          <w:bCs/>
        </w:rPr>
        <w:t xml:space="preserve">$39.2–$39.3M</w:t>
      </w:r>
      <w:r>
        <w:t xml:space="preserve">.</w:t>
      </w:r>
    </w:p>
    <w:p>
      <w:pPr>
        <w:pStyle w:val="BodyText"/>
      </w:pPr>
      <w:r>
        <w:rPr>
          <w:b/>
          <w:bCs/>
        </w:rPr>
        <w:t xml:space="preserve">Action Required:</w:t>
      </w:r>
      <w:r>
        <w:t xml:space="preserve"> </w:t>
      </w:r>
      <w:r>
        <w:t xml:space="preserve">Confirm the exact payoff amount with High Plains National Bank. Arrange acquisition financing to cover the mandatory prepayment. Confirm that the LOI’s Net Debt definition captures the prepayment premium and all fees. Coordinate the key-man provision with post-closing management arrangements.</w:t>
      </w:r>
    </w:p>
    <w:p>
      <w:r>
        <w:pict>
          <v:rect style="width:0;height:1.5pt" o:hralign="center" o:hrstd="t" o:hr="t"/>
        </w:pict>
      </w:r>
    </w:p>
    <w:bookmarkEnd w:id="31"/>
    <w:bookmarkStart w:id="32" w:name="Xafafc167c6c46d36fcb54c714339ac9bc3c3e16"/>
    <w:p>
      <w:pPr>
        <w:pStyle w:val="Heading3"/>
      </w:pPr>
      <w:r>
        <w:t xml:space="preserve">RF-11 | Insurance Gap — No Coverage for Grand Junction Gradual Contamination; Asbestos Tail Exposure Uninsured</w:t>
      </w:r>
    </w:p>
    <w:p>
      <w:pPr>
        <w:pStyle w:val="FirstParagraph"/>
      </w:pPr>
      <w:r>
        <w:rPr>
          <w:b/>
          <w:bCs/>
        </w:rPr>
        <w:t xml:space="preserve">Severity: HIGH</w:t>
      </w:r>
    </w:p>
    <w:p>
      <w:pPr>
        <w:pStyle w:val="BodyText"/>
      </w:pPr>
      <w:r>
        <w:rPr>
          <w:b/>
          <w:bCs/>
        </w:rPr>
        <w:t xml:space="preserve">Source Documents:</w:t>
      </w:r>
      <w:r>
        <w:t xml:space="preserve"> </w:t>
      </w:r>
      <w:r>
        <w:t xml:space="preserve">Insurance Program Summary (Sections 2, 4, 8); Litigation and Regulatory Summary (Section VI.B)</w:t>
      </w:r>
    </w:p>
    <w:p>
      <w:pPr>
        <w:pStyle w:val="BodyText"/>
      </w:pPr>
      <w:r>
        <w:rPr>
          <w:b/>
          <w:bCs/>
        </w:rPr>
        <w:t xml:space="preserve">Gradual Contamination Exclusion:</w:t>
      </w:r>
      <w:r>
        <w:t xml:space="preserve"> </w:t>
      </w:r>
      <w:r>
        <w:t xml:space="preserve">The Pollution Legal Liability policy (FSI-PLL-2024-08873) explicitly excludes coverage for gradual releases at owned facilities. The Grand Junction contamination — characterized by Elkhorn as resulting from</w:t>
      </w:r>
      <w:r>
        <w:t xml:space="preserve"> </w:t>
      </w:r>
      <w:r>
        <w:t xml:space="preserve">“</w:t>
      </w:r>
      <w:r>
        <w:t xml:space="preserve">gradual, long-term releases</w:t>
      </w:r>
      <w:r>
        <w:t xml:space="preserve">”</w:t>
      </w:r>
      <w:r>
        <w:t xml:space="preserve"> </w:t>
      </w:r>
      <w:r>
        <w:t xml:space="preserve">over decades — is unambiguously excluded. The Company has no insurance coverage for the Grand Junction remediation obligation, which is estimated at $1.8–$2.6M (2019 dollars, excluding vapor intrusion and off-site costs).</w:t>
      </w:r>
    </w:p>
    <w:p>
      <w:pPr>
        <w:pStyle w:val="BodyText"/>
      </w:pPr>
      <w:r>
        <w:rPr>
          <w:b/>
          <w:bCs/>
        </w:rPr>
        <w:t xml:space="preserve">Asbestos Coverage Gap:</w:t>
      </w:r>
      <w:r>
        <w:t xml:space="preserve"> </w:t>
      </w:r>
      <w:r>
        <w:t xml:space="preserve">The CGL policy contains a blanket asbestos exclusion. The PLL policy has a retroactive date of January 1, 2015. Work performed during the asbestos abatement service line’s operation from 2012 through 2014 is not covered by either policy. Two workers’ compensation claims from former asbestos abatement employees remain open (filed 2021 and 2022), alleging occupational respiratory exposure. No tail coverage for completed asbestos operations has been procured. The Company performed asbestos abatement at approximately 145 commercial and industrial sites across CO, UT, and WY over 11 years, generating approximately $31.2M in cumulative revenue. Long-tail asbestos personal injury claims are inherently difficult to predict and can emerge decades after exposure.</w:t>
      </w:r>
    </w:p>
    <w:p>
      <w:pPr>
        <w:pStyle w:val="BodyText"/>
      </w:pPr>
      <w:r>
        <w:rPr>
          <w:b/>
          <w:bCs/>
        </w:rPr>
        <w:t xml:space="preserve">Claims-Made PLL Policy:</w:t>
      </w:r>
      <w:r>
        <w:t xml:space="preserve"> </w:t>
      </w:r>
      <w:r>
        <w:t xml:space="preserve">The PLL policy is written on a claims-made basis. A change of control may affect the Named Insured’s ability to report claims post-closing. Tail coverage (extended reporting period) is available at 150% of the expiring annual premium for a 36-month tail. Buyer should evaluate whether to require procurement of tail coverage as a closing condition.</w:t>
      </w:r>
    </w:p>
    <w:p>
      <w:pPr>
        <w:pStyle w:val="BodyText"/>
      </w:pPr>
      <w:r>
        <w:rPr>
          <w:b/>
          <w:bCs/>
        </w:rPr>
        <w:t xml:space="preserve">Ramirez Coverage Uncertainty:</w:t>
      </w:r>
      <w:r>
        <w:t xml:space="preserve"> </w:t>
      </w:r>
      <w:r>
        <w:t xml:space="preserve">The personal injury claim filed by former employee Miguel Ramirez (seeking $4.8M) has been tendered under both the CGL and PLL policies, but the insurer has issued a reservation of rights letter. Coverage remains uncertain.</w:t>
      </w:r>
    </w:p>
    <w:p>
      <w:pPr>
        <w:pStyle w:val="BodyText"/>
      </w:pPr>
      <w:r>
        <w:rPr>
          <w:b/>
          <w:bCs/>
        </w:rPr>
        <w:t xml:space="preserve">Action Required:</w:t>
      </w:r>
      <w:r>
        <w:t xml:space="preserve"> </w:t>
      </w:r>
      <w:r>
        <w:t xml:space="preserve">Require procurement of a PLL tail policy covering the pre-2015 asbestos period as a closing condition, or negotiate specific indemnification. Evaluate the adequacy of the $3.2M environmental accrual in light of the insurance gap. Obtain resolution of the Ramirez coverage determination before closing.</w:t>
      </w:r>
    </w:p>
    <w:p>
      <w:r>
        <w:pict>
          <v:rect style="width:0;height:1.5pt" o:hralign="center" o:hrstd="t" o:hr="t"/>
        </w:pict>
      </w:r>
    </w:p>
    <w:bookmarkEnd w:id="32"/>
    <w:bookmarkStart w:id="33" w:name="X91eaab27303cf41a368b706f4a6eb2ebd0095de"/>
    <w:p>
      <w:pPr>
        <w:pStyle w:val="Heading3"/>
      </w:pPr>
      <w:r>
        <w:t xml:space="preserve">RF-12 | NLRB Union Petition — 62 Field Technicians at Grand Junction and Casper</w:t>
      </w:r>
    </w:p>
    <w:p>
      <w:pPr>
        <w:pStyle w:val="FirstParagraph"/>
      </w:pPr>
      <w:r>
        <w:rPr>
          <w:b/>
          <w:bCs/>
        </w:rPr>
        <w:t xml:space="preserve">Severity: MEDIUM</w:t>
      </w:r>
    </w:p>
    <w:p>
      <w:pPr>
        <w:pStyle w:val="BodyText"/>
      </w:pPr>
      <w:r>
        <w:rPr>
          <w:b/>
          <w:bCs/>
        </w:rPr>
        <w:t xml:space="preserve">Source Documents:</w:t>
      </w:r>
      <w:r>
        <w:t xml:space="preserve"> </w:t>
      </w:r>
      <w:r>
        <w:t xml:space="preserve">Employee Benefits Summary (Section 7, Footnote 1)</w:t>
      </w:r>
    </w:p>
    <w:p>
      <w:pPr>
        <w:pStyle w:val="BodyText"/>
      </w:pPr>
      <w:r>
        <w:t xml:space="preserve">An NLRB election petition was filed on</w:t>
      </w:r>
      <w:r>
        <w:t xml:space="preserve"> </w:t>
      </w:r>
      <w:r>
        <w:rPr>
          <w:b/>
          <w:bCs/>
        </w:rPr>
        <w:t xml:space="preserve">November 4, 2024</w:t>
      </w:r>
      <w:r>
        <w:t xml:space="preserve"> </w:t>
      </w:r>
      <w:r>
        <w:t xml:space="preserve">by the International Brotherhood of Teamsters Local 455, covering</w:t>
      </w:r>
      <w:r>
        <w:t xml:space="preserve"> </w:t>
      </w:r>
      <w:r>
        <w:rPr>
          <w:b/>
          <w:bCs/>
        </w:rPr>
        <w:t xml:space="preserve">62 field technicians at the Grand Junction and Casper facilities</w:t>
      </w:r>
      <w:r>
        <w:t xml:space="preserve">. This disclosure appears only in a footnote to the Employee Benefits Summary and is not mentioned in the CIM, Litigation and Regulatory Summary, or any other data room document.</w:t>
      </w:r>
    </w:p>
    <w:p>
      <w:pPr>
        <w:pStyle w:val="BodyText"/>
      </w:pPr>
      <w:r>
        <w:t xml:space="preserve">Grand Junction and Casper collectively employ approximately 210 field-based personnel and are the Company’s two largest operational hubs. Unionization of 62 field technicians at these facilities could:</w:t>
      </w:r>
    </w:p>
    <w:p>
      <w:pPr>
        <w:pStyle w:val="Compact"/>
        <w:numPr>
          <w:ilvl w:val="0"/>
          <w:numId w:val="1012"/>
        </w:numPr>
      </w:pPr>
      <w:r>
        <w:t xml:space="preserve">Increase labor costs through collective bargaining (wages, benefits, work rules).</w:t>
      </w:r>
    </w:p>
    <w:p>
      <w:pPr>
        <w:pStyle w:val="Compact"/>
        <w:numPr>
          <w:ilvl w:val="0"/>
          <w:numId w:val="1012"/>
        </w:numPr>
      </w:pPr>
      <w:r>
        <w:t xml:space="preserve">Restrict operational flexibility in workforce deployment and scheduling.</w:t>
      </w:r>
    </w:p>
    <w:p>
      <w:pPr>
        <w:pStyle w:val="Compact"/>
        <w:numPr>
          <w:ilvl w:val="0"/>
          <w:numId w:val="1012"/>
        </w:numPr>
      </w:pPr>
      <w:r>
        <w:t xml:space="preserve">Create integration complexity for a new owner.</w:t>
      </w:r>
    </w:p>
    <w:p>
      <w:pPr>
        <w:pStyle w:val="Compact"/>
        <w:numPr>
          <w:ilvl w:val="0"/>
          <w:numId w:val="1012"/>
        </w:numPr>
      </w:pPr>
      <w:r>
        <w:t xml:space="preserve">Trigger NLRA obligations regarding the transaction (potential duty to bargain over effects of the acquisition).</w:t>
      </w:r>
    </w:p>
    <w:p>
      <w:pPr>
        <w:pStyle w:val="FirstParagraph"/>
      </w:pPr>
      <w:r>
        <w:t xml:space="preserve">The Credit Agreement requires prompt notice (within five business days) of any material labor dispute or NLRB action. It is unclear whether this petition has been disclosed to High Plains National Bank.</w:t>
      </w:r>
    </w:p>
    <w:p>
      <w:pPr>
        <w:pStyle w:val="BodyText"/>
      </w:pPr>
      <w:r>
        <w:rPr>
          <w:b/>
          <w:bCs/>
        </w:rPr>
        <w:t xml:space="preserve">Action Required:</w:t>
      </w:r>
      <w:r>
        <w:t xml:space="preserve"> </w:t>
      </w:r>
      <w:r>
        <w:t xml:space="preserve">Obtain a full briefing on the NLRB petition, including the Company’s response strategy and legal counsel’s assessment of the likelihood of a union election and certification. Assess the financial impact of potential unionization. Confirm whether the petition has been disclosed to the lender. Evaluate whether the petition constitutes a material adverse change under the LOI.</w:t>
      </w:r>
    </w:p>
    <w:p>
      <w:r>
        <w:pict>
          <v:rect style="width:0;height:1.5pt" o:hralign="center" o:hrstd="t" o:hr="t"/>
        </w:pict>
      </w:r>
    </w:p>
    <w:bookmarkEnd w:id="33"/>
    <w:bookmarkStart w:id="34" w:name="Xbaceb675069bdcaa52d751ed040e6d706b3f1e7"/>
    <w:p>
      <w:pPr>
        <w:pStyle w:val="Heading3"/>
      </w:pPr>
      <w:r>
        <w:t xml:space="preserve">RF-13 | Financial Reporting — Unaudited FY2024 Financials; Audit Firm Downgrade; 401(k) Suspension</w:t>
      </w:r>
    </w:p>
    <w:p>
      <w:pPr>
        <w:pStyle w:val="FirstParagraph"/>
      </w:pPr>
      <w:r>
        <w:rPr>
          <w:b/>
          <w:bCs/>
        </w:rPr>
        <w:t xml:space="preserve">Severity: MEDIUM</w:t>
      </w:r>
    </w:p>
    <w:p>
      <w:pPr>
        <w:pStyle w:val="BodyText"/>
      </w:pPr>
      <w:r>
        <w:rPr>
          <w:b/>
          <w:bCs/>
        </w:rPr>
        <w:t xml:space="preserve">Source Documents:</w:t>
      </w:r>
      <w:r>
        <w:t xml:space="preserve"> </w:t>
      </w:r>
      <w:r>
        <w:t xml:space="preserve">QofE Data Request Response — Cover &amp; Instructions Tab; CIM (Section VI.A); Employee Benefits Summary (Section 4.2); LOI (Section 8(i))</w:t>
      </w:r>
    </w:p>
    <w:p>
      <w:pPr>
        <w:pStyle w:val="BodyText"/>
      </w:pPr>
      <w:r>
        <w:rPr>
          <w:b/>
          <w:bCs/>
        </w:rPr>
        <w:t xml:space="preserve">Audit Status:</w:t>
      </w:r>
      <w:r>
        <w:t xml:space="preserve"> </w:t>
      </w:r>
      <w:r>
        <w:t xml:space="preserve">The CIM states that annual financial statements are</w:t>
      </w:r>
      <w:r>
        <w:t xml:space="preserve"> </w:t>
      </w:r>
      <w:r>
        <w:t xml:space="preserve">“</w:t>
      </w:r>
      <w:r>
        <w:t xml:space="preserve">reviewed</w:t>
      </w:r>
      <w:r>
        <w:t xml:space="preserve">”</w:t>
      </w:r>
      <w:r>
        <w:t xml:space="preserve"> </w:t>
      </w:r>
      <w:r>
        <w:t xml:space="preserve">by Hansen &amp; Whitfield, CPAs of Grand Junction — a local firm. The QofE cover sheet confirms that FY2024 (TTM 9/30/24) financials are</w:t>
      </w:r>
      <w:r>
        <w:t xml:space="preserve"> </w:t>
      </w:r>
      <w:r>
        <w:t xml:space="preserve">“</w:t>
      </w:r>
      <w:r>
        <w:t xml:space="preserve">reviewed (unaudited),</w:t>
      </w:r>
      <w:r>
        <w:t xml:space="preserve">”</w:t>
      </w:r>
      <w:r>
        <w:t xml:space="preserve"> </w:t>
      </w:r>
      <w:r>
        <w:t xml:space="preserve">while FY2020–FY2023 were audited by Plante Moran PLLC, a national firm. The downgrade from Plante Moran to a local review-only engagement for FY2024 is unexplained and reduces the reliability of the financial statements. The LOI requires delivery of audited FY2022, FY2023, and FY2024 financial statements as a closing condition — the Company will need to commission a FY2024 audit, which may surface adjustments.</w:t>
      </w:r>
    </w:p>
    <w:p>
      <w:pPr>
        <w:pStyle w:val="BodyText"/>
      </w:pPr>
      <w:r>
        <w:rPr>
          <w:b/>
          <w:bCs/>
        </w:rPr>
        <w:t xml:space="preserve">401(k) Matching Suspension:</w:t>
      </w:r>
      <w:r>
        <w:t xml:space="preserve"> </w:t>
      </w:r>
      <w:r>
        <w:t xml:space="preserve">The Company suspended its safe harbor 401(k) employer matching contribution from January 1, 2023 through June 30, 2023. A mid-year suspension of safe harbor matching contributions is a significant compliance event under ERISA and IRS regulations. Safe harbor plans generally cannot be amended mid-year to reduce or eliminate contributions without triggering complex notice and transition requirements. The Company should provide documentation confirming that the suspension was executed in compliance with applicable IRS guidance (including IRS Notice 2016-16) and that no plan disqualification risk exists.</w:t>
      </w:r>
    </w:p>
    <w:p>
      <w:pPr>
        <w:pStyle w:val="BodyText"/>
      </w:pPr>
      <w:r>
        <w:rPr>
          <w:b/>
          <w:bCs/>
        </w:rPr>
        <w:t xml:space="preserve">Action Required:</w:t>
      </w:r>
      <w:r>
        <w:t xml:space="preserve"> </w:t>
      </w:r>
      <w:r>
        <w:t xml:space="preserve">Commission FY2024 audit by a nationally recognized firm as a closing condition. Obtain ERISA counsel review of the 401(k) matching suspension. Confirm no IRS or DOL inquiries are pending with respect to the Plan.</w:t>
      </w:r>
    </w:p>
    <w:p>
      <w:r>
        <w:pict>
          <v:rect style="width:0;height:1.5pt" o:hralign="center" o:hrstd="t" o:hr="t"/>
        </w:pict>
      </w:r>
    </w:p>
    <w:bookmarkEnd w:id="34"/>
    <w:bookmarkEnd w:id="35"/>
    <w:bookmarkStart w:id="36" w:name="iii.-summary-risk-matrix"/>
    <w:p>
      <w:pPr>
        <w:pStyle w:val="Heading2"/>
      </w:pPr>
      <w:r>
        <w:t xml:space="preserve">III.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left"/>
            </w:pPr>
            <w:r>
              <w:t xml:space="preserve">Severity</w:t>
            </w:r>
          </w:p>
        </w:tc>
        <w:tc>
          <w:tcPr/>
          <w:p>
            <w:pPr>
              <w:pStyle w:val="Compact"/>
              <w:jc w:val="left"/>
            </w:pPr>
            <w:r>
              <w:t xml:space="preserve">Est. Financial Exposure</w:t>
            </w:r>
          </w:p>
        </w:tc>
        <w:tc>
          <w:tcPr/>
          <w:p>
            <w:pPr>
              <w:pStyle w:val="Compact"/>
              <w:jc w:val="left"/>
            </w:pPr>
            <w:r>
              <w:t xml:space="preserve">Status</w:t>
            </w:r>
          </w:p>
        </w:tc>
      </w:tr>
      <w:tr>
        <w:tc>
          <w:tcPr/>
          <w:p>
            <w:pPr>
              <w:pStyle w:val="Compact"/>
              <w:jc w:val="left"/>
            </w:pPr>
            <w:r>
              <w:t xml:space="preserve">RF-01</w:t>
            </w:r>
          </w:p>
        </w:tc>
        <w:tc>
          <w:tcPr/>
          <w:p>
            <w:pPr>
              <w:pStyle w:val="Compact"/>
              <w:jc w:val="left"/>
            </w:pPr>
            <w:r>
              <w:t xml:space="preserve">EBITDA Quality — $1.0M Discrepancy; Aggressive Add-Backs</w:t>
            </w:r>
          </w:p>
        </w:tc>
        <w:tc>
          <w:tcPr/>
          <w:p>
            <w:pPr>
              <w:pStyle w:val="Compact"/>
              <w:jc w:val="left"/>
            </w:pPr>
            <w:r>
              <w:t xml:space="preserve">HIGH</w:t>
            </w:r>
          </w:p>
        </w:tc>
        <w:tc>
          <w:tcPr/>
          <w:p>
            <w:pPr>
              <w:pStyle w:val="Compact"/>
              <w:jc w:val="left"/>
            </w:pPr>
            <w:r>
              <w:t xml:space="preserve">$8.5M+ EV impact at 8.5x</w:t>
            </w:r>
          </w:p>
        </w:tc>
        <w:tc>
          <w:tcPr/>
          <w:p>
            <w:pPr>
              <w:pStyle w:val="Compact"/>
              <w:jc w:val="left"/>
            </w:pPr>
            <w:r>
              <w:t xml:space="preserve">Unresolved</w:t>
            </w:r>
          </w:p>
        </w:tc>
      </w:tr>
      <w:tr>
        <w:tc>
          <w:tcPr/>
          <w:p>
            <w:pPr>
              <w:pStyle w:val="Compact"/>
              <w:jc w:val="left"/>
            </w:pPr>
            <w:r>
              <w:t xml:space="preserve">RF-02</w:t>
            </w:r>
          </w:p>
        </w:tc>
        <w:tc>
          <w:tcPr/>
          <w:p>
            <w:pPr>
              <w:pStyle w:val="Compact"/>
              <w:jc w:val="left"/>
            </w:pPr>
            <w:r>
              <w:t xml:space="preserve">DOE IDIQ Ceiling Exhaustion — ~$12.1M Revenue Headwind</w:t>
            </w:r>
          </w:p>
        </w:tc>
        <w:tc>
          <w:tcPr/>
          <w:p>
            <w:pPr>
              <w:pStyle w:val="Compact"/>
              <w:jc w:val="left"/>
            </w:pPr>
            <w:r>
              <w:t xml:space="preserve">CRITICAL</w:t>
            </w:r>
          </w:p>
        </w:tc>
        <w:tc>
          <w:tcPr/>
          <w:p>
            <w:pPr>
              <w:pStyle w:val="Compact"/>
              <w:jc w:val="left"/>
            </w:pPr>
            <w:r>
              <w:t xml:space="preserve">$12.1M revenue / ~$103M EV impact</w:t>
            </w:r>
          </w:p>
        </w:tc>
        <w:tc>
          <w:tcPr/>
          <w:p>
            <w:pPr>
              <w:pStyle w:val="Compact"/>
              <w:jc w:val="left"/>
            </w:pPr>
            <w:r>
              <w:t xml:space="preserve">Unresolved</w:t>
            </w:r>
          </w:p>
        </w:tc>
      </w:tr>
      <w:tr>
        <w:tc>
          <w:tcPr/>
          <w:p>
            <w:pPr>
              <w:pStyle w:val="Compact"/>
              <w:jc w:val="left"/>
            </w:pPr>
            <w:r>
              <w:t xml:space="preserve">RF-03</w:t>
            </w:r>
          </w:p>
        </w:tc>
        <w:tc>
          <w:tcPr/>
          <w:p>
            <w:pPr>
              <w:pStyle w:val="Compact"/>
              <w:jc w:val="left"/>
            </w:pPr>
            <w:r>
              <w:t xml:space="preserve">SLC Lease &amp; Permit — Dual Unresolved Assignment Issues</w:t>
            </w:r>
          </w:p>
        </w:tc>
        <w:tc>
          <w:tcPr/>
          <w:p>
            <w:pPr>
              <w:pStyle w:val="Compact"/>
              <w:jc w:val="left"/>
            </w:pPr>
            <w:r>
              <w:t xml:space="preserve">CRITICAL</w:t>
            </w:r>
          </w:p>
        </w:tc>
        <w:tc>
          <w:tcPr/>
          <w:p>
            <w:pPr>
              <w:pStyle w:val="Compact"/>
              <w:jc w:val="left"/>
            </w:pPr>
            <w:r>
              <w:t xml:space="preserve">$16.2M revenue at risk</w:t>
            </w:r>
          </w:p>
        </w:tc>
        <w:tc>
          <w:tcPr/>
          <w:p>
            <w:pPr>
              <w:pStyle w:val="Compact"/>
              <w:jc w:val="left"/>
            </w:pPr>
            <w:r>
              <w:t xml:space="preserve">Unresolved</w:t>
            </w:r>
          </w:p>
        </w:tc>
      </w:tr>
      <w:tr>
        <w:tc>
          <w:tcPr/>
          <w:p>
            <w:pPr>
              <w:pStyle w:val="Compact"/>
              <w:jc w:val="left"/>
            </w:pPr>
            <w:r>
              <w:t xml:space="preserve">RF-04</w:t>
            </w:r>
          </w:p>
        </w:tc>
        <w:tc>
          <w:tcPr/>
          <w:p>
            <w:pPr>
              <w:pStyle w:val="Compact"/>
              <w:jc w:val="left"/>
            </w:pPr>
            <w:r>
              <w:t xml:space="preserve">Grand Junction ESA — Stale, Vapor Intrusion Unassessed</w:t>
            </w:r>
          </w:p>
        </w:tc>
        <w:tc>
          <w:tcPr/>
          <w:p>
            <w:pPr>
              <w:pStyle w:val="Compact"/>
              <w:jc w:val="left"/>
            </w:pPr>
            <w:r>
              <w:t xml:space="preserve">HIGH</w:t>
            </w:r>
          </w:p>
        </w:tc>
        <w:tc>
          <w:tcPr/>
          <w:p>
            <w:pPr>
              <w:pStyle w:val="Compact"/>
              <w:jc w:val="left"/>
            </w:pPr>
            <w:r>
              <w:t xml:space="preserve">$2.6M–$5M+ (est.)</w:t>
            </w:r>
          </w:p>
        </w:tc>
        <w:tc>
          <w:tcPr/>
          <w:p>
            <w:pPr>
              <w:pStyle w:val="Compact"/>
              <w:jc w:val="left"/>
            </w:pPr>
            <w:r>
              <w:t xml:space="preserve">Unresolved</w:t>
            </w:r>
          </w:p>
        </w:tc>
      </w:tr>
      <w:tr>
        <w:tc>
          <w:tcPr/>
          <w:p>
            <w:pPr>
              <w:pStyle w:val="Compact"/>
              <w:jc w:val="left"/>
            </w:pPr>
            <w:r>
              <w:t xml:space="preserve">RF-05</w:t>
            </w:r>
          </w:p>
        </w:tc>
        <w:tc>
          <w:tcPr/>
          <w:p>
            <w:pPr>
              <w:pStyle w:val="Compact"/>
              <w:jc w:val="left"/>
            </w:pPr>
            <w:r>
              <w:t xml:space="preserve">CDPHE Enforcement Action — Unaccrued Penalty</w:t>
            </w:r>
          </w:p>
        </w:tc>
        <w:tc>
          <w:tcPr/>
          <w:p>
            <w:pPr>
              <w:pStyle w:val="Compact"/>
              <w:jc w:val="left"/>
            </w:pPr>
            <w:r>
              <w:t xml:space="preserve">MEDIUM-HIGH</w:t>
            </w:r>
          </w:p>
        </w:tc>
        <w:tc>
          <w:tcPr/>
          <w:p>
            <w:pPr>
              <w:pStyle w:val="Compact"/>
              <w:jc w:val="left"/>
            </w:pPr>
            <w:r>
              <w:t xml:space="preserve">$200K–$1.16M</w:t>
            </w:r>
          </w:p>
        </w:tc>
        <w:tc>
          <w:tcPr/>
          <w:p>
            <w:pPr>
              <w:pStyle w:val="Compact"/>
              <w:jc w:val="left"/>
            </w:pPr>
            <w:r>
              <w:t xml:space="preserve">Unresolved</w:t>
            </w:r>
          </w:p>
        </w:tc>
      </w:tr>
      <w:tr>
        <w:tc>
          <w:tcPr/>
          <w:p>
            <w:pPr>
              <w:pStyle w:val="Compact"/>
              <w:jc w:val="left"/>
            </w:pPr>
            <w:r>
              <w:t xml:space="preserve">RF-06</w:t>
            </w:r>
          </w:p>
        </w:tc>
        <w:tc>
          <w:tcPr/>
          <w:p>
            <w:pPr>
              <w:pStyle w:val="Compact"/>
              <w:jc w:val="left"/>
            </w:pPr>
            <w:r>
              <w:t xml:space="preserve">Wyoming Permit Expired — Timely Renewal Provisions</w:t>
            </w:r>
          </w:p>
        </w:tc>
        <w:tc>
          <w:tcPr/>
          <w:p>
            <w:pPr>
              <w:pStyle w:val="Compact"/>
              <w:jc w:val="left"/>
            </w:pPr>
            <w:r>
              <w:t xml:space="preserve">MEDIUM</w:t>
            </w:r>
          </w:p>
        </w:tc>
        <w:tc>
          <w:tcPr/>
          <w:p>
            <w:pPr>
              <w:pStyle w:val="Compact"/>
              <w:jc w:val="left"/>
            </w:pPr>
            <w:r>
              <w:t xml:space="preserve">Operational disruption risk</w:t>
            </w:r>
          </w:p>
        </w:tc>
        <w:tc>
          <w:tcPr/>
          <w:p>
            <w:pPr>
              <w:pStyle w:val="Compact"/>
              <w:jc w:val="left"/>
            </w:pPr>
            <w:r>
              <w:t xml:space="preserve">Pending renewal</w:t>
            </w:r>
          </w:p>
        </w:tc>
      </w:tr>
      <w:tr>
        <w:tc>
          <w:tcPr/>
          <w:p>
            <w:pPr>
              <w:pStyle w:val="Compact"/>
              <w:jc w:val="left"/>
            </w:pPr>
            <w:r>
              <w:t xml:space="preserve">RF-07</w:t>
            </w:r>
          </w:p>
        </w:tc>
        <w:tc>
          <w:tcPr/>
          <w:p>
            <w:pPr>
              <w:pStyle w:val="Compact"/>
              <w:jc w:val="left"/>
            </w:pPr>
            <w:r>
              <w:t xml:space="preserve">Single-Trigger Severance — $2.625M Payable at Closing</w:t>
            </w:r>
          </w:p>
        </w:tc>
        <w:tc>
          <w:tcPr/>
          <w:p>
            <w:pPr>
              <w:pStyle w:val="Compact"/>
              <w:jc w:val="left"/>
            </w:pPr>
            <w:r>
              <w:t xml:space="preserve">HIGH</w:t>
            </w:r>
          </w:p>
        </w:tc>
        <w:tc>
          <w:tcPr/>
          <w:p>
            <w:pPr>
              <w:pStyle w:val="Compact"/>
              <w:jc w:val="left"/>
            </w:pPr>
            <w:r>
              <w:t xml:space="preserve">$2.625M certain; $3.775M potential</w:t>
            </w:r>
          </w:p>
        </w:tc>
        <w:tc>
          <w:tcPr/>
          <w:p>
            <w:pPr>
              <w:pStyle w:val="Compact"/>
              <w:jc w:val="left"/>
            </w:pPr>
            <w:r>
              <w:t xml:space="preserve">Unaddressed in LOI</w:t>
            </w:r>
          </w:p>
        </w:tc>
      </w:tr>
      <w:tr>
        <w:tc>
          <w:tcPr/>
          <w:p>
            <w:pPr>
              <w:pStyle w:val="Compact"/>
              <w:jc w:val="left"/>
            </w:pPr>
            <w:r>
              <w:t xml:space="preserve">RF-08</w:t>
            </w:r>
          </w:p>
        </w:tc>
        <w:tc>
          <w:tcPr/>
          <w:p>
            <w:pPr>
              <w:pStyle w:val="Compact"/>
              <w:jc w:val="left"/>
            </w:pPr>
            <w:r>
              <w:t xml:space="preserve">Customer Concentration &amp; Contract Risk</w:t>
            </w:r>
          </w:p>
        </w:tc>
        <w:tc>
          <w:tcPr/>
          <w:p>
            <w:pPr>
              <w:pStyle w:val="Compact"/>
              <w:jc w:val="left"/>
            </w:pPr>
            <w:r>
              <w:t xml:space="preserve">MEDIUM-HIGH</w:t>
            </w:r>
          </w:p>
        </w:tc>
        <w:tc>
          <w:tcPr/>
          <w:p>
            <w:pPr>
              <w:pStyle w:val="Compact"/>
              <w:jc w:val="left"/>
            </w:pPr>
            <w:r>
              <w:t xml:space="preserve">Up to $31.5M revenue at risk</w:t>
            </w:r>
          </w:p>
        </w:tc>
        <w:tc>
          <w:tcPr/>
          <w:p>
            <w:pPr>
              <w:pStyle w:val="Compact"/>
              <w:jc w:val="left"/>
            </w:pPr>
            <w:r>
              <w:t xml:space="preserve">Requires consents</w:t>
            </w:r>
          </w:p>
        </w:tc>
      </w:tr>
      <w:tr>
        <w:tc>
          <w:tcPr/>
          <w:p>
            <w:pPr>
              <w:pStyle w:val="Compact"/>
              <w:jc w:val="left"/>
            </w:pPr>
            <w:r>
              <w:t xml:space="preserve">RF-09</w:t>
            </w:r>
          </w:p>
        </w:tc>
        <w:tc>
          <w:tcPr/>
          <w:p>
            <w:pPr>
              <w:pStyle w:val="Compact"/>
              <w:jc w:val="left"/>
            </w:pPr>
            <w:r>
              <w:t xml:space="preserve">Fleet Condition — 44.7% Past Useful Life; $9.8M Backlog</w:t>
            </w:r>
          </w:p>
        </w:tc>
        <w:tc>
          <w:tcPr/>
          <w:p>
            <w:pPr>
              <w:pStyle w:val="Compact"/>
              <w:jc w:val="left"/>
            </w:pPr>
            <w:r>
              <w:t xml:space="preserve">MEDIUM</w:t>
            </w:r>
          </w:p>
        </w:tc>
        <w:tc>
          <w:tcPr/>
          <w:p>
            <w:pPr>
              <w:pStyle w:val="Compact"/>
              <w:jc w:val="left"/>
            </w:pPr>
            <w:r>
              <w:t xml:space="preserve">$3.3M/yr incremental capex</w:t>
            </w:r>
          </w:p>
        </w:tc>
        <w:tc>
          <w:tcPr/>
          <w:p>
            <w:pPr>
              <w:pStyle w:val="Compact"/>
              <w:jc w:val="left"/>
            </w:pPr>
            <w:r>
              <w:t xml:space="preserve">Unaddressed</w:t>
            </w:r>
          </w:p>
        </w:tc>
      </w:tr>
      <w:tr>
        <w:tc>
          <w:tcPr/>
          <w:p>
            <w:pPr>
              <w:pStyle w:val="Compact"/>
              <w:jc w:val="left"/>
            </w:pPr>
            <w:r>
              <w:t xml:space="preserve">RF-10</w:t>
            </w:r>
          </w:p>
        </w:tc>
        <w:tc>
          <w:tcPr/>
          <w:p>
            <w:pPr>
              <w:pStyle w:val="Compact"/>
              <w:jc w:val="left"/>
            </w:pPr>
            <w:r>
              <w:t xml:space="preserve">Mandatory Debt Prepayment — $39.2M+ at Closing</w:t>
            </w:r>
          </w:p>
        </w:tc>
        <w:tc>
          <w:tcPr/>
          <w:p>
            <w:pPr>
              <w:pStyle w:val="Compact"/>
              <w:jc w:val="left"/>
            </w:pPr>
            <w:r>
              <w:t xml:space="preserve">MEDIUM</w:t>
            </w:r>
          </w:p>
        </w:tc>
        <w:tc>
          <w:tcPr/>
          <w:p>
            <w:pPr>
              <w:pStyle w:val="Compact"/>
              <w:jc w:val="left"/>
            </w:pPr>
            <w:r>
              <w:t xml:space="preserve">$263K premium + fees</w:t>
            </w:r>
          </w:p>
        </w:tc>
        <w:tc>
          <w:tcPr/>
          <w:p>
            <w:pPr>
              <w:pStyle w:val="Compact"/>
              <w:jc w:val="left"/>
            </w:pPr>
            <w:r>
              <w:t xml:space="preserve">Known; quantify</w:t>
            </w:r>
          </w:p>
        </w:tc>
      </w:tr>
      <w:tr>
        <w:tc>
          <w:tcPr/>
          <w:p>
            <w:pPr>
              <w:pStyle w:val="Compact"/>
              <w:jc w:val="left"/>
            </w:pPr>
            <w:r>
              <w:t xml:space="preserve">RF-11</w:t>
            </w:r>
          </w:p>
        </w:tc>
        <w:tc>
          <w:tcPr/>
          <w:p>
            <w:pPr>
              <w:pStyle w:val="Compact"/>
              <w:jc w:val="left"/>
            </w:pPr>
            <w:r>
              <w:t xml:space="preserve">Insurance Gaps — Gradual Contamination; Asbestos Tail</w:t>
            </w:r>
          </w:p>
        </w:tc>
        <w:tc>
          <w:tcPr/>
          <w:p>
            <w:pPr>
              <w:pStyle w:val="Compact"/>
              <w:jc w:val="left"/>
            </w:pPr>
            <w:r>
              <w:t xml:space="preserve">HIGH</w:t>
            </w:r>
          </w:p>
        </w:tc>
        <w:tc>
          <w:tcPr/>
          <w:p>
            <w:pPr>
              <w:pStyle w:val="Compact"/>
              <w:jc w:val="left"/>
            </w:pPr>
            <w:r>
              <w:t xml:space="preserve">Unquantified; potentially material</w:t>
            </w:r>
          </w:p>
        </w:tc>
        <w:tc>
          <w:tcPr/>
          <w:p>
            <w:pPr>
              <w:pStyle w:val="Compact"/>
              <w:jc w:val="left"/>
            </w:pPr>
            <w:r>
              <w:t xml:space="preserve">Unaddressed</w:t>
            </w:r>
          </w:p>
        </w:tc>
      </w:tr>
      <w:tr>
        <w:tc>
          <w:tcPr/>
          <w:p>
            <w:pPr>
              <w:pStyle w:val="Compact"/>
              <w:jc w:val="left"/>
            </w:pPr>
            <w:r>
              <w:t xml:space="preserve">RF-12</w:t>
            </w:r>
          </w:p>
        </w:tc>
        <w:tc>
          <w:tcPr/>
          <w:p>
            <w:pPr>
              <w:pStyle w:val="Compact"/>
              <w:jc w:val="left"/>
            </w:pPr>
            <w:r>
              <w:t xml:space="preserve">NLRB Union Petition — 62 Field Technicians</w:t>
            </w:r>
          </w:p>
        </w:tc>
        <w:tc>
          <w:tcPr/>
          <w:p>
            <w:pPr>
              <w:pStyle w:val="Compact"/>
              <w:jc w:val="left"/>
            </w:pPr>
            <w:r>
              <w:t xml:space="preserve">MEDIUM</w:t>
            </w:r>
          </w:p>
        </w:tc>
        <w:tc>
          <w:tcPr/>
          <w:p>
            <w:pPr>
              <w:pStyle w:val="Compact"/>
              <w:jc w:val="left"/>
            </w:pPr>
            <w:r>
              <w:t xml:space="preserve">Labor cost increase risk</w:t>
            </w:r>
          </w:p>
        </w:tc>
        <w:tc>
          <w:tcPr/>
          <w:p>
            <w:pPr>
              <w:pStyle w:val="Compact"/>
              <w:jc w:val="left"/>
            </w:pPr>
            <w:r>
              <w:t xml:space="preserve">Undisclosed in CIM</w:t>
            </w:r>
          </w:p>
        </w:tc>
      </w:tr>
      <w:tr>
        <w:tc>
          <w:tcPr/>
          <w:p>
            <w:pPr>
              <w:pStyle w:val="Compact"/>
              <w:jc w:val="left"/>
            </w:pPr>
            <w:r>
              <w:t xml:space="preserve">RF-13</w:t>
            </w:r>
          </w:p>
        </w:tc>
        <w:tc>
          <w:tcPr/>
          <w:p>
            <w:pPr>
              <w:pStyle w:val="Compact"/>
              <w:jc w:val="left"/>
            </w:pPr>
            <w:r>
              <w:t xml:space="preserve">Unaudited FY2024; Audit Firm Downgrade; 401(k) Suspension</w:t>
            </w:r>
          </w:p>
        </w:tc>
        <w:tc>
          <w:tcPr/>
          <w:p>
            <w:pPr>
              <w:pStyle w:val="Compact"/>
              <w:jc w:val="left"/>
            </w:pPr>
            <w:r>
              <w:t xml:space="preserve">MEDIUM</w:t>
            </w:r>
          </w:p>
        </w:tc>
        <w:tc>
          <w:tcPr/>
          <w:p>
            <w:pPr>
              <w:pStyle w:val="Compact"/>
              <w:jc w:val="left"/>
            </w:pPr>
            <w:r>
              <w:t xml:space="preserve">Restatement / compliance risk</w:t>
            </w:r>
          </w:p>
        </w:tc>
        <w:tc>
          <w:tcPr/>
          <w:p>
            <w:pPr>
              <w:pStyle w:val="Compact"/>
              <w:jc w:val="left"/>
            </w:pPr>
            <w:r>
              <w:t xml:space="preserve">Requires audit</w:t>
            </w:r>
          </w:p>
        </w:tc>
      </w:tr>
    </w:tbl>
    <w:p>
      <w:r>
        <w:pict>
          <v:rect style="width:0;height:1.5pt" o:hralign="center" o:hrstd="t" o:hr="t"/>
        </w:pict>
      </w:r>
    </w:p>
    <w:bookmarkEnd w:id="36"/>
    <w:bookmarkStart w:id="37" w:name="X4a41e011d09e3714eaf810fd0055bdf52e1f075"/>
    <w:p>
      <w:pPr>
        <w:pStyle w:val="Heading2"/>
      </w:pPr>
      <w:r>
        <w:t xml:space="preserve">IV. Recommended Pre-Signing Conditions and Actions</w:t>
      </w:r>
    </w:p>
    <w:p>
      <w:pPr>
        <w:pStyle w:val="Compact"/>
        <w:numPr>
          <w:ilvl w:val="0"/>
          <w:numId w:val="1013"/>
        </w:numPr>
      </w:pPr>
      <w:r>
        <w:rPr>
          <w:b/>
          <w:bCs/>
        </w:rPr>
        <w:t xml:space="preserve">Demand a fully reconciled EBITDA bridge</w:t>
      </w:r>
      <w:r>
        <w:t xml:space="preserve"> </w:t>
      </w:r>
      <w:r>
        <w:t xml:space="preserve">signed by the CFO and QofE provider, resolving the $1.0M discrepancy.</w:t>
      </w:r>
    </w:p>
    <w:p>
      <w:pPr>
        <w:pStyle w:val="Compact"/>
        <w:numPr>
          <w:ilvl w:val="0"/>
          <w:numId w:val="1013"/>
        </w:numPr>
      </w:pPr>
      <w:r>
        <w:rPr>
          <w:b/>
          <w:bCs/>
        </w:rPr>
        <w:t xml:space="preserve">Engage directly with the DOE Contracting Officer</w:t>
      </w:r>
      <w:r>
        <w:t xml:space="preserve"> </w:t>
      </w:r>
      <w:r>
        <w:t xml:space="preserve">regarding ceiling modification, novation requirements, and post-closing contract status.</w:t>
      </w:r>
    </w:p>
    <w:p>
      <w:pPr>
        <w:pStyle w:val="Compact"/>
        <w:numPr>
          <w:ilvl w:val="0"/>
          <w:numId w:val="1013"/>
        </w:numPr>
      </w:pPr>
      <w:r>
        <w:rPr>
          <w:b/>
          <w:bCs/>
        </w:rPr>
        <w:t xml:space="preserve">Require landlord consent</w:t>
      </w:r>
      <w:r>
        <w:t xml:space="preserve"> </w:t>
      </w:r>
      <w:r>
        <w:t xml:space="preserve">to the Pinnacle-to-RES assignment and the Sycamore acquisition as a condition to closing; accelerate Utah permit transfer.</w:t>
      </w:r>
    </w:p>
    <w:p>
      <w:pPr>
        <w:pStyle w:val="Compact"/>
        <w:numPr>
          <w:ilvl w:val="0"/>
          <w:numId w:val="1013"/>
        </w:numPr>
      </w:pPr>
      <w:r>
        <w:rPr>
          <w:b/>
          <w:bCs/>
        </w:rPr>
        <w:t xml:space="preserve">Commission an updated Phase II ESA and vapor intrusion assessment</w:t>
      </w:r>
      <w:r>
        <w:t xml:space="preserve"> </w:t>
      </w:r>
      <w:r>
        <w:t xml:space="preserve">at Grand Junction; obtain independent remediation cost estimate.</w:t>
      </w:r>
    </w:p>
    <w:p>
      <w:pPr>
        <w:pStyle w:val="Compact"/>
        <w:numPr>
          <w:ilvl w:val="0"/>
          <w:numId w:val="1013"/>
        </w:numPr>
      </w:pPr>
      <w:r>
        <w:rPr>
          <w:b/>
          <w:bCs/>
        </w:rPr>
        <w:t xml:space="preserve">Negotiate specific environmental indemnification</w:t>
      </w:r>
      <w:r>
        <w:t xml:space="preserve"> </w:t>
      </w:r>
      <w:r>
        <w:t xml:space="preserve">with a separate escrow and six-year survival period.</w:t>
      </w:r>
    </w:p>
    <w:p>
      <w:pPr>
        <w:pStyle w:val="Compact"/>
        <w:numPr>
          <w:ilvl w:val="0"/>
          <w:numId w:val="1013"/>
        </w:numPr>
      </w:pPr>
      <w:r>
        <w:rPr>
          <w:b/>
          <w:bCs/>
        </w:rPr>
        <w:t xml:space="preserve">Classify single-trigger Calloway severance ($2.625M) as a seller transaction expense</w:t>
      </w:r>
      <w:r>
        <w:t xml:space="preserve"> </w:t>
      </w:r>
      <w:r>
        <w:t xml:space="preserve">in the SPA.</w:t>
      </w:r>
    </w:p>
    <w:p>
      <w:pPr>
        <w:pStyle w:val="Compact"/>
        <w:numPr>
          <w:ilvl w:val="0"/>
          <w:numId w:val="1013"/>
        </w:numPr>
      </w:pPr>
      <w:r>
        <w:rPr>
          <w:b/>
          <w:bCs/>
        </w:rPr>
        <w:t xml:space="preserve">Obtain change-of-control consents</w:t>
      </w:r>
      <w:r>
        <w:t xml:space="preserve"> </w:t>
      </w:r>
      <w:r>
        <w:t xml:space="preserve">from all top-10 customers with contractual consent requirements.</w:t>
      </w:r>
    </w:p>
    <w:p>
      <w:pPr>
        <w:pStyle w:val="Compact"/>
        <w:numPr>
          <w:ilvl w:val="0"/>
          <w:numId w:val="1013"/>
        </w:numPr>
      </w:pPr>
      <w:r>
        <w:rPr>
          <w:b/>
          <w:bCs/>
        </w:rPr>
        <w:t xml:space="preserve">Confirm Intermountain Health Systems renewal</w:t>
      </w:r>
      <w:r>
        <w:t xml:space="preserve"> </w:t>
      </w:r>
      <w:r>
        <w:t xml:space="preserve">before signing.</w:t>
      </w:r>
    </w:p>
    <w:p>
      <w:pPr>
        <w:pStyle w:val="Compact"/>
        <w:numPr>
          <w:ilvl w:val="0"/>
          <w:numId w:val="1013"/>
        </w:numPr>
      </w:pPr>
      <w:r>
        <w:rPr>
          <w:b/>
          <w:bCs/>
        </w:rPr>
        <w:t xml:space="preserve">Obtain independent fleet condition assessment</w:t>
      </w:r>
      <w:r>
        <w:t xml:space="preserve"> </w:t>
      </w:r>
      <w:r>
        <w:t xml:space="preserve">and adjust normalized capex assumptions.</w:t>
      </w:r>
    </w:p>
    <w:p>
      <w:pPr>
        <w:pStyle w:val="Compact"/>
        <w:numPr>
          <w:ilvl w:val="0"/>
          <w:numId w:val="1013"/>
        </w:numPr>
      </w:pPr>
      <w:r>
        <w:rPr>
          <w:b/>
          <w:bCs/>
        </w:rPr>
        <w:t xml:space="preserve">Require procurement of PLL tail coverage</w:t>
      </w:r>
      <w:r>
        <w:t xml:space="preserve"> </w:t>
      </w:r>
      <w:r>
        <w:t xml:space="preserve">for pre-2015 asbestos operations.</w:t>
      </w:r>
    </w:p>
    <w:p>
      <w:pPr>
        <w:pStyle w:val="Compact"/>
        <w:numPr>
          <w:ilvl w:val="0"/>
          <w:numId w:val="1013"/>
        </w:numPr>
      </w:pPr>
      <w:r>
        <w:rPr>
          <w:b/>
          <w:bCs/>
        </w:rPr>
        <w:t xml:space="preserve">Obtain full briefing on NLRB petition</w:t>
      </w:r>
      <w:r>
        <w:t xml:space="preserve"> </w:t>
      </w:r>
      <w:r>
        <w:t xml:space="preserve">and assess materiality.</w:t>
      </w:r>
    </w:p>
    <w:p>
      <w:pPr>
        <w:pStyle w:val="Compact"/>
        <w:numPr>
          <w:ilvl w:val="0"/>
          <w:numId w:val="1013"/>
        </w:numPr>
      </w:pPr>
      <w:r>
        <w:rPr>
          <w:b/>
          <w:bCs/>
        </w:rPr>
        <w:t xml:space="preserve">Commission FY2024 audit</w:t>
      </w:r>
      <w:r>
        <w:t xml:space="preserve"> </w:t>
      </w:r>
      <w:r>
        <w:t xml:space="preserve">by a nationally recognized firm.</w:t>
      </w:r>
    </w:p>
    <w:p>
      <w:pPr>
        <w:pStyle w:val="Compact"/>
        <w:numPr>
          <w:ilvl w:val="0"/>
          <w:numId w:val="1013"/>
        </w:numPr>
      </w:pPr>
      <w:r>
        <w:rPr>
          <w:b/>
          <w:bCs/>
        </w:rPr>
        <w:t xml:space="preserve">Obtain ERISA counsel review</w:t>
      </w:r>
      <w:r>
        <w:t xml:space="preserve"> </w:t>
      </w:r>
      <w:r>
        <w:t xml:space="preserve">of the 401(k) matching suspension.</w:t>
      </w:r>
    </w:p>
    <w:p>
      <w:pPr>
        <w:pStyle w:val="Compact"/>
        <w:numPr>
          <w:ilvl w:val="0"/>
          <w:numId w:val="1013"/>
        </w:numPr>
      </w:pPr>
      <w:r>
        <w:rPr>
          <w:b/>
          <w:bCs/>
        </w:rPr>
        <w:t xml:space="preserve">Confirm Wyoming permit renewal</w:t>
      </w:r>
      <w:r>
        <w:t xml:space="preserve"> </w:t>
      </w:r>
      <w:r>
        <w:t xml:space="preserve">status with DEQ.</w:t>
      </w:r>
    </w:p>
    <w:p>
      <w:r>
        <w:pict>
          <v:rect style="width:0;height:1.5pt" o:hralign="center" o:hrstd="t" o:hr="t"/>
        </w:pict>
      </w:r>
    </w:p>
    <w:p>
      <w:pPr>
        <w:pStyle w:val="FirstParagraph"/>
      </w:pPr>
      <w:r>
        <w:rPr>
          <w:i/>
          <w:iCs/>
        </w:rPr>
        <w:t xml:space="preserve">This memorandum is prepared for internal use by the Sycamore Capital Partners deal team and its advisors. It is based solely on information contained in the Project Ridgeline data room as of December 2024 and does not constitute legal, financial, tax, or environmental advice. Independent verification of all matters described herein is strongly recommended.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2026-08-25T04:44:54Z</dcterms:created>
  <dcterms:modified xsi:type="dcterms:W3CDTF">2026-08-25T04:44:54Z</dcterms:modified>
</cp:coreProperties>
</file>

<file path=docProps/custom.xml><?xml version="1.0" encoding="utf-8"?>
<Properties xmlns="http://schemas.openxmlformats.org/officeDocument/2006/custom-properties" xmlns:vt="http://schemas.openxmlformats.org/officeDocument/2006/docPropsVTypes"/>
</file>