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PRIVILEGED AND CONFIDENTIAL — ATTORNEY-CLIENT COMMUNICATION</w:t>
      </w:r>
    </w:p>
    <w:p>
      <w:pPr>
        <w:pStyle w:val="Title"/>
        <w:jc w:val="center"/>
      </w:pPr>
      <w:r>
        <w:t>DILIGENCE RED FLAG MEMORANDUM</w:t>
      </w:r>
    </w:p>
    <w:tbl>
      <w:tblPr>
        <w:tblStyle w:val="TableGrid"/>
        <w:tblW w:type="auto" w:w="0"/>
        <w:tblLook w:firstColumn="1" w:firstRow="1" w:lastColumn="0" w:lastRow="0" w:noHBand="0" w:noVBand="1" w:val="04A0"/>
      </w:tblPr>
      <w:tblGrid>
        <w:gridCol w:w="4320"/>
        <w:gridCol w:w="4320"/>
      </w:tblGrid>
      <w:tr>
        <w:tc>
          <w:tcPr>
            <w:tcW w:type="dxa" w:w="4320"/>
          </w:tcPr>
          <w:p>
            <w:r>
              <w:rPr>
                <w:b/>
              </w:rPr>
              <w:t>Project:</w:t>
            </w:r>
          </w:p>
        </w:tc>
        <w:tc>
          <w:tcPr>
            <w:tcW w:type="dxa" w:w="4320"/>
          </w:tcPr>
          <w:p>
            <w:r>
              <w:t>Ridgeline — Acquisition of Ridgeline Environmental Services, Inc.</w:t>
            </w:r>
          </w:p>
        </w:tc>
      </w:tr>
      <w:tr>
        <w:tc>
          <w:tcPr>
            <w:tcW w:type="dxa" w:w="4320"/>
          </w:tcPr>
          <w:p>
            <w:r>
              <w:rPr>
                <w:b/>
              </w:rPr>
              <w:t>Prepared for:</w:t>
            </w:r>
          </w:p>
        </w:tc>
        <w:tc>
          <w:tcPr>
            <w:tcW w:type="dxa" w:w="4320"/>
          </w:tcPr>
          <w:p>
            <w:r>
              <w:t>Sycamore Capital Partners, LP</w:t>
            </w:r>
          </w:p>
        </w:tc>
      </w:tr>
      <w:tr>
        <w:tc>
          <w:tcPr>
            <w:tcW w:type="dxa" w:w="4320"/>
          </w:tcPr>
          <w:p>
            <w:r>
              <w:rPr>
                <w:b/>
              </w:rPr>
              <w:t>Prepared by:</w:t>
            </w:r>
          </w:p>
        </w:tc>
        <w:tc>
          <w:tcPr>
            <w:tcW w:type="dxa" w:w="4320"/>
          </w:tcPr>
          <w:p>
            <w:r>
              <w:t>Diligence Review Team</w:t>
            </w:r>
          </w:p>
        </w:tc>
      </w:tr>
      <w:tr>
        <w:tc>
          <w:tcPr>
            <w:tcW w:type="dxa" w:w="4320"/>
          </w:tcPr>
          <w:p>
            <w:r>
              <w:rPr>
                <w:b/>
              </w:rPr>
              <w:t>Date:</w:t>
            </w:r>
          </w:p>
        </w:tc>
        <w:tc>
          <w:tcPr>
            <w:tcW w:type="dxa" w:w="4320"/>
          </w:tcPr>
          <w:p>
            <w:r>
              <w:t>December 2024</w:t>
            </w:r>
          </w:p>
        </w:tc>
      </w:tr>
      <w:tr>
        <w:tc>
          <w:tcPr>
            <w:tcW w:type="dxa" w:w="4320"/>
          </w:tcPr>
          <w:p>
            <w:r>
              <w:rPr>
                <w:b/>
              </w:rPr>
              <w:t>Subject:</w:t>
            </w:r>
          </w:p>
        </w:tc>
        <w:tc>
          <w:tcPr>
            <w:tcW w:type="dxa" w:w="4320"/>
          </w:tcPr>
          <w:p>
            <w:r>
              <w:t>Summary of Material Red Flags Identified in Data Room Review</w:t>
            </w:r>
          </w:p>
        </w:tc>
      </w:tr>
    </w:tbl>
    <w:p/>
    <w:p>
      <w:pPr>
        <w:pStyle w:val="Heading1"/>
      </w:pPr>
      <w:r>
        <w:t>I. EXECUTIVE SUMMARY</w:t>
      </w:r>
    </w:p>
    <w:p>
      <w:pPr>
        <w:spacing w:after="120"/>
      </w:pPr>
      <w:r>
        <w:t>This memorandum summarizes material red flags and diligence concerns identified through a comprehensive review of the Project Ridgeline data room, including the Confidential Information Memorandum, Quality of Earnings data package, Litigation and Regulatory Summary, Real Property and Lease Schedule, Phase II Environmental Site Assessment, Credit Agreement Summary, Customer Contract Summary, Employment Agreements Summary, Environmental Permit Schedule, Insurance Program Summary, and Employee Benefits Summary.</w:t>
      </w:r>
    </w:p>
    <w:p>
      <w:pPr>
        <w:spacing w:after="120"/>
      </w:pPr>
      <w:r>
        <w:t>Thirteen (13) distinct red flags have been identified, spanning six risk categories: (1) Financial / Quality of Earnings, (2) Environmental &amp; Regulatory, (3) Commercial / Customer Concentration, (4) Legal &amp; Litigation, (5) Structural / Transactional, and (6) Operational. Each flag is rated by Severity (Critical / High / Medium) and Likelihood of Impact (High / Medium / Low).</w:t>
      </w:r>
    </w:p>
    <w:p>
      <w:pPr>
        <w:spacing w:after="120"/>
      </w:pPr>
      <w:r>
        <w:t>The most critical issues are: (a) a material EBITDA discrepancy between the CIM and the QofE data package that calls into question the reliability of the valuation anchor; (b) the DOE IDIQ contract ceiling exhaustion, which threatens approximately $12.1 million of FY2025 revenue; (c) unresolved environmental contamination at the owned Grand Junction facility with a stale 2019 cost estimate; (d) the Salt Lake City lease and permit double-jeopardy (unobtained landlord consent and pending permit transfer); and (e) $3.775 million in change-of-control severance obligations whose allocation between buyer and seller has not been addressed in the LOI.</w:t>
      </w:r>
    </w:p>
    <w:p>
      <w:pPr>
        <w:spacing w:after="120"/>
      </w:pPr>
      <w:r>
        <w:t>Buyer should not proceed to signing without resolving or appropriately pricing each Critical and High severity item.</w:t>
      </w:r>
    </w:p>
    <w:p>
      <w:pPr>
        <w:pStyle w:val="Heading1"/>
      </w:pPr>
      <w:r>
        <w:t>II. RED FLAG DETAIL</w:t>
      </w:r>
    </w:p>
    <w:p>
      <w:pPr>
        <w:pStyle w:val="Heading2"/>
      </w:pPr>
      <w:r>
        <w:t>RED FLAG 1 — EBITDA Discrepancy: CIM vs. QofE Data Package</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Financial / Quality of Earnings</w:t>
            </w:r>
          </w:p>
        </w:tc>
      </w:tr>
      <w:tr>
        <w:tc>
          <w:tcPr>
            <w:tcW w:type="dxa" w:w="4320"/>
          </w:tcPr>
          <w:p>
            <w:r>
              <w:rPr>
                <w:b/>
              </w:rPr>
              <w:t>Severity:</w:t>
            </w:r>
          </w:p>
        </w:tc>
        <w:tc>
          <w:tcPr>
            <w:tcW w:type="dxa" w:w="4320"/>
          </w:tcPr>
          <w:p>
            <w:r>
              <w:rPr>
                <w:b/>
                <w:color w:val="C00000"/>
              </w:rPr>
              <w:t>CRITICAL</w:t>
            </w:r>
          </w:p>
        </w:tc>
      </w:tr>
      <w:tr>
        <w:tc>
          <w:tcPr>
            <w:tcW w:type="dxa" w:w="4320"/>
          </w:tcPr>
          <w:p>
            <w:r>
              <w:rPr>
                <w:b/>
              </w:rPr>
              <w:t>Likelihood of Impact:</w:t>
            </w:r>
          </w:p>
        </w:tc>
        <w:tc>
          <w:tcPr>
            <w:tcW w:type="dxa" w:w="4320"/>
          </w:tcPr>
          <w:p>
            <w:r>
              <w:t>High</w:t>
            </w:r>
          </w:p>
        </w:tc>
      </w:tr>
    </w:tbl>
    <w:p/>
    <w:p>
      <w:pPr>
        <w:spacing w:after="80"/>
      </w:pPr>
      <w:r>
        <w:t>The CIM presents FY2024 Adjusted EBITDA of $22.8 million. The QofE data package (EBITDA Bridge &amp; Adjustments tab) calculates Management Adjusted EBITDA of $23.8 million — a $1.0 million discrepancy that management has acknowledged but not yet reconciled. The specific adjustment category causing the difference has not been identified. The LOI enterprise value range of $182–$205 million is anchored to the $22.8 million figure; at 8.0x–9.0x, a $1.0 million EBITDA swing equates to an $8–$9 million valuation difference.</w:t>
      </w:r>
    </w:p>
    <w:p>
      <w:pPr>
        <w:spacing w:after="80"/>
      </w:pPr>
      <w:r>
        <w:t>The QofE data package also reveals that the bank's definition of Consolidated EBITDA (per the High Plains National Bank credit agreement) produces only $18.4 million — approximately $4.4 million below management's adjusted figure — because the credit agreement expressly disallows add-backs for owner compensation normalization, ERP costs, acquisition integration costs, asbestos wind-down costs, and litigation settlements. All $4.4 million in adjustments being added back to reach the $22.8 million figure are excluded under the bank covenant definition.</w:t>
      </w:r>
    </w:p>
    <w:p>
      <w:pPr>
        <w:spacing w:after="80"/>
      </w:pPr>
      <w:r>
        <w:t>The $950K owner compensation normalization add-back assumes replacement CEOs and COOs at $400K each, but the founders' existing agreements entitle them to $875K each. Buyer must confirm whether founders will accept reduced compensation post-close and whether the normalization assumption is achievable.</w:t>
      </w:r>
    </w:p>
    <w:p>
      <w:pPr>
        <w:spacing w:after="80"/>
      </w:pPr>
      <w:r>
        <w:t>The $1.2 million 'litigation settlement' add-back represents a cash receipt from the Clearwater Logistics settlement — not a cost — and its characterization as a non-recurring add-back to EBITDA warrants scrutiny. Receipts from litigation settlements are not standard EBITDA add-backs.</w:t>
      </w:r>
    </w:p>
    <w:p>
      <w:r>
        <w:rPr>
          <w:b/>
          <w:u w:val="single"/>
        </w:rPr>
        <w:t>Required Actions:</w:t>
      </w:r>
    </w:p>
    <w:p>
      <w:pPr>
        <w:pStyle w:val="ListBullet"/>
        <w:spacing w:after="40"/>
      </w:pPr>
      <w:r>
        <w:t>Demand a fully reconciled EBITDA bridge resolving the $1.0 million discrepancy before signing.</w:t>
      </w:r>
    </w:p>
    <w:p>
      <w:pPr>
        <w:pStyle w:val="ListBullet"/>
        <w:spacing w:after="40"/>
      </w:pPr>
      <w:r>
        <w:t>Engage Bridgewater Forsyth Group to independently validate each of the $4.4 million in add-backs.</w:t>
      </w:r>
    </w:p>
    <w:p>
      <w:pPr>
        <w:pStyle w:val="ListBullet"/>
        <w:spacing w:after="40"/>
      </w:pPr>
      <w:r>
        <w:t>Confirm founders' post-close compensation arrangements before relying on the owner comp normalization add-back.</w:t>
      </w:r>
    </w:p>
    <w:p>
      <w:pPr>
        <w:pStyle w:val="ListBullet"/>
        <w:spacing w:after="40"/>
      </w:pPr>
      <w:r>
        <w:t>Assess whether the litigation settlement receipt is appropriately characterized as non-recurring.</w:t>
      </w:r>
    </w:p>
    <w:p/>
    <w:p>
      <w:pPr>
        <w:pStyle w:val="Heading2"/>
      </w:pPr>
      <w:r>
        <w:t>RED FLAG 2 — DOE IDIQ Contract Ceiling Exhaustion: ~$12.1M FY2025 Revenue Headwind</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Commercial / Customer Concentration</w:t>
            </w:r>
          </w:p>
        </w:tc>
      </w:tr>
      <w:tr>
        <w:tc>
          <w:tcPr>
            <w:tcW w:type="dxa" w:w="4320"/>
          </w:tcPr>
          <w:p>
            <w:r>
              <w:rPr>
                <w:b/>
              </w:rPr>
              <w:t>Severity:</w:t>
            </w:r>
          </w:p>
        </w:tc>
        <w:tc>
          <w:tcPr>
            <w:tcW w:type="dxa" w:w="4320"/>
          </w:tcPr>
          <w:p>
            <w:r>
              <w:rPr>
                <w:b/>
                <w:color w:val="C00000"/>
              </w:rPr>
              <w:t>CRITICAL</w:t>
            </w:r>
          </w:p>
        </w:tc>
      </w:tr>
      <w:tr>
        <w:tc>
          <w:tcPr>
            <w:tcW w:type="dxa" w:w="4320"/>
          </w:tcPr>
          <w:p>
            <w:r>
              <w:rPr>
                <w:b/>
              </w:rPr>
              <w:t>Likelihood of Impact:</w:t>
            </w:r>
          </w:p>
        </w:tc>
        <w:tc>
          <w:tcPr>
            <w:tcW w:type="dxa" w:w="4320"/>
          </w:tcPr>
          <w:p>
            <w:r>
              <w:t>High</w:t>
            </w:r>
          </w:p>
        </w:tc>
      </w:tr>
    </w:tbl>
    <w:p/>
    <w:p>
      <w:pPr>
        <w:spacing w:after="80"/>
      </w:pPr>
      <w:r>
        <w:t>The U.S. Department of Energy is the Company's largest customer at $24.4 million (19.2% of TTM revenue). Revenue is generated under IDIQ Contract No. DE-EM-0005523 (5-year term, $45.0 million ceiling, expiring August 31, 2026). As of the data room cutoff, $32.7 million of the $45.0 million ceiling has been consumed (72.7% utilization) with only 61.7% of the contract period elapsed.</w:t>
      </w:r>
    </w:p>
    <w:p>
      <w:pPr>
        <w:spacing w:after="80"/>
      </w:pPr>
      <w:r>
        <w:t>At the current run rate of approximately $2.03 million per month, the remaining $12.3 million ceiling will be exhausted by approximately April–May 2025 — coinciding with the target closing date. The contract does not expire until August 2026, leaving approximately 16 months of unfunded contract period.</w:t>
      </w:r>
    </w:p>
    <w:p>
      <w:pPr>
        <w:spacing w:after="80"/>
      </w:pPr>
      <w:r>
        <w:t>Unless DOE issues a ceiling modification or a new contract is awarded, FY2025 DOE revenue could decline from $24.4 million to $12.3 million or less — a $12.1 million revenue headwind representing approximately 9.5% of total revenue. This risk is not disclosed in the CIM, which presents the DOE relationship as providing 'substantial near-term revenue visibility.'</w:t>
      </w:r>
    </w:p>
    <w:p>
      <w:pPr>
        <w:spacing w:after="80"/>
      </w:pPr>
      <w:r>
        <w:t>The contract is non-assignable without Contracting Officer consent per the Anti-Assignment Act (41 U.S.C. § 6305) and FAR 42.12. Contract Section H, Clause H-12 requires written notification to the Contracting Officer within 30 days of any change in ownership. Failure to notify may be grounds for termination for default.</w:t>
      </w:r>
    </w:p>
    <w:p>
      <w:r>
        <w:rPr>
          <w:b/>
          <w:u w:val="single"/>
        </w:rPr>
        <w:t>Required Actions:</w:t>
      </w:r>
    </w:p>
    <w:p>
      <w:pPr>
        <w:pStyle w:val="ListBullet"/>
        <w:spacing w:after="40"/>
      </w:pPr>
      <w:r>
        <w:t>Obtain written confirmation from the DOE Contracting Officer regarding ceiling modification prospects and novation requirements before signing.</w:t>
      </w:r>
    </w:p>
    <w:p>
      <w:pPr>
        <w:pStyle w:val="ListBullet"/>
        <w:spacing w:after="40"/>
      </w:pPr>
      <w:r>
        <w:t>Model FY2025 and FY2026 revenue scenarios assuming no ceiling increase.</w:t>
      </w:r>
    </w:p>
    <w:p>
      <w:pPr>
        <w:pStyle w:val="ListBullet"/>
        <w:spacing w:after="40"/>
      </w:pPr>
      <w:r>
        <w:t>Adjust enterprise value downward if ceiling exhaustion is confirmed without a modification in place.</w:t>
      </w:r>
    </w:p>
    <w:p>
      <w:pPr>
        <w:pStyle w:val="ListBullet"/>
        <w:spacing w:after="40"/>
      </w:pPr>
      <w:r>
        <w:t>Require a specific representation and warranty regarding DOE contract status and ceiling availability.</w:t>
      </w:r>
    </w:p>
    <w:p/>
    <w:p>
      <w:pPr>
        <w:pStyle w:val="Heading2"/>
      </w:pPr>
      <w:r>
        <w:t>RED FLAG 3 — Grand Junction Environmental Contamination: Stale ESA, Unquantified Upside Risk</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Environmental &amp; Regulatory</w:t>
            </w:r>
          </w:p>
        </w:tc>
      </w:tr>
      <w:tr>
        <w:tc>
          <w:tcPr>
            <w:tcW w:type="dxa" w:w="4320"/>
          </w:tcPr>
          <w:p>
            <w:r>
              <w:rPr>
                <w:b/>
              </w:rPr>
              <w:t>Severity:</w:t>
            </w:r>
          </w:p>
        </w:tc>
        <w:tc>
          <w:tcPr>
            <w:tcW w:type="dxa" w:w="4320"/>
          </w:tcPr>
          <w:p>
            <w:r>
              <w:rPr>
                <w:b/>
                <w:color w:val="C00000"/>
              </w:rPr>
              <w:t>CRITICAL</w:t>
            </w:r>
          </w:p>
        </w:tc>
      </w:tr>
      <w:tr>
        <w:tc>
          <w:tcPr>
            <w:tcW w:type="dxa" w:w="4320"/>
          </w:tcPr>
          <w:p>
            <w:r>
              <w:rPr>
                <w:b/>
              </w:rPr>
              <w:t>Likelihood of Impact:</w:t>
            </w:r>
          </w:p>
        </w:tc>
        <w:tc>
          <w:tcPr>
            <w:tcW w:type="dxa" w:w="4320"/>
          </w:tcPr>
          <w:p>
            <w:r>
              <w:t>High</w:t>
            </w:r>
          </w:p>
        </w:tc>
      </w:tr>
    </w:tbl>
    <w:p/>
    <w:p>
      <w:pPr>
        <w:spacing w:after="80"/>
      </w:pPr>
      <w:r>
        <w:t>The Company's owned Grand Junction headquarters (8750 Industrial Parkway) has documented soil and groundwater contamination from pre-acquisition industrial operations, confirmed by a Phase II ESA completed in June 2019 — over five years ago. The ESA identified: (i) petroleum hydrocarbon contamination (TPH-diesel up to 4,200 mg/kg; benzene in groundwater at 12 µg/L, exceeding Colorado standards) in the former UST area; (ii) chlorinated solvent contamination (PCE up to 18 mg/kg in soil; PCE at 22 µg/L and TCE at 8.7 µg/L in groundwater, both exceeding Colorado standards) in the former degreasing area; and (iii) potential vapor intrusion into the occupied 28,000 sq. ft. vehicle maintenance building (PCE at 450 µg/m³ and TCE at 120 µg/m³ in soil gas, both exceeding EPA RSLs).</w:t>
      </w:r>
    </w:p>
    <w:p>
      <w:pPr>
        <w:spacing w:after="80"/>
      </w:pPr>
      <w:r>
        <w:t>No vapor intrusion assessment has been conducted. No off-site sentinel monitoring wells have been installed to confirm the plume has not migrated toward the Colorado River drainage system — both of which were explicitly recommended in the 2019 ESA.</w:t>
      </w:r>
    </w:p>
    <w:p>
      <w:pPr>
        <w:spacing w:after="80"/>
      </w:pPr>
      <w:r>
        <w:t>The 2019 cost estimate of $1.8–$2.6 million is in 2019 dollars, has not been updated, and expressly excludes vapor intrusion assessment/mitigation, off-site remediation (if plume has migrated), and DNAPL migration costs. The Company has accrued $2.2 million for Grand Junction, which may be materially insufficient.</w:t>
      </w:r>
    </w:p>
    <w:p>
      <w:pPr>
        <w:spacing w:after="80"/>
      </w:pPr>
      <w:r>
        <w:t>The Pollution Legal Liability policy explicitly excludes gradual contamination at owned facilities — the exact characterization applied to this contamination in the ESA. There is no insurance backstop for this liability.</w:t>
      </w:r>
    </w:p>
    <w:p>
      <w:r>
        <w:rPr>
          <w:b/>
          <w:u w:val="single"/>
        </w:rPr>
        <w:t>Required Actions:</w:t>
      </w:r>
    </w:p>
    <w:p>
      <w:pPr>
        <w:pStyle w:val="ListBullet"/>
        <w:spacing w:after="40"/>
      </w:pPr>
      <w:r>
        <w:t>Commission an updated Phase II ESA and vapor intrusion assessment at seller's expense as a condition to signing.</w:t>
      </w:r>
    </w:p>
    <w:p>
      <w:pPr>
        <w:pStyle w:val="ListBullet"/>
        <w:spacing w:after="40"/>
      </w:pPr>
      <w:r>
        <w:t>Install off-site sentinel monitoring wells to confirm plume containment.</w:t>
      </w:r>
    </w:p>
    <w:p>
      <w:pPr>
        <w:pStyle w:val="ListBullet"/>
        <w:spacing w:after="40"/>
      </w:pPr>
      <w:r>
        <w:t>Obtain an independent remediation cost estimate in current dollars.</w:t>
      </w:r>
    </w:p>
    <w:p>
      <w:pPr>
        <w:pStyle w:val="ListBullet"/>
        <w:spacing w:after="40"/>
      </w:pPr>
      <w:r>
        <w:t>Negotiate a specific environmental indemnity with a cap above the general indemnity cap and a 6-year survival period.</w:t>
      </w:r>
    </w:p>
    <w:p>
      <w:pPr>
        <w:pStyle w:val="ListBullet"/>
        <w:spacing w:after="40"/>
      </w:pPr>
      <w:r>
        <w:t>Consider a separate environmental escrow funded at the upper end of the updated cost estimate.</w:t>
      </w:r>
    </w:p>
    <w:p/>
    <w:p>
      <w:pPr>
        <w:pStyle w:val="Heading2"/>
      </w:pPr>
      <w:r>
        <w:t>RED FLAG 4 — Salt Lake City Lease: Unobtained Landlord Consent (Dual Jeopardy)</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Structural / Transactional</w:t>
            </w:r>
          </w:p>
        </w:tc>
      </w:tr>
      <w:tr>
        <w:tc>
          <w:tcPr>
            <w:tcW w:type="dxa" w:w="4320"/>
          </w:tcPr>
          <w:p>
            <w:r>
              <w:rPr>
                <w:b/>
              </w:rPr>
              <w:t>Severity:</w:t>
            </w:r>
          </w:p>
        </w:tc>
        <w:tc>
          <w:tcPr>
            <w:tcW w:type="dxa" w:w="4320"/>
          </w:tcPr>
          <w:p>
            <w:r>
              <w:rPr>
                <w:b/>
                <w:color w:val="C00000"/>
              </w:rPr>
              <w:t>CRITICAL</w:t>
            </w:r>
          </w:p>
        </w:tc>
      </w:tr>
      <w:tr>
        <w:tc>
          <w:tcPr>
            <w:tcW w:type="dxa" w:w="4320"/>
          </w:tcPr>
          <w:p>
            <w:r>
              <w:rPr>
                <w:b/>
              </w:rPr>
              <w:t>Likelihood of Impact:</w:t>
            </w:r>
          </w:p>
        </w:tc>
        <w:tc>
          <w:tcPr>
            <w:tcW w:type="dxa" w:w="4320"/>
          </w:tcPr>
          <w:p>
            <w:r>
              <w:t>High</w:t>
            </w:r>
          </w:p>
        </w:tc>
      </w:tr>
    </w:tbl>
    <w:p/>
    <w:p>
      <w:pPr>
        <w:spacing w:after="80"/>
      </w:pPr>
      <w:r>
        <w:t>The Salt Lake City transfer station (2100 West North Temple) contributes approximately $16.2 million (12.7%) of total annual revenue. The lease was originally executed by Pinnacle Waste Solutions, LLC in 2019. Section 14 of the lease defines any change of control of the tenant as an assignment requiring landlord consent. RES requested consent on April 12, 2022 following the Pinnacle acquisition. As of December 2024 — over 2.5 years later — the landlord (Wasatch Industrial Properties, LLC) has not provided written consent or acknowledgment.</w:t>
      </w:r>
    </w:p>
    <w:p>
      <w:pPr>
        <w:spacing w:after="80"/>
      </w:pPr>
      <w:r>
        <w:t>The proposed Sycamore acquisition would constitute a second, independent change-of-control event under the same clause, requiring a separate consent. The Company is therefore in a position of: (1) an unresolved pre-existing assignment default, and (2) a pending additional consent requirement for the proposed transaction.</w:t>
      </w:r>
    </w:p>
    <w:p>
      <w:pPr>
        <w:spacing w:after="80"/>
      </w:pPr>
      <w:r>
        <w:t>The landlord has accepted rent without objection, but this does not cure the default under applicable law. The landlord's prolonged silence — despite follow-up correspondence in July 2022 and November 2022 — may indicate a deliberate posture.</w:t>
      </w:r>
    </w:p>
    <w:p>
      <w:pPr>
        <w:spacing w:after="80"/>
      </w:pPr>
      <w:r>
        <w:t>If the landlord terminates the lease, $16.2 million of annual revenue and the Utah hazardous waste permit (UTH-0441) are simultaneously at risk.</w:t>
      </w:r>
    </w:p>
    <w:p>
      <w:r>
        <w:rPr>
          <w:b/>
          <w:u w:val="single"/>
        </w:rPr>
        <w:t>Required Actions:</w:t>
      </w:r>
    </w:p>
    <w:p>
      <w:pPr>
        <w:pStyle w:val="ListBullet"/>
        <w:spacing w:after="40"/>
      </w:pPr>
      <w:r>
        <w:t>Obtain landlord consent as a hard closing condition — not a post-closing obligation.</w:t>
      </w:r>
    </w:p>
    <w:p>
      <w:pPr>
        <w:pStyle w:val="ListBullet"/>
        <w:spacing w:after="40"/>
      </w:pPr>
      <w:r>
        <w:t>Engage directly with Wasatch Industrial Properties, LLC before signing.</w:t>
      </w:r>
    </w:p>
    <w:p>
      <w:pPr>
        <w:pStyle w:val="ListBullet"/>
        <w:spacing w:after="40"/>
      </w:pPr>
      <w:r>
        <w:t>Evaluate whether the landlord's silence constitutes a waiver under Utah law (unlikely).</w:t>
      </w:r>
    </w:p>
    <w:p>
      <w:pPr>
        <w:pStyle w:val="ListBullet"/>
        <w:spacing w:after="40"/>
      </w:pPr>
      <w:r>
        <w:t>Consider a lease cure escrow or purchase price holdback tied to consent resolution.</w:t>
      </w:r>
    </w:p>
    <w:p>
      <w:pPr>
        <w:pStyle w:val="ListBullet"/>
        <w:spacing w:after="40"/>
      </w:pPr>
      <w:r>
        <w:t>Simultaneously advance the Utah permit transfer (see Red Flag 5).</w:t>
      </w:r>
    </w:p>
    <w:p/>
    <w:p>
      <w:pPr>
        <w:pStyle w:val="Heading2"/>
      </w:pPr>
      <w:r>
        <w:t>RED FLAG 5 — Salt Lake City Permit: Still in Pinnacle's Name After 2.5 Years</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Environmental &amp; Regulatory</w:t>
            </w:r>
          </w:p>
        </w:tc>
      </w:tr>
      <w:tr>
        <w:tc>
          <w:tcPr>
            <w:tcW w:type="dxa" w:w="4320"/>
          </w:tcPr>
          <w:p>
            <w:r>
              <w:rPr>
                <w:b/>
              </w:rPr>
              <w:t>Severity:</w:t>
            </w:r>
          </w:p>
        </w:tc>
        <w:tc>
          <w:tcPr>
            <w:tcW w:type="dxa" w:w="4320"/>
          </w:tcPr>
          <w:p>
            <w:r>
              <w:rPr>
                <w:b/>
                <w:color w:val="FF6600"/>
              </w:rPr>
              <w:t>HIGH</w:t>
            </w:r>
          </w:p>
        </w:tc>
      </w:tr>
      <w:tr>
        <w:tc>
          <w:tcPr>
            <w:tcW w:type="dxa" w:w="4320"/>
          </w:tcPr>
          <w:p>
            <w:r>
              <w:rPr>
                <w:b/>
              </w:rPr>
              <w:t>Likelihood of Impact:</w:t>
            </w:r>
          </w:p>
        </w:tc>
        <w:tc>
          <w:tcPr>
            <w:tcW w:type="dxa" w:w="4320"/>
          </w:tcPr>
          <w:p>
            <w:r>
              <w:t>High</w:t>
            </w:r>
          </w:p>
        </w:tc>
      </w:tr>
    </w:tbl>
    <w:p/>
    <w:p>
      <w:pPr>
        <w:spacing w:after="80"/>
      </w:pPr>
      <w:r>
        <w:t>Utah hazardous waste transfer station permit UTH-0441 for the Salt Lake City facility remains in the name of Pinnacle Waste Solutions, LLC — not RES — as of December 2024, more than 2.5 years after the Pinnacle acquisition. The transfer application was initiated but has not been completed. Under Utah Administrative Code R315-3, permit modifications reflecting changes in ownership require Division of Waste Management approval before becoming effective.</w:t>
      </w:r>
    </w:p>
    <w:p>
      <w:pPr>
        <w:spacing w:after="80"/>
      </w:pPr>
      <w:r>
        <w:t>RES is operating the facility under a permit issued to a dormant subsidiary. If the Utah Division of Waste Management determines that operations are being conducted without a properly transferred permit, it could issue a notice of violation, require cessation of operations, or deny the transfer application.</w:t>
      </w:r>
    </w:p>
    <w:p>
      <w:pPr>
        <w:spacing w:after="80"/>
      </w:pPr>
      <w:r>
        <w:t>The proposed Sycamore acquisition may trigger a new permit modification requirement, further complicating the transfer process and potentially requiring a second regulatory approval.</w:t>
      </w:r>
    </w:p>
    <w:p>
      <w:r>
        <w:rPr>
          <w:b/>
          <w:u w:val="single"/>
        </w:rPr>
        <w:t>Required Actions:</w:t>
      </w:r>
    </w:p>
    <w:p>
      <w:pPr>
        <w:pStyle w:val="ListBullet"/>
        <w:spacing w:after="40"/>
      </w:pPr>
      <w:r>
        <w:t>Obtain written confirmation from the Utah Division of Waste Management regarding the status of the transfer application and the Division's position on the current operating arrangement.</w:t>
      </w:r>
    </w:p>
    <w:p>
      <w:pPr>
        <w:pStyle w:val="ListBullet"/>
        <w:spacing w:after="40"/>
      </w:pPr>
      <w:r>
        <w:t>Make permit transfer completion a closing condition.</w:t>
      </w:r>
    </w:p>
    <w:p>
      <w:pPr>
        <w:pStyle w:val="ListBullet"/>
        <w:spacing w:after="40"/>
      </w:pPr>
      <w:r>
        <w:t>Assess whether the proposed transaction requires a separate permit modification filing with the Division.</w:t>
      </w:r>
    </w:p>
    <w:p/>
    <w:p>
      <w:pPr>
        <w:pStyle w:val="Heading2"/>
      </w:pPr>
      <w:r>
        <w:t>RED FLAG 6 — CDPHE Enforcement Action: Unaccrued Penalty Exposure Up to $1.16 Million</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Environmental &amp; Regulatory</w:t>
            </w:r>
          </w:p>
        </w:tc>
      </w:tr>
      <w:tr>
        <w:tc>
          <w:tcPr>
            <w:tcW w:type="dxa" w:w="4320"/>
          </w:tcPr>
          <w:p>
            <w:r>
              <w:rPr>
                <w:b/>
              </w:rPr>
              <w:t>Severity:</w:t>
            </w:r>
          </w:p>
        </w:tc>
        <w:tc>
          <w:tcPr>
            <w:tcW w:type="dxa" w:w="4320"/>
          </w:tcPr>
          <w:p>
            <w:r>
              <w:rPr>
                <w:b/>
                <w:color w:val="FF6600"/>
              </w:rPr>
              <w:t>HIGH</w:t>
            </w:r>
          </w:p>
        </w:tc>
      </w:tr>
      <w:tr>
        <w:tc>
          <w:tcPr>
            <w:tcW w:type="dxa" w:w="4320"/>
          </w:tcPr>
          <w:p>
            <w:r>
              <w:rPr>
                <w:b/>
              </w:rPr>
              <w:t>Likelihood of Impact:</w:t>
            </w:r>
          </w:p>
        </w:tc>
        <w:tc>
          <w:tcPr>
            <w:tcW w:type="dxa" w:w="4320"/>
          </w:tcPr>
          <w:p>
            <w:r>
              <w:t>High</w:t>
            </w:r>
          </w:p>
        </w:tc>
      </w:tr>
    </w:tbl>
    <w:p/>
    <w:p>
      <w:pPr>
        <w:spacing w:after="80"/>
      </w:pPr>
      <w:r>
        <w:t>CDPHE issued a Notice of Violation (Docket No. CDPHE-HW-2024-0093) on July 18, 2024, alleging improper storage of approximately 14,000 gallons of F001/F002 listed hazardous waste at the Grand Junction facility in an unauthorized staging area beyond the 90-day accumulation limit. The parties dispute the violation period: the Company asserts a 12-day violation (maximum penalty $450,000 at $37,500/day statutory maximum); CDPHE asserts a 31-day violation (maximum penalty $1,162,500).</w:t>
      </w:r>
    </w:p>
    <w:p>
      <w:pPr>
        <w:spacing w:after="80"/>
      </w:pPr>
      <w:r>
        <w:t>No accrual has been recorded on the Company's balance sheet as of September 30, 2024. Management's estimated settlement range of $200,000–$450,000 is based on the Company's own violation period characterization, which CDPHE disputes. The matter is in administrative negotiation; a settlement conference is expected in Q1 2025.</w:t>
      </w:r>
    </w:p>
    <w:p>
      <w:pPr>
        <w:spacing w:after="80"/>
      </w:pPr>
      <w:r>
        <w:t>The enforcement action is an Event of Default under the credit agreement if it results in a governmental order requiring remediation in excess of $1.0 million. While the current matter involves penalties rather than remediation, the interaction with the credit agreement should be evaluated.</w:t>
      </w:r>
    </w:p>
    <w:p>
      <w:r>
        <w:rPr>
          <w:b/>
          <w:u w:val="single"/>
        </w:rPr>
        <w:t>Required Actions:</w:t>
      </w:r>
    </w:p>
    <w:p>
      <w:pPr>
        <w:pStyle w:val="ListBullet"/>
        <w:spacing w:after="40"/>
      </w:pPr>
      <w:r>
        <w:t>Require the Company to resolve the CDPHE matter before closing, or establish a specific indemnity escrow for the full CDPHE exposure ($1.16 million).</w:t>
      </w:r>
    </w:p>
    <w:p>
      <w:pPr>
        <w:pStyle w:val="ListBullet"/>
        <w:spacing w:after="40"/>
      </w:pPr>
      <w:r>
        <w:t>Obtain CDPHE's current negotiating position in writing.</w:t>
      </w:r>
    </w:p>
    <w:p>
      <w:pPr>
        <w:pStyle w:val="ListBullet"/>
        <w:spacing w:after="40"/>
      </w:pPr>
      <w:r>
        <w:t>Confirm that the enforcement action does not jeopardize the RCRA Part B permit (COD-098-2761), which expires December 31, 2026.</w:t>
      </w:r>
    </w:p>
    <w:p>
      <w:pPr>
        <w:pStyle w:val="ListBullet"/>
        <w:spacing w:after="40"/>
      </w:pPr>
      <w:r>
        <w:t>Evaluate the interaction between the enforcement action and the credit agreement Event of Default provisions.</w:t>
      </w:r>
    </w:p>
    <w:p/>
    <w:p>
      <w:pPr>
        <w:pStyle w:val="Heading2"/>
      </w:pPr>
      <w:r>
        <w:t>RED FLAG 7 — Casper Facility Permit: Expired, Operating Under Timely Renewal Provisions</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Environmental &amp; Regulatory</w:t>
            </w:r>
          </w:p>
        </w:tc>
      </w:tr>
      <w:tr>
        <w:tc>
          <w:tcPr>
            <w:tcW w:type="dxa" w:w="4320"/>
          </w:tcPr>
          <w:p>
            <w:r>
              <w:rPr>
                <w:b/>
              </w:rPr>
              <w:t>Severity:</w:t>
            </w:r>
          </w:p>
        </w:tc>
        <w:tc>
          <w:tcPr>
            <w:tcW w:type="dxa" w:w="4320"/>
          </w:tcPr>
          <w:p>
            <w:r>
              <w:rPr>
                <w:b/>
                <w:color w:val="FF6600"/>
              </w:rPr>
              <w:t>HIGH</w:t>
            </w:r>
          </w:p>
        </w:tc>
      </w:tr>
      <w:tr>
        <w:tc>
          <w:tcPr>
            <w:tcW w:type="dxa" w:w="4320"/>
          </w:tcPr>
          <w:p>
            <w:r>
              <w:rPr>
                <w:b/>
              </w:rPr>
              <w:t>Likelihood of Impact:</w:t>
            </w:r>
          </w:p>
        </w:tc>
        <w:tc>
          <w:tcPr>
            <w:tcW w:type="dxa" w:w="4320"/>
          </w:tcPr>
          <w:p>
            <w:r>
              <w:t>Medium</w:t>
            </w:r>
          </w:p>
        </w:tc>
      </w:tr>
    </w:tbl>
    <w:p/>
    <w:p>
      <w:pPr>
        <w:spacing w:after="80"/>
      </w:pPr>
      <w:r>
        <w:t>The Wyoming hazardous waste permit for the Casper facility expired November 30, 2024. A renewal application was filed October 15, 2024 (46 days before expiration). The Company is currently operating under Wyoming's timely renewal provisions, which allow continued operations while a renewal application is pending. The renewal is expected in Q1 2025.</w:t>
      </w:r>
    </w:p>
    <w:p>
      <w:pPr>
        <w:spacing w:after="80"/>
      </w:pPr>
      <w:r>
        <w:t>While timely renewal provisions are standard, the permit is technically expired. Any compliance issue at the Casper facility during the renewal period could complicate or jeopardize the renewal. The Casper facility employs 68 people and serves approximately $30.2 million of Wyoming-based revenue.</w:t>
      </w:r>
    </w:p>
    <w:p>
      <w:pPr>
        <w:spacing w:after="80"/>
      </w:pPr>
      <w:r>
        <w:t>Under the credit agreement, revocation or non-renewal of a material permit is an Event of Default.</w:t>
      </w:r>
    </w:p>
    <w:p>
      <w:r>
        <w:rPr>
          <w:b/>
          <w:u w:val="single"/>
        </w:rPr>
        <w:t>Required Actions:</w:t>
      </w:r>
    </w:p>
    <w:p>
      <w:pPr>
        <w:pStyle w:val="ListBullet"/>
        <w:spacing w:after="40"/>
      </w:pPr>
      <w:r>
        <w:t>Confirm Wyoming DEQ's written acknowledgment of the timely renewal filing.</w:t>
      </w:r>
    </w:p>
    <w:p>
      <w:pPr>
        <w:pStyle w:val="ListBullet"/>
        <w:spacing w:after="40"/>
      </w:pPr>
      <w:r>
        <w:t>Obtain a status update from Wyoming DEQ on the renewal timeline.</w:t>
      </w:r>
    </w:p>
    <w:p>
      <w:pPr>
        <w:pStyle w:val="ListBullet"/>
        <w:spacing w:after="40"/>
      </w:pPr>
      <w:r>
        <w:t>Make permit renewal a closing condition or obtain a specific representation regarding permit status.</w:t>
      </w:r>
    </w:p>
    <w:p>
      <w:pPr>
        <w:pStyle w:val="ListBullet"/>
        <w:spacing w:after="40"/>
      </w:pPr>
      <w:r>
        <w:t>Ensure no compliance issues arise at the Casper facility during the renewal period.</w:t>
      </w:r>
    </w:p>
    <w:p/>
    <w:p>
      <w:pPr>
        <w:pStyle w:val="Heading2"/>
      </w:pPr>
      <w:r>
        <w:t>RED FLAG 8 — Change-of-Control Severance: $3.775 Million Unallocated in LOI</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Structural / Transactional</w:t>
            </w:r>
          </w:p>
        </w:tc>
      </w:tr>
      <w:tr>
        <w:tc>
          <w:tcPr>
            <w:tcW w:type="dxa" w:w="4320"/>
          </w:tcPr>
          <w:p>
            <w:r>
              <w:rPr>
                <w:b/>
              </w:rPr>
              <w:t>Severity:</w:t>
            </w:r>
          </w:p>
        </w:tc>
        <w:tc>
          <w:tcPr>
            <w:tcW w:type="dxa" w:w="4320"/>
          </w:tcPr>
          <w:p>
            <w:r>
              <w:rPr>
                <w:b/>
                <w:color w:val="FF6600"/>
              </w:rPr>
              <w:t>HIGH</w:t>
            </w:r>
          </w:p>
        </w:tc>
      </w:tr>
      <w:tr>
        <w:tc>
          <w:tcPr>
            <w:tcW w:type="dxa" w:w="4320"/>
          </w:tcPr>
          <w:p>
            <w:r>
              <w:rPr>
                <w:b/>
              </w:rPr>
              <w:t>Likelihood of Impact:</w:t>
            </w:r>
          </w:p>
        </w:tc>
        <w:tc>
          <w:tcPr>
            <w:tcW w:type="dxa" w:w="4320"/>
          </w:tcPr>
          <w:p>
            <w:r>
              <w:t>High</w:t>
            </w:r>
          </w:p>
        </w:tc>
      </w:tr>
    </w:tbl>
    <w:p/>
    <w:p>
      <w:pPr>
        <w:spacing w:after="80"/>
      </w:pPr>
      <w:r>
        <w:t>All five executive employment agreements contain change-of-control severance provisions triggered by the proposed 100% stock acquisition. Total aggregate severance is $3,775,000. The CEO and COO (Derek and Jason Calloway) each hold single-trigger provisions entitling them to $1,312,500 each (18 months' base salary) payable within 30 days of closing regardless of post-closing employment status. The CFO, VP Operations, and VP Business Development hold double-trigger provisions totaling $1,150,000.</w:t>
      </w:r>
    </w:p>
    <w:p>
      <w:pPr>
        <w:spacing w:after="80"/>
      </w:pPr>
      <w:r>
        <w:t>The LOI's definition of 'Transaction Expenses' does not expressly address these severance obligations, and the LOI is silent on whether they are seller-borne or buyer-borne. The QofE data package flags that classification 'has not been addressed in the LOI or this data package.' If treated as Transaction Expenses (seller-borne), they reduce the purchase price. If buyer-borne, they represent an additional $2.625–$3.775 million cash outlay at closing.</w:t>
      </w:r>
    </w:p>
    <w:p>
      <w:pPr>
        <w:spacing w:after="80"/>
      </w:pPr>
      <w:r>
        <w:t>The $950K owner compensation normalization EBITDA add-back assumes replacement executives at $400K each, but the founders' existing agreements entitle them to $875K each. If founders continue post-close at $875K, the normalization add-back is not achievable.</w:t>
      </w:r>
    </w:p>
    <w:p>
      <w:r>
        <w:rPr>
          <w:b/>
          <w:u w:val="single"/>
        </w:rPr>
        <w:t>Required Actions:</w:t>
      </w:r>
    </w:p>
    <w:p>
      <w:pPr>
        <w:pStyle w:val="ListBullet"/>
        <w:spacing w:after="40"/>
      </w:pPr>
      <w:r>
        <w:t>Negotiate the treatment of CoC severance in the SPA before signing — confirm whether seller-borne or buyer-borne.</w:t>
      </w:r>
    </w:p>
    <w:p>
      <w:pPr>
        <w:pStyle w:val="ListBullet"/>
        <w:spacing w:after="40"/>
      </w:pPr>
      <w:r>
        <w:t>Confirm that the Calloway founders will execute new employment agreements with market-rate compensation post-close.</w:t>
      </w:r>
    </w:p>
    <w:p>
      <w:pPr>
        <w:pStyle w:val="ListBullet"/>
        <w:spacing w:after="40"/>
      </w:pPr>
      <w:r>
        <w:t>Evaluate whether the single-trigger structure can be renegotiated to double-trigger in exchange for retention incentives.</w:t>
      </w:r>
    </w:p>
    <w:p>
      <w:pPr>
        <w:pStyle w:val="ListBullet"/>
        <w:spacing w:after="40"/>
      </w:pPr>
      <w:r>
        <w:t>Budget the full $3.775 million as a potential closing cost until allocation is resolved.</w:t>
      </w:r>
    </w:p>
    <w:p/>
    <w:p>
      <w:pPr>
        <w:pStyle w:val="Heading2"/>
      </w:pPr>
      <w:r>
        <w:t>RED FLAG 9 — Asbestos Long-Tail Liability: Pre-2015 Insurance Coverage Gap</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Legal &amp; Litigation</w:t>
            </w:r>
          </w:p>
        </w:tc>
      </w:tr>
      <w:tr>
        <w:tc>
          <w:tcPr>
            <w:tcW w:type="dxa" w:w="4320"/>
          </w:tcPr>
          <w:p>
            <w:r>
              <w:rPr>
                <w:b/>
              </w:rPr>
              <w:t>Severity:</w:t>
            </w:r>
          </w:p>
        </w:tc>
        <w:tc>
          <w:tcPr>
            <w:tcW w:type="dxa" w:w="4320"/>
          </w:tcPr>
          <w:p>
            <w:r>
              <w:rPr>
                <w:b/>
                <w:color w:val="FF6600"/>
              </w:rPr>
              <w:t>HIGH</w:t>
            </w:r>
          </w:p>
        </w:tc>
      </w:tr>
      <w:tr>
        <w:tc>
          <w:tcPr>
            <w:tcW w:type="dxa" w:w="4320"/>
          </w:tcPr>
          <w:p>
            <w:r>
              <w:rPr>
                <w:b/>
              </w:rPr>
              <w:t>Likelihood of Impact:</w:t>
            </w:r>
          </w:p>
        </w:tc>
        <w:tc>
          <w:tcPr>
            <w:tcW w:type="dxa" w:w="4320"/>
          </w:tcPr>
          <w:p>
            <w:r>
              <w:t>Medium</w:t>
            </w:r>
          </w:p>
        </w:tc>
      </w:tr>
    </w:tbl>
    <w:p/>
    <w:p>
      <w:pPr>
        <w:spacing w:after="80"/>
      </w:pPr>
      <w:r>
        <w:t>RES operated an asbestos abatement service line from 2012 through September 30, 2023, performing work at approximately 145 commercial and industrial sites across Colorado, Utah, and Wyoming. The current Pollution Legal Liability policy has a retroactive date of January 1, 2015, meaning work performed from 2012 through 2014 is not covered under the current policy. The CGL policy contains a blanket asbestos exclusion with no completed operations carve-out. No tail coverage or extended completed operations coverage for asbestos work has been procured.</w:t>
      </w:r>
    </w:p>
    <w:p>
      <w:pPr>
        <w:spacing w:after="80"/>
      </w:pPr>
      <w:r>
        <w:t>Asbestos-related bodily injury claims can have latency periods of 10–40 years. Two workers' compensation claims from former asbestos abatement employees remain open (filed 2021 and 2022), alleging occupational respiratory exposure. While management rates future third-party asbestos claims as 'Remote,' the 2012–2014 coverage gap represents an uninsured tail exposure for which no reserve has been established.</w:t>
      </w:r>
    </w:p>
    <w:p>
      <w:pPr>
        <w:spacing w:after="80"/>
      </w:pPr>
      <w:r>
        <w:t>The 2012–2014 period generated approximately $7.3 million in asbestos abatement revenue across an estimated 40+ project sites, representing the uninsured exposure window.</w:t>
      </w:r>
    </w:p>
    <w:p>
      <w:r>
        <w:rPr>
          <w:b/>
          <w:u w:val="single"/>
        </w:rPr>
        <w:t>Required Actions:</w:t>
      </w:r>
    </w:p>
    <w:p>
      <w:pPr>
        <w:pStyle w:val="ListBullet"/>
        <w:spacing w:after="40"/>
      </w:pPr>
      <w:r>
        <w:t>Obtain a complete claims history for the asbestos abatement service line.</w:t>
      </w:r>
    </w:p>
    <w:p>
      <w:pPr>
        <w:pStyle w:val="ListBullet"/>
        <w:spacing w:after="40"/>
      </w:pPr>
      <w:r>
        <w:t>Require the sellers to procure a tail policy covering the 2012–2014 period as a closing condition, or negotiate a specific asbestos indemnity with a separate escrow.</w:t>
      </w:r>
    </w:p>
    <w:p>
      <w:pPr>
        <w:pStyle w:val="ListBullet"/>
        <w:spacing w:after="40"/>
      </w:pPr>
      <w:r>
        <w:t>Confirm the status and expected resolution of the two open workers' compensation claims.</w:t>
      </w:r>
    </w:p>
    <w:p>
      <w:pPr>
        <w:pStyle w:val="ListBullet"/>
        <w:spacing w:after="40"/>
      </w:pPr>
      <w:r>
        <w:t>Obtain a list of all 145 project sites where asbestos abatement work was performed.</w:t>
      </w:r>
    </w:p>
    <w:p/>
    <w:p>
      <w:pPr>
        <w:pStyle w:val="Heading2"/>
      </w:pPr>
      <w:r>
        <w:t>RED FLAG 10 — Ramirez Personal Injury Lawsuit: Insurance Coverage Uncertainty</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Legal &amp; Litigation</w:t>
            </w:r>
          </w:p>
        </w:tc>
      </w:tr>
      <w:tr>
        <w:tc>
          <w:tcPr>
            <w:tcW w:type="dxa" w:w="4320"/>
          </w:tcPr>
          <w:p>
            <w:r>
              <w:rPr>
                <w:b/>
              </w:rPr>
              <w:t>Severity:</w:t>
            </w:r>
          </w:p>
        </w:tc>
        <w:tc>
          <w:tcPr>
            <w:tcW w:type="dxa" w:w="4320"/>
          </w:tcPr>
          <w:p>
            <w:r>
              <w:rPr>
                <w:b/>
                <w:color w:val="FF6600"/>
              </w:rPr>
              <w:t>HIGH</w:t>
            </w:r>
          </w:p>
        </w:tc>
      </w:tr>
      <w:tr>
        <w:tc>
          <w:tcPr>
            <w:tcW w:type="dxa" w:w="4320"/>
          </w:tcPr>
          <w:p>
            <w:r>
              <w:rPr>
                <w:b/>
              </w:rPr>
              <w:t>Likelihood of Impact:</w:t>
            </w:r>
          </w:p>
        </w:tc>
        <w:tc>
          <w:tcPr>
            <w:tcW w:type="dxa" w:w="4320"/>
          </w:tcPr>
          <w:p>
            <w:r>
              <w:t>Medium</w:t>
            </w:r>
          </w:p>
        </w:tc>
      </w:tr>
    </w:tbl>
    <w:p/>
    <w:p>
      <w:pPr>
        <w:spacing w:after="80"/>
      </w:pPr>
      <w:r>
        <w:t>Ramirez v. Ridgeline Environmental Services, Inc. (D. Wyo., Case No. 2:24-cv-00187, filed August 12, 2024) is a personal injury action by a former field technician alleging inadequate PPE and air monitoring during VOC/heavy metal exposure at a Sheridan, Wyoming remediation site. Plaintiff seeks $4.8 million (including punitive damages). Management's estimated loss range is $500,000–$1,500,000.</w:t>
      </w:r>
    </w:p>
    <w:p>
      <w:pPr>
        <w:spacing w:after="80"/>
      </w:pPr>
      <w:r>
        <w:t>The insurer (Frontier Specialty Insurance Group) has issued a reservation of rights letter dated September 19, 2024. A coverage determination remains pending. If coverage is denied under both the CGL and pollution liability policies, the Company faces uninsured exposure of up to $1.5 million (management's estimate) or potentially higher. No accrual has been recorded.</w:t>
      </w:r>
    </w:p>
    <w:p>
      <w:pPr>
        <w:spacing w:after="80"/>
      </w:pPr>
      <w:r>
        <w:t>A judgment in excess of $1.0 million not covered by insurance within 30 days constitutes an Event of Default under the credit agreement.</w:t>
      </w:r>
    </w:p>
    <w:p>
      <w:r>
        <w:rPr>
          <w:b/>
          <w:u w:val="single"/>
        </w:rPr>
        <w:t>Required Actions:</w:t>
      </w:r>
    </w:p>
    <w:p>
      <w:pPr>
        <w:pStyle w:val="ListBullet"/>
        <w:spacing w:after="40"/>
      </w:pPr>
      <w:r>
        <w:t>Obtain a copy of the reservation of rights letter and the insurer's coverage analysis.</w:t>
      </w:r>
    </w:p>
    <w:p>
      <w:pPr>
        <w:pStyle w:val="ListBullet"/>
        <w:spacing w:after="40"/>
      </w:pPr>
      <w:r>
        <w:t>Assess the basis for the coverage dispute and the likelihood of denial.</w:t>
      </w:r>
    </w:p>
    <w:p>
      <w:pPr>
        <w:pStyle w:val="ListBullet"/>
        <w:spacing w:after="40"/>
      </w:pPr>
      <w:r>
        <w:t>Require a specific indemnity for the Ramirez matter.</w:t>
      </w:r>
    </w:p>
    <w:p>
      <w:pPr>
        <w:pStyle w:val="ListBullet"/>
        <w:spacing w:after="40"/>
      </w:pPr>
      <w:r>
        <w:t>Confirm that the matter does not trigger the credit agreement's cross-default provision.</w:t>
      </w:r>
    </w:p>
    <w:p/>
    <w:p>
      <w:pPr>
        <w:pStyle w:val="Heading2"/>
      </w:pPr>
      <w:r>
        <w:t>RED FLAG 11 — Fleet Condition: 44.7% of Assets Past Useful Life, $9.8M Replacement Backlog</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Operational</w:t>
            </w:r>
          </w:p>
        </w:tc>
      </w:tr>
      <w:tr>
        <w:tc>
          <w:tcPr>
            <w:tcW w:type="dxa" w:w="4320"/>
          </w:tcPr>
          <w:p>
            <w:r>
              <w:rPr>
                <w:b/>
              </w:rPr>
              <w:t>Severity:</w:t>
            </w:r>
          </w:p>
        </w:tc>
        <w:tc>
          <w:tcPr>
            <w:tcW w:type="dxa" w:w="4320"/>
          </w:tcPr>
          <w:p>
            <w:r>
              <w:rPr>
                <w:b/>
                <w:color w:val="FF6600"/>
              </w:rPr>
              <w:t>HIGH</w:t>
            </w:r>
          </w:p>
        </w:tc>
      </w:tr>
      <w:tr>
        <w:tc>
          <w:tcPr>
            <w:tcW w:type="dxa" w:w="4320"/>
          </w:tcPr>
          <w:p>
            <w:r>
              <w:rPr>
                <w:b/>
              </w:rPr>
              <w:t>Likelihood of Impact:</w:t>
            </w:r>
          </w:p>
        </w:tc>
        <w:tc>
          <w:tcPr>
            <w:tcW w:type="dxa" w:w="4320"/>
          </w:tcPr>
          <w:p>
            <w:r>
              <w:t>High</w:t>
            </w:r>
          </w:p>
        </w:tc>
      </w:tr>
    </w:tbl>
    <w:p/>
    <w:p>
      <w:pPr>
        <w:spacing w:after="80"/>
      </w:pPr>
      <w:r>
        <w:t>The Fleet &amp; Equipment Schedule reveals that 38 of 85 fleet and equipment assets (44.7%) are at or past their stated useful life, with an average fleet age of 8.2 years against a weighted average useful life of 7.0 years. Many are marked 'Replacement Deferred' or 'At End of Life — No Replacement Scheduled.' The estimated replacement cost for past-useful-life units alone is $9.8 million.</w:t>
      </w:r>
    </w:p>
    <w:p>
      <w:pPr>
        <w:spacing w:after="80"/>
      </w:pPr>
      <w:r>
        <w:t>Management's normalized maintenance capex estimate of $4.0–$4.5 million per year is inconsistent with the fleet data. Spreading the $9.8 million replacement backlog over 3 years implies approximately $3.3 million per year in catch-up capex above the current run-rate, suggesting true normalized maintenance capex is closer to $7.3–$7.8 million annually — nearly double management's estimate.</w:t>
      </w:r>
    </w:p>
    <w:p>
      <w:pPr>
        <w:spacing w:after="80"/>
      </w:pPr>
      <w:r>
        <w:t>This discrepancy has a direct impact on free cash flow and, if capitalized at the transaction multiple, represents a $26–$35 million valuation overstatement embedded in the management capex assumption.</w:t>
      </w:r>
    </w:p>
    <w:p>
      <w:r>
        <w:rPr>
          <w:b/>
          <w:u w:val="single"/>
        </w:rPr>
        <w:t>Required Actions:</w:t>
      </w:r>
    </w:p>
    <w:p>
      <w:pPr>
        <w:pStyle w:val="ListBullet"/>
        <w:spacing w:after="40"/>
      </w:pPr>
      <w:r>
        <w:t>Commission an independent fleet appraisal and condition assessment.</w:t>
      </w:r>
    </w:p>
    <w:p>
      <w:pPr>
        <w:pStyle w:val="ListBullet"/>
        <w:spacing w:after="40"/>
      </w:pPr>
      <w:r>
        <w:t>Recast normalized maintenance capex using the fleet schedule data.</w:t>
      </w:r>
    </w:p>
    <w:p>
      <w:pPr>
        <w:pStyle w:val="ListBullet"/>
        <w:spacing w:after="40"/>
      </w:pPr>
      <w:r>
        <w:t>Adjust the EBITDA-to-free-cash-flow bridge accordingly.</w:t>
      </w:r>
    </w:p>
    <w:p>
      <w:pPr>
        <w:pStyle w:val="ListBullet"/>
        <w:spacing w:after="40"/>
      </w:pPr>
      <w:r>
        <w:t>Negotiate a purchase price reduction or escrow for deferred fleet replacement costs.</w:t>
      </w:r>
    </w:p>
    <w:p/>
    <w:p>
      <w:pPr>
        <w:pStyle w:val="Heading2"/>
      </w:pPr>
      <w:r>
        <w:t>RED FLAG 12 — NLRB Unionization Petition: 62 Field Technicians at Grand Junction and Casper</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Operational</w:t>
            </w:r>
          </w:p>
        </w:tc>
      </w:tr>
      <w:tr>
        <w:tc>
          <w:tcPr>
            <w:tcW w:type="dxa" w:w="4320"/>
          </w:tcPr>
          <w:p>
            <w:r>
              <w:rPr>
                <w:b/>
              </w:rPr>
              <w:t>Severity:</w:t>
            </w:r>
          </w:p>
        </w:tc>
        <w:tc>
          <w:tcPr>
            <w:tcW w:type="dxa" w:w="4320"/>
          </w:tcPr>
          <w:p>
            <w:r>
              <w:t>MEDIUM</w:t>
            </w:r>
          </w:p>
        </w:tc>
      </w:tr>
      <w:tr>
        <w:tc>
          <w:tcPr>
            <w:tcW w:type="dxa" w:w="4320"/>
          </w:tcPr>
          <w:p>
            <w:r>
              <w:rPr>
                <w:b/>
              </w:rPr>
              <w:t>Likelihood of Impact:</w:t>
            </w:r>
          </w:p>
        </w:tc>
        <w:tc>
          <w:tcPr>
            <w:tcW w:type="dxa" w:w="4320"/>
          </w:tcPr>
          <w:p>
            <w:r>
              <w:t>Medium</w:t>
            </w:r>
          </w:p>
        </w:tc>
      </w:tr>
    </w:tbl>
    <w:p/>
    <w:p>
      <w:pPr>
        <w:spacing w:after="80"/>
      </w:pPr>
      <w:r>
        <w:t>A footnote in the Employee Benefits Summary discloses that the Company received notice of an NLRB election petition filed November 4, 2024, by the International Brotherhood of Teamsters Local 455, covering 62 field technicians at the Grand Junction and Casper facilities. This disclosure is buried in a footnote and is not mentioned in the CIM, the Litigation and Regulatory Summary, or any other primary data room document.</w:t>
      </w:r>
    </w:p>
    <w:p>
      <w:pPr>
        <w:spacing w:after="80"/>
      </w:pPr>
      <w:r>
        <w:t>If the union election succeeds, the Company would be required to bargain collectively with the Teamsters, potentially increasing labor costs, reducing operational flexibility, and affecting the Company's non-unionized status — which is presented as a competitive advantage in the CIM. The 62 affected employees represent approximately 13% of the total workforce and are concentrated at the two largest operational facilities.</w:t>
      </w:r>
    </w:p>
    <w:p>
      <w:r>
        <w:rPr>
          <w:b/>
          <w:u w:val="single"/>
        </w:rPr>
        <w:t>Required Actions:</w:t>
      </w:r>
    </w:p>
    <w:p>
      <w:pPr>
        <w:pStyle w:val="ListBullet"/>
        <w:spacing w:after="40"/>
      </w:pPr>
      <w:r>
        <w:t>Obtain a full briefing on the NLRB petition, including the election timeline and the Company's response strategy.</w:t>
      </w:r>
    </w:p>
    <w:p>
      <w:pPr>
        <w:pStyle w:val="ListBullet"/>
        <w:spacing w:after="40"/>
      </w:pPr>
      <w:r>
        <w:t>Assess the financial impact of potential unionization on labor costs and operational flexibility.</w:t>
      </w:r>
    </w:p>
    <w:p>
      <w:pPr>
        <w:pStyle w:val="ListBullet"/>
        <w:spacing w:after="40"/>
      </w:pPr>
      <w:r>
        <w:t>Require disclosure of any related employee relations issues or prior organizing activity.</w:t>
      </w:r>
    </w:p>
    <w:p>
      <w:pPr>
        <w:pStyle w:val="ListBullet"/>
        <w:spacing w:after="40"/>
      </w:pPr>
      <w:r>
        <w:t>Evaluate whether the petition constitutes a material adverse change under the LOI.</w:t>
      </w:r>
    </w:p>
    <w:p/>
    <w:p>
      <w:pPr>
        <w:pStyle w:val="Heading2"/>
      </w:pPr>
      <w:r>
        <w:t>RED FLAG 13 — Multiple Lease Consent Requirements: 7 of 10 Leases Require Landlord Consent</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Structural / Transactional</w:t>
            </w:r>
          </w:p>
        </w:tc>
      </w:tr>
      <w:tr>
        <w:tc>
          <w:tcPr>
            <w:tcW w:type="dxa" w:w="4320"/>
          </w:tcPr>
          <w:p>
            <w:r>
              <w:rPr>
                <w:b/>
              </w:rPr>
              <w:t>Severity:</w:t>
            </w:r>
          </w:p>
        </w:tc>
        <w:tc>
          <w:tcPr>
            <w:tcW w:type="dxa" w:w="4320"/>
          </w:tcPr>
          <w:p>
            <w:r>
              <w:t>MEDIUM</w:t>
            </w:r>
          </w:p>
        </w:tc>
      </w:tr>
      <w:tr>
        <w:tc>
          <w:tcPr>
            <w:tcW w:type="dxa" w:w="4320"/>
          </w:tcPr>
          <w:p>
            <w:r>
              <w:rPr>
                <w:b/>
              </w:rPr>
              <w:t>Likelihood of Impact:</w:t>
            </w:r>
          </w:p>
        </w:tc>
        <w:tc>
          <w:tcPr>
            <w:tcW w:type="dxa" w:w="4320"/>
          </w:tcPr>
          <w:p>
            <w:r>
              <w:t>Medium</w:t>
            </w:r>
          </w:p>
        </w:tc>
      </w:tr>
    </w:tbl>
    <w:p/>
    <w:p>
      <w:pPr>
        <w:spacing w:after="80"/>
      </w:pPr>
      <w:r>
        <w:t>Seven of the Company's ten leased facilities require landlord consent for assignment or change of control in connection with the proposed transaction. In addition to the critical Salt Lake City issue (Red Flag 4), the following leases require consent or evaluation: Ogden Transfer Station (standard consent required for Sycamore acquisition); Casper Operations Facility (general assignment clause — evaluate stock acquisition trigger); Billings Operations Facility (general assignment clause); Denver Administrative Office (general assignment clause); Rock Springs Field Office (general assignment clause); and Cheyenne Equipment Yard (general assignment clause).</w:t>
      </w:r>
    </w:p>
    <w:p>
      <w:pPr>
        <w:spacing w:after="80"/>
      </w:pPr>
      <w:r>
        <w:t>The Pueblo Storage Yard lease expires on or about the target closing date (April 30, 2025), and renewal negotiations are underway. If the lease is not renewed, equipment stored at Pueblo must be relocated to another Company facility.</w:t>
      </w:r>
    </w:p>
    <w:p>
      <w:r>
        <w:rPr>
          <w:b/>
          <w:u w:val="single"/>
        </w:rPr>
        <w:t>Required Actions:</w:t>
      </w:r>
    </w:p>
    <w:p>
      <w:pPr>
        <w:pStyle w:val="ListBullet"/>
        <w:spacing w:after="40"/>
      </w:pPr>
      <w:r>
        <w:t>Conduct a systematic landlord consent campaign for all seven leases before signing.</w:t>
      </w:r>
    </w:p>
    <w:p>
      <w:pPr>
        <w:pStyle w:val="ListBullet"/>
        <w:spacing w:after="40"/>
      </w:pPr>
      <w:r>
        <w:t>Confirm whether the stock acquisition structure triggers the general assignment clauses (jurisdiction-specific analysis required).</w:t>
      </w:r>
    </w:p>
    <w:p>
      <w:pPr>
        <w:pStyle w:val="ListBullet"/>
        <w:spacing w:after="40"/>
      </w:pPr>
      <w:r>
        <w:t>Obtain Pueblo lease renewal or confirm relocation plan before closing.</w:t>
      </w:r>
    </w:p>
    <w:p>
      <w:pPr>
        <w:pStyle w:val="ListBullet"/>
        <w:spacing w:after="40"/>
      </w:pPr>
      <w:r>
        <w:t>Make all required landlord consents a closing condition.</w:t>
      </w:r>
    </w:p>
    <w:p/>
    <w:p>
      <w:pPr>
        <w:pStyle w:val="Heading1"/>
      </w:pPr>
      <w:r>
        <w:t>III. SUMMARY RISK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Red Flag</w:t>
            </w:r>
          </w:p>
        </w:tc>
        <w:tc>
          <w:tcPr>
            <w:tcW w:type="dxa" w:w="1728"/>
          </w:tcPr>
          <w:p>
            <w:r>
              <w:rPr>
                <w:b/>
              </w:rPr>
              <w:t>Category</w:t>
            </w:r>
          </w:p>
        </w:tc>
        <w:tc>
          <w:tcPr>
            <w:tcW w:type="dxa" w:w="1728"/>
          </w:tcPr>
          <w:p>
            <w:r>
              <w:rPr>
                <w:b/>
              </w:rPr>
              <w:t>Severity</w:t>
            </w:r>
          </w:p>
        </w:tc>
        <w:tc>
          <w:tcPr>
            <w:tcW w:type="dxa" w:w="1728"/>
          </w:tcPr>
          <w:p>
            <w:r>
              <w:rPr>
                <w:b/>
              </w:rPr>
              <w:t>Est. Financial Exposure</w:t>
            </w:r>
          </w:p>
        </w:tc>
      </w:tr>
      <w:tr>
        <w:tc>
          <w:tcPr>
            <w:tcW w:type="dxa" w:w="1728"/>
          </w:tcPr>
          <w:p>
            <w:r>
              <w:t>1</w:t>
            </w:r>
          </w:p>
        </w:tc>
        <w:tc>
          <w:tcPr>
            <w:tcW w:type="dxa" w:w="1728"/>
          </w:tcPr>
          <w:p>
            <w:r>
              <w:t>EBITDA Discrepancy ($1M gap; $4.4M add-back quality)</w:t>
            </w:r>
          </w:p>
        </w:tc>
        <w:tc>
          <w:tcPr>
            <w:tcW w:type="dxa" w:w="1728"/>
          </w:tcPr>
          <w:p>
            <w:r>
              <w:t>Financial / QofE</w:t>
            </w:r>
          </w:p>
        </w:tc>
        <w:tc>
          <w:tcPr>
            <w:tcW w:type="dxa" w:w="1728"/>
          </w:tcPr>
          <w:p>
            <w:r>
              <w:rPr>
                <w:b/>
                <w:color w:val="C00000"/>
              </w:rPr>
              <w:t>CRITICAL</w:t>
            </w:r>
          </w:p>
        </w:tc>
        <w:tc>
          <w:tcPr>
            <w:tcW w:type="dxa" w:w="1728"/>
          </w:tcPr>
          <w:p>
            <w:r>
              <w:t>$8–$40M valuation impact</w:t>
            </w:r>
          </w:p>
        </w:tc>
      </w:tr>
      <w:tr>
        <w:tc>
          <w:tcPr>
            <w:tcW w:type="dxa" w:w="1728"/>
          </w:tcPr>
          <w:p>
            <w:r>
              <w:t>2</w:t>
            </w:r>
          </w:p>
        </w:tc>
        <w:tc>
          <w:tcPr>
            <w:tcW w:type="dxa" w:w="1728"/>
          </w:tcPr>
          <w:p>
            <w:r>
              <w:t>DOE IDIQ Ceiling Exhaustion</w:t>
            </w:r>
          </w:p>
        </w:tc>
        <w:tc>
          <w:tcPr>
            <w:tcW w:type="dxa" w:w="1728"/>
          </w:tcPr>
          <w:p>
            <w:r>
              <w:t>Commercial</w:t>
            </w:r>
          </w:p>
        </w:tc>
        <w:tc>
          <w:tcPr>
            <w:tcW w:type="dxa" w:w="1728"/>
          </w:tcPr>
          <w:p>
            <w:r>
              <w:rPr>
                <w:b/>
                <w:color w:val="C00000"/>
              </w:rPr>
              <w:t>CRITICAL</w:t>
            </w:r>
          </w:p>
        </w:tc>
        <w:tc>
          <w:tcPr>
            <w:tcW w:type="dxa" w:w="1728"/>
          </w:tcPr>
          <w:p>
            <w:r>
              <w:t>~$12.1M revenue headwind</w:t>
            </w:r>
          </w:p>
        </w:tc>
      </w:tr>
      <w:tr>
        <w:tc>
          <w:tcPr>
            <w:tcW w:type="dxa" w:w="1728"/>
          </w:tcPr>
          <w:p>
            <w:r>
              <w:t>3</w:t>
            </w:r>
          </w:p>
        </w:tc>
        <w:tc>
          <w:tcPr>
            <w:tcW w:type="dxa" w:w="1728"/>
          </w:tcPr>
          <w:p>
            <w:r>
              <w:t>Grand Junction Environmental Contamination</w:t>
            </w:r>
          </w:p>
        </w:tc>
        <w:tc>
          <w:tcPr>
            <w:tcW w:type="dxa" w:w="1728"/>
          </w:tcPr>
          <w:p>
            <w:r>
              <w:t>Environmental</w:t>
            </w:r>
          </w:p>
        </w:tc>
        <w:tc>
          <w:tcPr>
            <w:tcW w:type="dxa" w:w="1728"/>
          </w:tcPr>
          <w:p>
            <w:r>
              <w:rPr>
                <w:b/>
                <w:color w:val="C00000"/>
              </w:rPr>
              <w:t>CRITICAL</w:t>
            </w:r>
          </w:p>
        </w:tc>
        <w:tc>
          <w:tcPr>
            <w:tcW w:type="dxa" w:w="1728"/>
          </w:tcPr>
          <w:p>
            <w:r>
              <w:t>$2.6M–$5M+ (stale estimate)</w:t>
            </w:r>
          </w:p>
        </w:tc>
      </w:tr>
      <w:tr>
        <w:tc>
          <w:tcPr>
            <w:tcW w:type="dxa" w:w="1728"/>
          </w:tcPr>
          <w:p>
            <w:r>
              <w:t>4</w:t>
            </w:r>
          </w:p>
        </w:tc>
        <w:tc>
          <w:tcPr>
            <w:tcW w:type="dxa" w:w="1728"/>
          </w:tcPr>
          <w:p>
            <w:r>
              <w:t>Salt Lake City Lease — Unobtained Consent</w:t>
            </w:r>
          </w:p>
        </w:tc>
        <w:tc>
          <w:tcPr>
            <w:tcW w:type="dxa" w:w="1728"/>
          </w:tcPr>
          <w:p>
            <w:r>
              <w:t>Structural</w:t>
            </w:r>
          </w:p>
        </w:tc>
        <w:tc>
          <w:tcPr>
            <w:tcW w:type="dxa" w:w="1728"/>
          </w:tcPr>
          <w:p>
            <w:r>
              <w:rPr>
                <w:b/>
                <w:color w:val="C00000"/>
              </w:rPr>
              <w:t>CRITICAL</w:t>
            </w:r>
          </w:p>
        </w:tc>
        <w:tc>
          <w:tcPr>
            <w:tcW w:type="dxa" w:w="1728"/>
          </w:tcPr>
          <w:p>
            <w:r>
              <w:t>$16.2M revenue at risk</w:t>
            </w:r>
          </w:p>
        </w:tc>
      </w:tr>
      <w:tr>
        <w:tc>
          <w:tcPr>
            <w:tcW w:type="dxa" w:w="1728"/>
          </w:tcPr>
          <w:p>
            <w:r>
              <w:t>5</w:t>
            </w:r>
          </w:p>
        </w:tc>
        <w:tc>
          <w:tcPr>
            <w:tcW w:type="dxa" w:w="1728"/>
          </w:tcPr>
          <w:p>
            <w:r>
              <w:t>Salt Lake City Permit — Still in Pinnacle's Name</w:t>
            </w:r>
          </w:p>
        </w:tc>
        <w:tc>
          <w:tcPr>
            <w:tcW w:type="dxa" w:w="1728"/>
          </w:tcPr>
          <w:p>
            <w:r>
              <w:t>Environmental</w:t>
            </w:r>
          </w:p>
        </w:tc>
        <w:tc>
          <w:tcPr>
            <w:tcW w:type="dxa" w:w="1728"/>
          </w:tcPr>
          <w:p>
            <w:r>
              <w:rPr>
                <w:b/>
                <w:color w:val="FF6600"/>
              </w:rPr>
              <w:t>HIGH</w:t>
            </w:r>
          </w:p>
        </w:tc>
        <w:tc>
          <w:tcPr>
            <w:tcW w:type="dxa" w:w="1728"/>
          </w:tcPr>
          <w:p>
            <w:r>
              <w:t>Operational disruption risk</w:t>
            </w:r>
          </w:p>
        </w:tc>
      </w:tr>
      <w:tr>
        <w:tc>
          <w:tcPr>
            <w:tcW w:type="dxa" w:w="1728"/>
          </w:tcPr>
          <w:p>
            <w:r>
              <w:t>6</w:t>
            </w:r>
          </w:p>
        </w:tc>
        <w:tc>
          <w:tcPr>
            <w:tcW w:type="dxa" w:w="1728"/>
          </w:tcPr>
          <w:p>
            <w:r>
              <w:t>CDPHE Enforcement Action — Unaccrued</w:t>
            </w:r>
          </w:p>
        </w:tc>
        <w:tc>
          <w:tcPr>
            <w:tcW w:type="dxa" w:w="1728"/>
          </w:tcPr>
          <w:p>
            <w:r>
              <w:t>Environmental</w:t>
            </w:r>
          </w:p>
        </w:tc>
        <w:tc>
          <w:tcPr>
            <w:tcW w:type="dxa" w:w="1728"/>
          </w:tcPr>
          <w:p>
            <w:r>
              <w:rPr>
                <w:b/>
                <w:color w:val="FF6600"/>
              </w:rPr>
              <w:t>HIGH</w:t>
            </w:r>
          </w:p>
        </w:tc>
        <w:tc>
          <w:tcPr>
            <w:tcW w:type="dxa" w:w="1728"/>
          </w:tcPr>
          <w:p>
            <w:r>
              <w:t>$200K–$1.16M</w:t>
            </w:r>
          </w:p>
        </w:tc>
      </w:tr>
      <w:tr>
        <w:tc>
          <w:tcPr>
            <w:tcW w:type="dxa" w:w="1728"/>
          </w:tcPr>
          <w:p>
            <w:r>
              <w:t>7</w:t>
            </w:r>
          </w:p>
        </w:tc>
        <w:tc>
          <w:tcPr>
            <w:tcW w:type="dxa" w:w="1728"/>
          </w:tcPr>
          <w:p>
            <w:r>
              <w:t>Casper Facility Permit: Expired</w:t>
            </w:r>
          </w:p>
        </w:tc>
        <w:tc>
          <w:tcPr>
            <w:tcW w:type="dxa" w:w="1728"/>
          </w:tcPr>
          <w:p>
            <w:r>
              <w:t>Environmental</w:t>
            </w:r>
          </w:p>
        </w:tc>
        <w:tc>
          <w:tcPr>
            <w:tcW w:type="dxa" w:w="1728"/>
          </w:tcPr>
          <w:p>
            <w:r>
              <w:rPr>
                <w:b/>
                <w:color w:val="FF6600"/>
              </w:rPr>
              <w:t>HIGH</w:t>
            </w:r>
          </w:p>
        </w:tc>
        <w:tc>
          <w:tcPr>
            <w:tcW w:type="dxa" w:w="1728"/>
          </w:tcPr>
          <w:p>
            <w:r>
              <w:t>Operational disruption risk</w:t>
            </w:r>
          </w:p>
        </w:tc>
      </w:tr>
      <w:tr>
        <w:tc>
          <w:tcPr>
            <w:tcW w:type="dxa" w:w="1728"/>
          </w:tcPr>
          <w:p>
            <w:r>
              <w:t>8</w:t>
            </w:r>
          </w:p>
        </w:tc>
        <w:tc>
          <w:tcPr>
            <w:tcW w:type="dxa" w:w="1728"/>
          </w:tcPr>
          <w:p>
            <w:r>
              <w:t>CoC Severance — $3.775M Unallocated</w:t>
            </w:r>
          </w:p>
        </w:tc>
        <w:tc>
          <w:tcPr>
            <w:tcW w:type="dxa" w:w="1728"/>
          </w:tcPr>
          <w:p>
            <w:r>
              <w:t>Structural</w:t>
            </w:r>
          </w:p>
        </w:tc>
        <w:tc>
          <w:tcPr>
            <w:tcW w:type="dxa" w:w="1728"/>
          </w:tcPr>
          <w:p>
            <w:r>
              <w:rPr>
                <w:b/>
                <w:color w:val="FF6600"/>
              </w:rPr>
              <w:t>HIGH</w:t>
            </w:r>
          </w:p>
        </w:tc>
        <w:tc>
          <w:tcPr>
            <w:tcW w:type="dxa" w:w="1728"/>
          </w:tcPr>
          <w:p>
            <w:r>
              <w:t>$2.625M–$3.775M</w:t>
            </w:r>
          </w:p>
        </w:tc>
      </w:tr>
      <w:tr>
        <w:tc>
          <w:tcPr>
            <w:tcW w:type="dxa" w:w="1728"/>
          </w:tcPr>
          <w:p>
            <w:r>
              <w:t>9</w:t>
            </w:r>
          </w:p>
        </w:tc>
        <w:tc>
          <w:tcPr>
            <w:tcW w:type="dxa" w:w="1728"/>
          </w:tcPr>
          <w:p>
            <w:r>
              <w:t>Asbestos Long-Tail — Pre-2015 Coverage Gap</w:t>
            </w:r>
          </w:p>
        </w:tc>
        <w:tc>
          <w:tcPr>
            <w:tcW w:type="dxa" w:w="1728"/>
          </w:tcPr>
          <w:p>
            <w:r>
              <w:t>Legal</w:t>
            </w:r>
          </w:p>
        </w:tc>
        <w:tc>
          <w:tcPr>
            <w:tcW w:type="dxa" w:w="1728"/>
          </w:tcPr>
          <w:p>
            <w:r>
              <w:rPr>
                <w:b/>
                <w:color w:val="FF6600"/>
              </w:rPr>
              <w:t>HIGH</w:t>
            </w:r>
          </w:p>
        </w:tc>
        <w:tc>
          <w:tcPr>
            <w:tcW w:type="dxa" w:w="1728"/>
          </w:tcPr>
          <w:p>
            <w:r>
              <w:t>Unquantified</w:t>
            </w:r>
          </w:p>
        </w:tc>
      </w:tr>
      <w:tr>
        <w:tc>
          <w:tcPr>
            <w:tcW w:type="dxa" w:w="1728"/>
          </w:tcPr>
          <w:p>
            <w:r>
              <w:t>10</w:t>
            </w:r>
          </w:p>
        </w:tc>
        <w:tc>
          <w:tcPr>
            <w:tcW w:type="dxa" w:w="1728"/>
          </w:tcPr>
          <w:p>
            <w:r>
              <w:t>Ramirez Lawsuit — Coverage Uncertainty</w:t>
            </w:r>
          </w:p>
        </w:tc>
        <w:tc>
          <w:tcPr>
            <w:tcW w:type="dxa" w:w="1728"/>
          </w:tcPr>
          <w:p>
            <w:r>
              <w:t>Legal</w:t>
            </w:r>
          </w:p>
        </w:tc>
        <w:tc>
          <w:tcPr>
            <w:tcW w:type="dxa" w:w="1728"/>
          </w:tcPr>
          <w:p>
            <w:r>
              <w:rPr>
                <w:b/>
                <w:color w:val="FF6600"/>
              </w:rPr>
              <w:t>HIGH</w:t>
            </w:r>
          </w:p>
        </w:tc>
        <w:tc>
          <w:tcPr>
            <w:tcW w:type="dxa" w:w="1728"/>
          </w:tcPr>
          <w:p>
            <w:r>
              <w:t>$500K–$1.5M+</w:t>
            </w:r>
          </w:p>
        </w:tc>
      </w:tr>
      <w:tr>
        <w:tc>
          <w:tcPr>
            <w:tcW w:type="dxa" w:w="1728"/>
          </w:tcPr>
          <w:p>
            <w:r>
              <w:t>11</w:t>
            </w:r>
          </w:p>
        </w:tc>
        <w:tc>
          <w:tcPr>
            <w:tcW w:type="dxa" w:w="1728"/>
          </w:tcPr>
          <w:p>
            <w:r>
              <w:t>Fleet Condition — $9.8M Replacement Backlog</w:t>
            </w:r>
          </w:p>
        </w:tc>
        <w:tc>
          <w:tcPr>
            <w:tcW w:type="dxa" w:w="1728"/>
          </w:tcPr>
          <w:p>
            <w:r>
              <w:t>Operational</w:t>
            </w:r>
          </w:p>
        </w:tc>
        <w:tc>
          <w:tcPr>
            <w:tcW w:type="dxa" w:w="1728"/>
          </w:tcPr>
          <w:p>
            <w:r>
              <w:rPr>
                <w:b/>
                <w:color w:val="FF6600"/>
              </w:rPr>
              <w:t>HIGH</w:t>
            </w:r>
          </w:p>
        </w:tc>
        <w:tc>
          <w:tcPr>
            <w:tcW w:type="dxa" w:w="1728"/>
          </w:tcPr>
          <w:p>
            <w:r>
              <w:t>$9.8M+ capex; ~$26–35M valuation</w:t>
            </w:r>
          </w:p>
        </w:tc>
      </w:tr>
      <w:tr>
        <w:tc>
          <w:tcPr>
            <w:tcW w:type="dxa" w:w="1728"/>
          </w:tcPr>
          <w:p>
            <w:r>
              <w:t>12</w:t>
            </w:r>
          </w:p>
        </w:tc>
        <w:tc>
          <w:tcPr>
            <w:tcW w:type="dxa" w:w="1728"/>
          </w:tcPr>
          <w:p>
            <w:r>
              <w:t>NLRB Unionization Petition</w:t>
            </w:r>
          </w:p>
        </w:tc>
        <w:tc>
          <w:tcPr>
            <w:tcW w:type="dxa" w:w="1728"/>
          </w:tcPr>
          <w:p>
            <w:r>
              <w:t>Operational</w:t>
            </w:r>
          </w:p>
        </w:tc>
        <w:tc>
          <w:tcPr>
            <w:tcW w:type="dxa" w:w="1728"/>
          </w:tcPr>
          <w:p>
            <w:r>
              <w:t>MEDIUM</w:t>
            </w:r>
          </w:p>
        </w:tc>
        <w:tc>
          <w:tcPr>
            <w:tcW w:type="dxa" w:w="1728"/>
          </w:tcPr>
          <w:p>
            <w:r>
              <w:t>Indeterminate labor cost increase</w:t>
            </w:r>
          </w:p>
        </w:tc>
      </w:tr>
      <w:tr>
        <w:tc>
          <w:tcPr>
            <w:tcW w:type="dxa" w:w="1728"/>
          </w:tcPr>
          <w:p>
            <w:r>
              <w:t>13</w:t>
            </w:r>
          </w:p>
        </w:tc>
        <w:tc>
          <w:tcPr>
            <w:tcW w:type="dxa" w:w="1728"/>
          </w:tcPr>
          <w:p>
            <w:r>
              <w:t>Lease Consent Requirements (7 of 10 leases)</w:t>
            </w:r>
          </w:p>
        </w:tc>
        <w:tc>
          <w:tcPr>
            <w:tcW w:type="dxa" w:w="1728"/>
          </w:tcPr>
          <w:p>
            <w:r>
              <w:t>Structural</w:t>
            </w:r>
          </w:p>
        </w:tc>
        <w:tc>
          <w:tcPr>
            <w:tcW w:type="dxa" w:w="1728"/>
          </w:tcPr>
          <w:p>
            <w:r>
              <w:t>MEDIUM</w:t>
            </w:r>
          </w:p>
        </w:tc>
        <w:tc>
          <w:tcPr>
            <w:tcW w:type="dxa" w:w="1728"/>
          </w:tcPr>
          <w:p>
            <w:r>
              <w:t>Closing delay / disruption risk</w:t>
            </w:r>
          </w:p>
        </w:tc>
      </w:tr>
    </w:tbl>
    <w:p/>
    <w:p>
      <w:pPr>
        <w:pStyle w:val="Heading1"/>
      </w:pPr>
      <w:r>
        <w:t>IV. RECOMMENDED ACTIONS BEFORE SIGNING</w:t>
      </w:r>
    </w:p>
    <w:p>
      <w:pPr>
        <w:spacing w:after="80"/>
      </w:pPr>
      <w:r>
        <w:t>1. Demand a fully reconciled EBITDA bridge resolving the $1.0 million discrepancy and independently validating all $4.4 million in add-backs.</w:t>
      </w:r>
    </w:p>
    <w:p>
      <w:pPr>
        <w:spacing w:after="80"/>
      </w:pPr>
      <w:r>
        <w:t>2. Obtain DOE Contracting Officer confirmation of ceiling modification prospects and novation requirements; model revenue scenarios without a ceiling increase.</w:t>
      </w:r>
    </w:p>
    <w:p>
      <w:pPr>
        <w:spacing w:after="80"/>
      </w:pPr>
      <w:r>
        <w:t>3. Commission an updated Phase II ESA and vapor intrusion assessment at the Grand Junction facility at seller's expense.</w:t>
      </w:r>
    </w:p>
    <w:p>
      <w:pPr>
        <w:spacing w:after="80"/>
      </w:pPr>
      <w:r>
        <w:t>4. Obtain Salt Lake City landlord consent (Wasatch Industrial Properties, LLC) as a hard closing condition; simultaneously advance the Utah permit transfer.</w:t>
      </w:r>
    </w:p>
    <w:p>
      <w:pPr>
        <w:spacing w:after="80"/>
      </w:pPr>
      <w:r>
        <w:t>5. Resolve or escrow the CDPHE enforcement action before closing.</w:t>
      </w:r>
    </w:p>
    <w:p>
      <w:pPr>
        <w:spacing w:after="80"/>
      </w:pPr>
      <w:r>
        <w:t>6. Confirm Casper facility permit renewal with written DEQ acknowledgment.</w:t>
      </w:r>
    </w:p>
    <w:p>
      <w:pPr>
        <w:spacing w:after="80"/>
      </w:pPr>
      <w:r>
        <w:t>7. Negotiate CoC severance treatment in the SPA; renegotiate founder employment agreements to market-rate compensation.</w:t>
      </w:r>
    </w:p>
    <w:p>
      <w:pPr>
        <w:spacing w:after="80"/>
      </w:pPr>
      <w:r>
        <w:t>8. Require asbestos tail coverage for the 2012–2014 period as a closing condition.</w:t>
      </w:r>
    </w:p>
    <w:p>
      <w:pPr>
        <w:spacing w:after="80"/>
      </w:pPr>
      <w:r>
        <w:t>9. Obtain Ramirez coverage determination from Frontier Specialty Insurance Group.</w:t>
      </w:r>
    </w:p>
    <w:p>
      <w:pPr>
        <w:spacing w:after="80"/>
      </w:pPr>
      <w:r>
        <w:t>10. Commission an independent fleet appraisal and recast normalized maintenance capex.</w:t>
      </w:r>
    </w:p>
    <w:p>
      <w:pPr>
        <w:spacing w:after="80"/>
      </w:pPr>
      <w:r>
        <w:t>11. Obtain full NLRB petition briefing and assess unionization risk.</w:t>
      </w:r>
    </w:p>
    <w:p>
      <w:pPr>
        <w:spacing w:after="80"/>
      </w:pPr>
      <w:r>
        <w:t>12. Conduct systematic landlord consent campaign for all seven leases requiring consent.</w:t>
      </w:r>
    </w:p>
    <w:p/>
    <w:p>
      <w:pPr>
        <w:spacing w:before="240"/>
      </w:pPr>
      <w:r>
        <w:rPr>
          <w:i/>
          <w:sz w:val="18"/>
        </w:rPr>
        <w:t>This memorandum is based solely on information contained in the Project Ridgeline data room as of December 2024. It does not constitute legal advice. Buyer's legal counsel (Thornfield &amp; Associates LLP) and financial advisors (Bridgewater Forsyth Group) should be consulted regarding all matters described herein.</w:t>
      </w:r>
    </w:p>
    <w:p>
      <w:pPr>
        <w:jc w:val="center"/>
      </w:pPr>
      <w:r>
        <w:rPr>
          <w:b/>
          <w:color w:val="C00000"/>
          <w:sz w:val="18"/>
        </w:rPr>
        <w:t>PRIVILEGED AND CONFIDENTIAL — ATTORNEY-CLIENT COMMUNICATION —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