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52" w:name="due-diligence-red-flag-memorandum"/>
    <w:p>
      <w:pPr>
        <w:pStyle w:val="Heading1"/>
      </w:pPr>
      <w:r>
        <w:t xml:space="preserve">Due Diligence Red Flag Memorandum</w:t>
      </w:r>
    </w:p>
    <w:p>
      <w:pPr>
        <w:pStyle w:val="FirstParagraph"/>
      </w:pPr>
      <w:r>
        <w:rPr>
          <w:b/>
          <w:bCs/>
        </w:rPr>
        <w:t xml:space="preserve">Project Ridgeline — Proposed Acquisition of Ridgeline Environmental Services, Inc.</w:t>
      </w:r>
    </w:p>
    <w:p>
      <w:pPr>
        <w:pStyle w:val="BodyText"/>
      </w:pPr>
      <w:r>
        <w:rPr>
          <w:b/>
          <w:bCs/>
        </w:rPr>
        <w:t xml:space="preserve">Prepared for:</w:t>
      </w:r>
      <w:r>
        <w:t xml:space="preserve"> </w:t>
      </w:r>
      <w:r>
        <w:t xml:space="preserve">Sycamore Capital Partners, LP</w:t>
      </w:r>
    </w:p>
    <w:p>
      <w:pPr>
        <w:pStyle w:val="BodyText"/>
      </w:pPr>
      <w:r>
        <w:rPr>
          <w:b/>
          <w:bCs/>
        </w:rPr>
        <w:t xml:space="preserve">Prepared by:</w:t>
      </w:r>
      <w:r>
        <w:t xml:space="preserve"> </w:t>
      </w:r>
      <w:r>
        <w:t xml:space="preserve">Deal Team / Thornfield &amp; Associates LLP</w:t>
      </w:r>
    </w:p>
    <w:p>
      <w:pPr>
        <w:pStyle w:val="BodyText"/>
      </w:pPr>
      <w:r>
        <w:rPr>
          <w:b/>
          <w:bCs/>
        </w:rPr>
        <w:t xml:space="preserve">Date:</w:t>
      </w:r>
      <w:r>
        <w:t xml:space="preserve"> </w:t>
      </w:r>
      <w:r>
        <w:t xml:space="preserve">December 2024</w:t>
      </w:r>
    </w:p>
    <w:p>
      <w:pPr>
        <w:pStyle w:val="BodyText"/>
      </w:pPr>
      <w:r>
        <w:rPr>
          <w:b/>
          <w:bCs/>
        </w:rPr>
        <w:t xml:space="preserve">Classification:</w:t>
      </w:r>
      <w:r>
        <w:t xml:space="preserve"> </w:t>
      </w:r>
      <w:r>
        <w:t xml:space="preserve">Confidential — For Internal Use Only</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summarizes material red flags and diligence concerns identified across thirteen data room documents reviewed in connection with the proposed acquisition of Ridgeline Environmental Services, Inc. (</w:t>
      </w:r>
      <w:r>
        <w:t xml:space="preserve">“</w:t>
      </w:r>
      <w:r>
        <w:t xml:space="preserve">RES</w:t>
      </w:r>
      <w:r>
        <w:t xml:space="preserve">”</w:t>
      </w:r>
      <w:r>
        <w:t xml:space="preserve"> </w:t>
      </w:r>
      <w:r>
        <w:t xml:space="preserve">or the</w:t>
      </w:r>
      <w:r>
        <w:t xml:space="preserve"> </w:t>
      </w:r>
      <w:r>
        <w:t xml:space="preserve">“</w:t>
      </w:r>
      <w:r>
        <w:t xml:space="preserve">Company</w:t>
      </w:r>
      <w:r>
        <w:t xml:space="preserve">”</w:t>
      </w:r>
      <w:r>
        <w:t xml:space="preserve">) by Sycamore Capital Partners, LP (</w:t>
      </w:r>
      <w:r>
        <w:t xml:space="preserve">“</w:t>
      </w:r>
      <w:r>
        <w:t xml:space="preserve">Buyer</w:t>
      </w:r>
      <w:r>
        <w:t xml:space="preserve">”</w:t>
      </w:r>
      <w:r>
        <w:t xml:space="preserve">). The proposed transaction is structured as a 100% stock acquisition at an indicative enterprise value of $182–$205 million (8.0x–9.0x FY2024 Adjusted EBITDA of $22.8M per the CIM).</w:t>
      </w:r>
    </w:p>
    <w:p>
      <w:pPr>
        <w:pStyle w:val="BodyText"/>
      </w:pPr>
      <w:r>
        <w:t xml:space="preserve">Our review has identified</w:t>
      </w:r>
      <w:r>
        <w:t xml:space="preserve"> </w:t>
      </w:r>
      <w:r>
        <w:rPr>
          <w:b/>
          <w:bCs/>
        </w:rPr>
        <w:t xml:space="preserve">twenty-two (22) discrete red flags</w:t>
      </w:r>
      <w:r>
        <w:t xml:space="preserve"> </w:t>
      </w:r>
      <w:r>
        <w:t xml:space="preserve">spanning six categories: (1) Financial / Quality of Earnings, (2) Environmental &amp; Regulatory, (3) Commercial Contracts &amp; Revenue Sustainability, (4) Real Property &amp; Leases, (5) Legal &amp; Litigation, and (6) Human Capital &amp; Labor. Several of these issues are individually material and, in combination, could warrant a meaningful reduction to the purchase price, restructuring of the indemnification framework, or additional closing conditions.</w:t>
      </w:r>
    </w:p>
    <w:p>
      <w:pPr>
        <w:pStyle w:val="BodyText"/>
      </w:pPr>
      <w:r>
        <w:rPr>
          <w:b/>
          <w:bCs/>
        </w:rPr>
        <w:t xml:space="preserve">The five most critical issues requiring immediate attention are:</w:t>
      </w:r>
    </w:p>
    <w:p>
      <w:pPr>
        <w:pStyle w:val="Compact"/>
        <w:numPr>
          <w:ilvl w:val="0"/>
          <w:numId w:val="1001"/>
        </w:numPr>
      </w:pPr>
      <w:r>
        <w:rPr>
          <w:b/>
          <w:bCs/>
        </w:rPr>
        <w:t xml:space="preserve">DOE IDIQ Ceiling Exhaustion</w:t>
      </w:r>
      <w:r>
        <w:t xml:space="preserve"> </w:t>
      </w:r>
      <w:r>
        <w:t xml:space="preserve">— The Company’s largest customer (19.2% of revenue) is projected to exhaust its $45M contract ceiling by April–May 2025, creating a potential $12.1M+ revenue headwind in FY2025 that is not reflected in the valuation.</w:t>
      </w:r>
    </w:p>
    <w:p>
      <w:pPr>
        <w:pStyle w:val="Compact"/>
        <w:numPr>
          <w:ilvl w:val="0"/>
          <w:numId w:val="1001"/>
        </w:numPr>
      </w:pPr>
      <w:r>
        <w:rPr>
          <w:b/>
          <w:bCs/>
        </w:rPr>
        <w:t xml:space="preserve">EBITDA Overstatement / QoE Discrepancy</w:t>
      </w:r>
      <w:r>
        <w:t xml:space="preserve"> </w:t>
      </w:r>
      <w:r>
        <w:t xml:space="preserve">— Management’s Adjusted EBITDA of $22.8M (CIM) conflicts with the QoE data package showing $23.8M, a $1.0M unexplained gap; the bank’s covenant EBITDA of $18.4M is the only independently anchored figure. Multiple add-backs are aggressive or non-qualifying.</w:t>
      </w:r>
    </w:p>
    <w:p>
      <w:pPr>
        <w:pStyle w:val="Compact"/>
        <w:numPr>
          <w:ilvl w:val="0"/>
          <w:numId w:val="1001"/>
        </w:numPr>
      </w:pPr>
      <w:r>
        <w:rPr>
          <w:b/>
          <w:bCs/>
        </w:rPr>
        <w:t xml:space="preserve">Salt Lake City Lease / Permit Dual Default Risk</w:t>
      </w:r>
      <w:r>
        <w:t xml:space="preserve"> </w:t>
      </w:r>
      <w:r>
        <w:t xml:space="preserve">— The SLC transfer station (serving ~$16.2M of revenue) has an unresolved landlord consent to the 2022 Pinnacle assignment, an incomplete permit transfer, and a pending landlord inquiry — all of which are compounded by the proposed transaction triggering a second change-of-control event.</w:t>
      </w:r>
    </w:p>
    <w:p>
      <w:pPr>
        <w:pStyle w:val="Compact"/>
        <w:numPr>
          <w:ilvl w:val="0"/>
          <w:numId w:val="1001"/>
        </w:numPr>
      </w:pPr>
      <w:r>
        <w:rPr>
          <w:b/>
          <w:bCs/>
        </w:rPr>
        <w:t xml:space="preserve">Grand Junction Environmental Liability</w:t>
      </w:r>
      <w:r>
        <w:t xml:space="preserve"> </w:t>
      </w:r>
      <w:r>
        <w:t xml:space="preserve">— The 2019 Phase II ESA (now 5+ years stale) identified petroleum hydrocarbon and chlorinated solvent contamination with a cost estimate of $1.8M–$2.6M that explicitly excludes vapor intrusion mitigation, off-site remediation, and third-party claims. No updated assessment has been performed, no remediation plan has been submitted, and the PLL policy’s gradual contamination exclusion means there is no insurance coverage for this liability.</w:t>
      </w:r>
    </w:p>
    <w:p>
      <w:pPr>
        <w:pStyle w:val="Compact"/>
        <w:numPr>
          <w:ilvl w:val="0"/>
          <w:numId w:val="1001"/>
        </w:numPr>
      </w:pPr>
      <w:r>
        <w:rPr>
          <w:b/>
          <w:bCs/>
        </w:rPr>
        <w:t xml:space="preserve">Change-of-Control Cascade Across Contracts, Leases, and Credit Facility</w:t>
      </w:r>
      <w:r>
        <w:t xml:space="preserve"> </w:t>
      </w:r>
      <w:r>
        <w:t xml:space="preserve">— The proposed 100% stock acquisition simultaneously triggers mandatory prepayment of $38.7M+ in bank debt (with a $263K prepayment premium), change-of-control provisions in 8 of the top 20 customer contracts ($53M of revenue), assignment/consent requirements in at least 6 leases, $2.625M in single-trigger executive severance, and DOE novation requirements — creating a complex, multi-party consent process with significant execution risk.</w:t>
      </w:r>
    </w:p>
    <w:p>
      <w:r>
        <w:pict>
          <v:rect style="width:0;height:1.5pt" o:hralign="center" o:hrstd="t" o:hr="t"/>
        </w:pict>
      </w:r>
    </w:p>
    <w:bookmarkEnd w:id="21"/>
    <w:bookmarkStart w:id="27" w:name="category-1-financial-quality-of-earnings"/>
    <w:p>
      <w:pPr>
        <w:pStyle w:val="Heading2"/>
      </w:pPr>
      <w:r>
        <w:t xml:space="preserve">Category 1: Financial / Quality of Earnings</w:t>
      </w:r>
    </w:p>
    <w:bookmarkStart w:id="22" w:name="Xfab31e801605d69831887374a6c4368328baeb4"/>
    <w:p>
      <w:pPr>
        <w:pStyle w:val="Heading3"/>
      </w:pPr>
      <w:r>
        <w:t xml:space="preserve">RF-01 | EBITDA Discrepancy Between CIM and QoE Data Package — HIGH SEVERITY</w:t>
      </w:r>
    </w:p>
    <w:p>
      <w:pPr>
        <w:pStyle w:val="FirstParagraph"/>
      </w:pPr>
      <w:r>
        <w:t xml:space="preserve">The CIM presents FY2024 Adjusted EBITDA of</w:t>
      </w:r>
      <w:r>
        <w:t xml:space="preserve"> </w:t>
      </w:r>
      <w:r>
        <w:rPr>
          <w:b/>
          <w:bCs/>
        </w:rPr>
        <w:t xml:space="preserve">$22.8M</w:t>
      </w:r>
      <w:r>
        <w:t xml:space="preserve">, while the QoE data request response (EBITDA Bridge tab) shows Management Adjusted EBITDA of</w:t>
      </w:r>
      <w:r>
        <w:t xml:space="preserve"> </w:t>
      </w:r>
      <w:r>
        <w:rPr>
          <w:b/>
          <w:bCs/>
        </w:rPr>
        <w:t xml:space="preserve">$23.8M</w:t>
      </w:r>
      <w:r>
        <w:t xml:space="preserve"> </w:t>
      </w:r>
      <w:r>
        <w:t xml:space="preserve">— a</w:t>
      </w:r>
      <w:r>
        <w:t xml:space="preserve"> </w:t>
      </w:r>
      <w:r>
        <w:rPr>
          <w:b/>
          <w:bCs/>
        </w:rPr>
        <w:t xml:space="preserve">$1.0M unexplained gap</w:t>
      </w:r>
      <w:r>
        <w:t xml:space="preserve">. Management acknowledges the discrepancy in the QoE workbook but states the specific adjustment category causing it</w:t>
      </w:r>
      <w:r>
        <w:t xml:space="preserve"> </w:t>
      </w:r>
      <w:r>
        <w:t xml:space="preserve">“</w:t>
      </w:r>
      <w:r>
        <w:t xml:space="preserve">has not been identified.</w:t>
      </w:r>
      <w:r>
        <w:t xml:space="preserve">”</w:t>
      </w:r>
      <w:r>
        <w:t xml:space="preserve"> </w:t>
      </w:r>
      <w:r>
        <w:t xml:space="preserve">This is a significant red flag: the valuation anchor for a $182–$205M transaction has not been reconciled by the seller’s own team. The Buyer should require a fully reconciled, line-item EBITDA bridge before proceeding to definitive agreement.</w:t>
      </w:r>
    </w:p>
    <w:p>
      <w:pPr>
        <w:pStyle w:val="BodyText"/>
      </w:pPr>
      <w:r>
        <w:t xml:space="preserve">Additionally, the QoE workbook’s Historical P&amp;L tab shows FY2024 Reported EBITDA of</w:t>
      </w:r>
      <w:r>
        <w:t xml:space="preserve"> </w:t>
      </w:r>
      <w:r>
        <w:rPr>
          <w:b/>
          <w:bCs/>
        </w:rPr>
        <w:t xml:space="preserve">$26.0M</w:t>
      </w:r>
      <w:r>
        <w:t xml:space="preserve"> </w:t>
      </w:r>
      <w:r>
        <w:t xml:space="preserve">(including D&amp;A add-back), while management’s CIM presentation uses $18.4M as the reported EBITDA starting point (EBIT basis). The differing starting points create confusion and require explicit reconciliation.</w:t>
      </w:r>
    </w:p>
    <w:p>
      <w:pPr>
        <w:pStyle w:val="BodyText"/>
      </w:pPr>
      <w:r>
        <w:rPr>
          <w:b/>
          <w:bCs/>
        </w:rPr>
        <w:t xml:space="preserve">Action Required:</w:t>
      </w:r>
      <w:r>
        <w:t xml:space="preserve"> </w:t>
      </w:r>
      <w:r>
        <w:t xml:space="preserve">Demand a fully reconciled EBITDA bridge from management. Confirm which figure ($22.8M or $23.8M) is the correct basis for the purchase price multiple. Adjust LOI enterprise value range accordingly.</w:t>
      </w:r>
    </w:p>
    <w:p>
      <w:r>
        <w:pict>
          <v:rect style="width:0;height:1.5pt" o:hralign="center" o:hrstd="t" o:hr="t"/>
        </w:pict>
      </w:r>
    </w:p>
    <w:bookmarkEnd w:id="22"/>
    <w:bookmarkStart w:id="23" w:name="Xff3a8078b52f3c9dab7214e02edcd79385fa576"/>
    <w:p>
      <w:pPr>
        <w:pStyle w:val="Heading3"/>
      </w:pPr>
      <w:r>
        <w:t xml:space="preserve">RF-02 | Aggressive and Potentially Non-Qualifying EBITDA Add-Backs — HIGH SEVERITY</w:t>
      </w:r>
    </w:p>
    <w:p>
      <w:pPr>
        <w:pStyle w:val="FirstParagraph"/>
      </w:pPr>
      <w:r>
        <w:t xml:space="preserve">The $4.4M–$5.4M in management adjustments include several items that are questionable in nature or recurring in character:</w:t>
      </w:r>
    </w:p>
    <w:p>
      <w:pPr>
        <w:pStyle w:val="Compact"/>
        <w:numPr>
          <w:ilvl w:val="0"/>
          <w:numId w:val="1002"/>
        </w:numPr>
      </w:pPr>
      <w:r>
        <w:rPr>
          <w:b/>
          <w:bCs/>
        </w:rPr>
        <w:t xml:space="preserve">Litigation Settlement ($1.2M):</w:t>
      </w:r>
      <w:r>
        <w:t xml:space="preserve"> </w:t>
      </w:r>
      <w:r>
        <w:t xml:space="preserve">The CIM describes this as a</w:t>
      </w:r>
      <w:r>
        <w:t xml:space="preserve"> </w:t>
      </w:r>
      <w:r>
        <w:t xml:space="preserve">“</w:t>
      </w:r>
      <w:r>
        <w:t xml:space="preserve">one-time litigation settlement.</w:t>
      </w:r>
      <w:r>
        <w:t xml:space="preserve">”</w:t>
      </w:r>
      <w:r>
        <w:t xml:space="preserve"> </w:t>
      </w:r>
      <w:r>
        <w:t xml:space="preserve">However, the QoE workbook and litigation summary clarify this was a</w:t>
      </w:r>
      <w:r>
        <w:t xml:space="preserve"> </w:t>
      </w:r>
      <w:r>
        <w:rPr>
          <w:b/>
          <w:bCs/>
        </w:rPr>
        <w:t xml:space="preserve">receipt</w:t>
      </w:r>
      <w:r>
        <w:t xml:space="preserve"> </w:t>
      </w:r>
      <w:r>
        <w:t xml:space="preserve">(not a cost) — RES received $1.2M from Clearwater Logistics. Adding back a cash receipt to EBITDA is non-standard and inflates earnings. This item should be</w:t>
      </w:r>
      <w:r>
        <w:t xml:space="preserve"> </w:t>
      </w:r>
      <w:r>
        <w:rPr>
          <w:b/>
          <w:bCs/>
        </w:rPr>
        <w:t xml:space="preserve">removed</w:t>
      </w:r>
      <w:r>
        <w:t xml:space="preserve"> </w:t>
      </w:r>
      <w:r>
        <w:t xml:space="preserve">from the add-back schedule entirely, as it represents income, not a non-recurring expense.</w:t>
      </w:r>
    </w:p>
    <w:p>
      <w:pPr>
        <w:pStyle w:val="Compact"/>
        <w:numPr>
          <w:ilvl w:val="0"/>
          <w:numId w:val="1002"/>
        </w:numPr>
      </w:pPr>
      <w:r>
        <w:rPr>
          <w:b/>
          <w:bCs/>
        </w:rPr>
        <w:t xml:space="preserve">Owner Compensation Normalization ($950K):</w:t>
      </w:r>
      <w:r>
        <w:t xml:space="preserve"> </w:t>
      </w:r>
      <w:r>
        <w:t xml:space="preserve">The Calloway brothers each earn $875K base salary ($1.75M combined). The adjustment normalizes to $400K each ($800K combined), implying $950K of add-back. However, post-closing, the Calloways will receive $2.625M in single-trigger change-of-control severance and may not remain in their roles at any salary. The buyer must budget for replacement executive costs, which may exceed the normalized $800K figure.</w:t>
      </w:r>
    </w:p>
    <w:p>
      <w:pPr>
        <w:pStyle w:val="Compact"/>
        <w:numPr>
          <w:ilvl w:val="0"/>
          <w:numId w:val="1002"/>
        </w:numPr>
      </w:pPr>
      <w:r>
        <w:rPr>
          <w:b/>
          <w:bCs/>
        </w:rPr>
        <w:t xml:space="preserve">Acquisition Integration Costs ($800K in FY2024):</w:t>
      </w:r>
      <w:r>
        <w:t xml:space="preserve"> </w:t>
      </w:r>
      <w:r>
        <w:t xml:space="preserve">The Pinnacle acquisition closed in March 2022 — over two years before the TTM period. Continued integration costs in FY2024 suggest either the integration is not</w:t>
      </w:r>
      <w:r>
        <w:t xml:space="preserve"> </w:t>
      </w:r>
      <w:r>
        <w:t xml:space="preserve">“</w:t>
      </w:r>
      <w:r>
        <w:t xml:space="preserve">substantially complete</w:t>
      </w:r>
      <w:r>
        <w:t xml:space="preserve">”</w:t>
      </w:r>
      <w:r>
        <w:t xml:space="preserve"> </w:t>
      </w:r>
      <w:r>
        <w:t xml:space="preserve">as represented, or these costs are recurring operational expenses being misclassified as non-recurring.</w:t>
      </w:r>
    </w:p>
    <w:p>
      <w:pPr>
        <w:pStyle w:val="Compact"/>
        <w:numPr>
          <w:ilvl w:val="0"/>
          <w:numId w:val="1002"/>
        </w:numPr>
      </w:pPr>
      <w:r>
        <w:rPr>
          <w:b/>
          <w:bCs/>
        </w:rPr>
        <w:t xml:space="preserve">ERP Implementation ($650K):</w:t>
      </w:r>
      <w:r>
        <w:t xml:space="preserve"> </w:t>
      </w:r>
      <w:r>
        <w:t xml:space="preserve">The QoE notes that Phase 2 of the ERP implementation is expected to complete in Q2 FY2025, meaning additional costs will be incurred post-closing. This is not a fully non-recurring item.</w:t>
      </w:r>
    </w:p>
    <w:p>
      <w:pPr>
        <w:pStyle w:val="Compact"/>
        <w:numPr>
          <w:ilvl w:val="0"/>
          <w:numId w:val="1002"/>
        </w:numPr>
      </w:pPr>
      <w:r>
        <w:rPr>
          <w:b/>
          <w:bCs/>
        </w:rPr>
        <w:t xml:space="preserve">Asbestos Wind-Down ($1.8M):</w:t>
      </w:r>
      <w:r>
        <w:t xml:space="preserve"> </w:t>
      </w:r>
      <w:r>
        <w:t xml:space="preserve">While the service line was discontinued, two workers’ compensation claims from former asbestos employees remain open, and the current PLL policy’s retroactive date of January 1, 2015 leaves pre-2015 asbestos work uninsured.</w:t>
      </w:r>
    </w:p>
    <w:p>
      <w:pPr>
        <w:pStyle w:val="FirstParagraph"/>
      </w:pPr>
      <w:r>
        <w:rPr>
          <w:b/>
          <w:bCs/>
        </w:rPr>
        <w:t xml:space="preserve">Bank EBITDA Covenant Definition:</w:t>
      </w:r>
      <w:r>
        <w:t xml:space="preserve"> </w:t>
      </w:r>
      <w:r>
        <w:t xml:space="preserve">The credit agreement’s Consolidated EBITDA definition permits only up to $500K of non-recurring add-backs. All five management adjustments totaling $5.4M are</w:t>
      </w:r>
      <w:r>
        <w:t xml:space="preserve"> </w:t>
      </w:r>
      <w:r>
        <w:rPr>
          <w:b/>
          <w:bCs/>
        </w:rPr>
        <w:t xml:space="preserve">excluded</w:t>
      </w:r>
      <w:r>
        <w:t xml:space="preserve"> </w:t>
      </w:r>
      <w:r>
        <w:t xml:space="preserve">under the bank definition, yielding bank EBITDA of $18.4M and a leverage ratio of 2.10x — not the 1.70x implied by management’s adjusted figure.</w:t>
      </w:r>
    </w:p>
    <w:p>
      <w:pPr>
        <w:pStyle w:val="BodyText"/>
      </w:pPr>
      <w:r>
        <w:rPr>
          <w:b/>
          <w:bCs/>
        </w:rPr>
        <w:t xml:space="preserve">Action Required:</w:t>
      </w:r>
      <w:r>
        <w:t xml:space="preserve"> </w:t>
      </w:r>
      <w:r>
        <w:t xml:space="preserve">Reject the litigation settlement add-back. Scrutinize all remaining add-backs with Bridgewater Forsyth Group. Rebase valuation on a defensible adjusted EBITDA figure, likely in the $19.5M–$21.0M range after appropriate adjustments.</w:t>
      </w:r>
    </w:p>
    <w:p>
      <w:r>
        <w:pict>
          <v:rect style="width:0;height:1.5pt" o:hralign="center" o:hrstd="t" o:hr="t"/>
        </w:pict>
      </w:r>
    </w:p>
    <w:bookmarkEnd w:id="23"/>
    <w:bookmarkStart w:id="24" w:name="X1062f04e0f5589b803019107f9747700fd5fe60"/>
    <w:p>
      <w:pPr>
        <w:pStyle w:val="Heading3"/>
      </w:pPr>
      <w:r>
        <w:t xml:space="preserve">RF-03 | Fleet Deferred Capital Expenditure Backlog — MEDIUM SEVERITY</w:t>
      </w:r>
    </w:p>
    <w:p>
      <w:pPr>
        <w:pStyle w:val="FirstParagraph"/>
      </w:pPr>
      <w:r>
        <w:t xml:space="preserve">The Fleet &amp; Equipment Schedule reveals that</w:t>
      </w:r>
      <w:r>
        <w:t xml:space="preserve"> </w:t>
      </w:r>
      <w:r>
        <w:rPr>
          <w:b/>
          <w:bCs/>
        </w:rPr>
        <w:t xml:space="preserve">38 of 85 assets (44.7%)</w:t>
      </w:r>
      <w:r>
        <w:t xml:space="preserve"> </w:t>
      </w:r>
      <w:r>
        <w:t xml:space="preserve">are at or past their stated useful life, with a total estimated replacement cost for past-life units of</w:t>
      </w:r>
      <w:r>
        <w:t xml:space="preserve"> </w:t>
      </w:r>
      <w:r>
        <w:rPr>
          <w:b/>
          <w:bCs/>
        </w:rPr>
        <w:t xml:space="preserve">$9.8M</w:t>
      </w:r>
      <w:r>
        <w:t xml:space="preserve">. Average fleet age is 8.2 years against a 7.0-year weighted average useful life. Management’s normalized maintenance capex estimate of $4.0–$4.5M per year appears understated given this backlog. Spreading the $9.8M replacement backlog over three years implies approximately</w:t>
      </w:r>
      <w:r>
        <w:t xml:space="preserve"> </w:t>
      </w:r>
      <w:r>
        <w:rPr>
          <w:b/>
          <w:bCs/>
        </w:rPr>
        <w:t xml:space="preserve">$3.3M/year in catch-up capex</w:t>
      </w:r>
      <w:r>
        <w:t xml:space="preserve"> </w:t>
      </w:r>
      <w:r>
        <w:t xml:space="preserve">above the current run-rate, which would reduce normalized free cash flow materially.</w:t>
      </w:r>
    </w:p>
    <w:p>
      <w:pPr>
        <w:pStyle w:val="BodyText"/>
      </w:pPr>
      <w:r>
        <w:t xml:space="preserve">Several units are flagged as</w:t>
      </w:r>
      <w:r>
        <w:t xml:space="preserve"> </w:t>
      </w:r>
      <w:r>
        <w:t xml:space="preserve">“</w:t>
      </w:r>
      <w:r>
        <w:t xml:space="preserve">At End of Life — No Replacement Scheduled,</w:t>
      </w:r>
      <w:r>
        <w:t xml:space="preserve">”</w:t>
      </w:r>
      <w:r>
        <w:t xml:space="preserve"> </w:t>
      </w:r>
      <w:r>
        <w:t xml:space="preserve">indicating a conscious deferral that may impair operational capacity or create safety/regulatory risk.</w:t>
      </w:r>
    </w:p>
    <w:p>
      <w:pPr>
        <w:pStyle w:val="BodyText"/>
      </w:pPr>
      <w:r>
        <w:rPr>
          <w:b/>
          <w:bCs/>
        </w:rPr>
        <w:t xml:space="preserve">Action Required:</w:t>
      </w:r>
      <w:r>
        <w:t xml:space="preserve"> </w:t>
      </w:r>
      <w:r>
        <w:t xml:space="preserve">Commission an independent fleet appraisal. Adjust normalized maintenance capex upward to $6.5–$7.5M per year to reflect the deferred replacement backlog. Reduce EBITDA-to-FCF conversion assumptions accordingly.</w:t>
      </w:r>
    </w:p>
    <w:p>
      <w:r>
        <w:pict>
          <v:rect style="width:0;height:1.5pt" o:hralign="center" o:hrstd="t" o:hr="t"/>
        </w:pict>
      </w:r>
    </w:p>
    <w:bookmarkEnd w:id="24"/>
    <w:bookmarkStart w:id="25" w:name="X297e862947a40f23c6c3bc4ca22c2e8f1c867b9"/>
    <w:p>
      <w:pPr>
        <w:pStyle w:val="Heading3"/>
      </w:pPr>
      <w:r>
        <w:t xml:space="preserve">RF-04 | Financial Statements Not Audited for FY2024 — MEDIUM SEVERITY</w:t>
      </w:r>
    </w:p>
    <w:p>
      <w:pPr>
        <w:pStyle w:val="FirstParagraph"/>
      </w:pPr>
      <w:r>
        <w:t xml:space="preserve">The QoE cover sheet confirms that FY2024 (TTM 9/30/24) financials are</w:t>
      </w:r>
      <w:r>
        <w:t xml:space="preserve"> </w:t>
      </w:r>
      <w:r>
        <w:rPr>
          <w:b/>
          <w:bCs/>
        </w:rPr>
        <w:t xml:space="preserve">reviewed but unaudited</w:t>
      </w:r>
      <w:r>
        <w:t xml:space="preserve">. The CIM notes that annual statements are</w:t>
      </w:r>
      <w:r>
        <w:t xml:space="preserve"> </w:t>
      </w:r>
      <w:r>
        <w:t xml:space="preserve">“</w:t>
      </w:r>
      <w:r>
        <w:t xml:space="preserve">reviewed by the Company’s independent accountants, Hansen &amp; Whitfield, CPAs</w:t>
      </w:r>
      <w:r>
        <w:t xml:space="preserve">”</w:t>
      </w:r>
      <w:r>
        <w:t xml:space="preserve"> </w:t>
      </w:r>
      <w:r>
        <w:t xml:space="preserve">— a small Grand Junction firm. The LOI requires delivery of audited FY2022, FY2023, and FY2024 financial statements as a closing condition. The absence of a Big 4 or national firm audit for the TTM period — the primary valuation period — increases the risk of material misstatement. The change in auditor from Plante Moran (FY2020–FY2023 per QoE cover) to Hansen &amp; Whitfield also warrants explanation.</w:t>
      </w:r>
    </w:p>
    <w:p>
      <w:pPr>
        <w:pStyle w:val="BodyText"/>
      </w:pPr>
      <w:r>
        <w:rPr>
          <w:b/>
          <w:bCs/>
        </w:rPr>
        <w:t xml:space="preserve">Action Required:</w:t>
      </w:r>
      <w:r>
        <w:t xml:space="preserve"> </w:t>
      </w:r>
      <w:r>
        <w:t xml:space="preserve">Require audited FY2024 financials from a nationally recognized firm as a condition to signing the definitive SPA. Investigate the auditor change.</w:t>
      </w:r>
    </w:p>
    <w:p>
      <w:r>
        <w:pict>
          <v:rect style="width:0;height:1.5pt" o:hralign="center" o:hrstd="t" o:hr="t"/>
        </w:pict>
      </w:r>
    </w:p>
    <w:bookmarkEnd w:id="25"/>
    <w:bookmarkStart w:id="26" w:name="X9ed19b018a486875bc6884219ed94e6819899c2"/>
    <w:p>
      <w:pPr>
        <w:pStyle w:val="Heading3"/>
      </w:pPr>
      <w:r>
        <w:t xml:space="preserve">RF-05 | Revenue Growth Deceleration and Organic Growth Concerns — MEDIUM SEVERITY</w:t>
      </w:r>
    </w:p>
    <w:p>
      <w:pPr>
        <w:pStyle w:val="FirstParagraph"/>
      </w:pPr>
      <w:r>
        <w:t xml:space="preserve">Revenue growth decelerated from 19.0% (FY2022) to 17.2% (FY2023) to</w:t>
      </w:r>
      <w:r>
        <w:t xml:space="preserve"> </w:t>
      </w:r>
      <w:r>
        <w:rPr>
          <w:b/>
          <w:bCs/>
        </w:rPr>
        <w:t xml:space="preserve">11.1% (FY2024)</w:t>
      </w:r>
      <w:r>
        <w:t xml:space="preserve">. The QoE Historical Revenue tab shows that the</w:t>
      </w:r>
      <w:r>
        <w:t xml:space="preserve"> </w:t>
      </w:r>
      <w:r>
        <w:t xml:space="preserve">“</w:t>
      </w:r>
      <w:r>
        <w:t xml:space="preserve">All Other Customers</w:t>
      </w:r>
      <w:r>
        <w:t xml:space="preserve">”</w:t>
      </w:r>
      <w:r>
        <w:t xml:space="preserve"> </w:t>
      </w:r>
      <w:r>
        <w:t xml:space="preserve">category declined from $42.0M (FY2020) to $13.8M (FY2024 TTM), a 62% decline. While management attributes this to reclassification of growing customers into the named list, the trend suggests the long tail of smaller customers is eroding. Organic CAGR (excluding Pinnacle) is approximately 12.5%, and the FY2024 deceleration to 11.1% total growth (with Pinnacle fully lapped) suggests organic momentum is slowing.</w:t>
      </w:r>
    </w:p>
    <w:p>
      <w:pPr>
        <w:pStyle w:val="BodyText"/>
      </w:pPr>
      <w:r>
        <w:rPr>
          <w:b/>
          <w:bCs/>
        </w:rPr>
        <w:t xml:space="preserve">Action Required:</w:t>
      </w:r>
      <w:r>
        <w:t xml:space="preserve"> </w:t>
      </w:r>
      <w:r>
        <w:t xml:space="preserve">Obtain customer-level revenue data for all accounts, including churned customers. Validate that the</w:t>
      </w:r>
      <w:r>
        <w:t xml:space="preserve"> </w:t>
      </w:r>
      <w:r>
        <w:t xml:space="preserve">“</w:t>
      </w:r>
      <w:r>
        <w:t xml:space="preserve">All Other</w:t>
      </w:r>
      <w:r>
        <w:t xml:space="preserve">”</w:t>
      </w:r>
      <w:r>
        <w:t xml:space="preserve"> </w:t>
      </w:r>
      <w:r>
        <w:t xml:space="preserve">decline is reclassification, not attrition.</w:t>
      </w:r>
    </w:p>
    <w:p>
      <w:r>
        <w:pict>
          <v:rect style="width:0;height:1.5pt" o:hralign="center" o:hrstd="t" o:hr="t"/>
        </w:pict>
      </w:r>
    </w:p>
    <w:bookmarkEnd w:id="26"/>
    <w:bookmarkEnd w:id="27"/>
    <w:bookmarkStart w:id="33" w:name="category-2-environmental-regulatory"/>
    <w:p>
      <w:pPr>
        <w:pStyle w:val="Heading2"/>
      </w:pPr>
      <w:r>
        <w:t xml:space="preserve">Category 2: Environmental &amp; Regulatory</w:t>
      </w:r>
    </w:p>
    <w:bookmarkStart w:id="28" w:name="X59bc12866b8960f4018e6d19f12caca179ab147"/>
    <w:p>
      <w:pPr>
        <w:pStyle w:val="Heading3"/>
      </w:pPr>
      <w:r>
        <w:t xml:space="preserve">RF-06 | Grand Junction Phase II ESA — Stale Assessment, Unquantified Upside Risk — HIGH SEVERITY</w:t>
      </w:r>
    </w:p>
    <w:p>
      <w:pPr>
        <w:pStyle w:val="FirstParagraph"/>
      </w:pPr>
      <w:r>
        <w:t xml:space="preserve">The Phase II ESA was completed in</w:t>
      </w:r>
      <w:r>
        <w:t xml:space="preserve"> </w:t>
      </w:r>
      <w:r>
        <w:rPr>
          <w:b/>
          <w:bCs/>
        </w:rPr>
        <w:t xml:space="preserve">June 2019</w:t>
      </w:r>
      <w:r>
        <w:t xml:space="preserve"> </w:t>
      </w:r>
      <w:r>
        <w:t xml:space="preserve">— over five years ago. The assessment identified:</w:t>
      </w:r>
      <w:r>
        <w:t xml:space="preserve"> </w:t>
      </w:r>
      <w:r>
        <w:t xml:space="preserve">- Petroleum hydrocarbon contamination (TPH-diesel up to 4,200 mg/kg; benzene at 2.4 mg/kg) in the former UST area</w:t>
      </w:r>
      <w:r>
        <w:t xml:space="preserve"> </w:t>
      </w:r>
      <w:r>
        <w:t xml:space="preserve">- Chlorinated solvent contamination (PCE up to 18 mg/kg; TCE up to 6.8 mg/kg) in the former degreasing area</w:t>
      </w:r>
      <w:r>
        <w:t xml:space="preserve"> </w:t>
      </w:r>
      <w:r>
        <w:t xml:space="preserve">- Potential vapor intrusion pathway into the occupied 28,000 sq. ft. vehicle maintenance building (PCE at 450 µg/m³; TCE at 120 µg/m³ — both exceeding EPA RSLs)</w:t>
      </w:r>
      <w:r>
        <w:t xml:space="preserve"> </w:t>
      </w:r>
      <w:r>
        <w:t xml:space="preserve">- Groundwater contamination confirmed in monitoring wells (benzene at 12 µg/L; PCE at 22 µg/L; TCE at 8.7 µg/L)</w:t>
      </w:r>
    </w:p>
    <w:p>
      <w:pPr>
        <w:pStyle w:val="BodyText"/>
      </w:pPr>
      <w:r>
        <w:rPr>
          <w:b/>
          <w:bCs/>
        </w:rPr>
        <w:t xml:space="preserve">Critical gaps identified by Elkhorn (still unaddressed as of December 2024):</w:t>
      </w:r>
      <w:r>
        <w:t xml:space="preserve"> </w:t>
      </w:r>
      <w:r>
        <w:t xml:space="preserve">1. No off-site downgradient monitoring wells installed — plume containment is unconfirmed</w:t>
      </w:r>
      <w:r>
        <w:t xml:space="preserve"> </w:t>
      </w:r>
      <w:r>
        <w:t xml:space="preserve">2. No vapor intrusion assessment conducted for the occupied maintenance building</w:t>
      </w:r>
      <w:r>
        <w:t xml:space="preserve"> </w:t>
      </w:r>
      <w:r>
        <w:t xml:space="preserve">3. No updated site characterization since 2019</w:t>
      </w:r>
      <w:r>
        <w:t xml:space="preserve"> </w:t>
      </w:r>
      <w:r>
        <w:t xml:space="preserve">4. No remediation plan submitted to CDPHE; no VCUP enrollment</w:t>
      </w:r>
    </w:p>
    <w:p>
      <w:pPr>
        <w:pStyle w:val="BodyText"/>
      </w:pPr>
      <w:r>
        <w:t xml:space="preserve">The 2019 cost estimate of</w:t>
      </w:r>
      <w:r>
        <w:t xml:space="preserve"> </w:t>
      </w:r>
      <w:r>
        <w:rPr>
          <w:b/>
          <w:bCs/>
        </w:rPr>
        <w:t xml:space="preserve">$1.8M–$2.6M</w:t>
      </w:r>
      <w:r>
        <w:t xml:space="preserve"> </w:t>
      </w:r>
      <w:r>
        <w:t xml:space="preserve">explicitly excludes: vapor intrusion mitigation, off-site remediation, third-party claims, and natural resource damages. The Company has accrued $2.2M for Grand Junction — within the 2019 range — but the 2019 estimate is stale and the excluded items could be material. Chlorinated solvent (DNAPL) sites routinely exceed initial cost estimates by 2x–5x.</w:t>
      </w:r>
    </w:p>
    <w:p>
      <w:pPr>
        <w:pStyle w:val="BodyText"/>
      </w:pPr>
      <w:r>
        <w:t xml:space="preserve">The contamination is characterized as resulting from</w:t>
      </w:r>
      <w:r>
        <w:t xml:space="preserve"> </w:t>
      </w:r>
      <w:r>
        <w:rPr>
          <w:b/>
          <w:bCs/>
        </w:rPr>
        <w:t xml:space="preserve">gradual releases</w:t>
      </w:r>
      <w:r>
        <w:t xml:space="preserve"> </w:t>
      </w:r>
      <w:r>
        <w:t xml:space="preserve">— which means the PLL policy’s exclusion for gradual contamination at owned facilities applies.</w:t>
      </w:r>
      <w:r>
        <w:t xml:space="preserve"> </w:t>
      </w:r>
      <w:r>
        <w:rPr>
          <w:b/>
          <w:bCs/>
        </w:rPr>
        <w:t xml:space="preserve">There is no insurance coverage for this liability.</w:t>
      </w:r>
    </w:p>
    <w:p>
      <w:pPr>
        <w:pStyle w:val="BodyText"/>
      </w:pPr>
      <w:r>
        <w:rPr>
          <w:b/>
          <w:bCs/>
        </w:rPr>
        <w:t xml:space="preserve">Action Required:</w:t>
      </w:r>
      <w:r>
        <w:t xml:space="preserve"> </w:t>
      </w:r>
      <w:r>
        <w:t xml:space="preserve">Commission an updated Phase II ESA and vapor intrusion assessment immediately. Require off-site monitoring wells. Obtain an independent remediation cost estimate. Negotiate a specific environmental escrow or indemnification carve-out with a 6-year survival period (consistent with the LOI). Consider requiring VCUP enrollment as a closing condition.</w:t>
      </w:r>
    </w:p>
    <w:p>
      <w:r>
        <w:pict>
          <v:rect style="width:0;height:1.5pt" o:hralign="center" o:hrstd="t" o:hr="t"/>
        </w:pict>
      </w:r>
    </w:p>
    <w:bookmarkEnd w:id="28"/>
    <w:bookmarkStart w:id="29" w:name="X3238b31a6f2eaedeca3f40fbf432553696d612f"/>
    <w:p>
      <w:pPr>
        <w:pStyle w:val="Heading3"/>
      </w:pPr>
      <w:r>
        <w:t xml:space="preserve">RF-07 | CDPHE RCRA Enforcement Action — Active, Unresolved — HIGH SEVERITY</w:t>
      </w:r>
    </w:p>
    <w:p>
      <w:pPr>
        <w:pStyle w:val="FirstParagraph"/>
      </w:pPr>
      <w:r>
        <w:t xml:space="preserve">CDPHE issued a Notice of Violation (Docket No. CDPHE-HW-2024-0093) on July 18, 2024, alleging improper storage of approximately 14,000 gallons of F001/F002 listed hazardous waste at the Grand Junction facility. The parties dispute the violation period:</w:t>
      </w:r>
      <w:r>
        <w:t xml:space="preserve"> </w:t>
      </w:r>
      <w:r>
        <w:t xml:space="preserve">-</w:t>
      </w:r>
      <w:r>
        <w:t xml:space="preserve"> </w:t>
      </w:r>
      <w:r>
        <w:rPr>
          <w:b/>
          <w:bCs/>
        </w:rPr>
        <w:t xml:space="preserve">Company position:</w:t>
      </w:r>
      <w:r>
        <w:t xml:space="preserve"> </w:t>
      </w:r>
      <w:r>
        <w:t xml:space="preserve">12 days → maximum penalty $450,000</w:t>
      </w:r>
      <w:r>
        <w:t xml:space="preserve"> </w:t>
      </w:r>
      <w:r>
        <w:t xml:space="preserve">-</w:t>
      </w:r>
      <w:r>
        <w:t xml:space="preserve"> </w:t>
      </w:r>
      <w:r>
        <w:rPr>
          <w:b/>
          <w:bCs/>
        </w:rPr>
        <w:t xml:space="preserve">CDPHE position:</w:t>
      </w:r>
      <w:r>
        <w:t xml:space="preserve"> </w:t>
      </w:r>
      <w:r>
        <w:t xml:space="preserve">31 days → maximum penalty $1,162,500</w:t>
      </w:r>
    </w:p>
    <w:p>
      <w:pPr>
        <w:pStyle w:val="BodyText"/>
      </w:pPr>
      <w:r>
        <w:rPr>
          <w:b/>
          <w:bCs/>
        </w:rPr>
        <w:t xml:space="preserve">No accrual has been recorded</w:t>
      </w:r>
      <w:r>
        <w:t xml:space="preserve"> </w:t>
      </w:r>
      <w:r>
        <w:t xml:space="preserve">as of September 30, 2024. The matter is in administrative negotiation with a settlement conference expected in Q1 2025 — potentially concurrent with or after the target signing date of February 14, 2025.</w:t>
      </w:r>
    </w:p>
    <w:p>
      <w:pPr>
        <w:pStyle w:val="BodyText"/>
      </w:pPr>
      <w:r>
        <w:t xml:space="preserve">This enforcement action is also a potential</w:t>
      </w:r>
      <w:r>
        <w:t xml:space="preserve"> </w:t>
      </w:r>
      <w:r>
        <w:rPr>
          <w:b/>
          <w:bCs/>
        </w:rPr>
        <w:t xml:space="preserve">Event of Default</w:t>
      </w:r>
      <w:r>
        <w:t xml:space="preserve"> </w:t>
      </w:r>
      <w:r>
        <w:t xml:space="preserve">under the credit agreement (Section 10:</w:t>
      </w:r>
      <w:r>
        <w:t xml:space="preserve"> </w:t>
      </w:r>
      <w:r>
        <w:t xml:space="preserve">“</w:t>
      </w:r>
      <w:r>
        <w:t xml:space="preserve">any material environmental event or receipt of any governmental order requiring remediation in excess of $1,000,000</w:t>
      </w:r>
      <w:r>
        <w:t xml:space="preserve">”</w:t>
      </w:r>
      <w:r>
        <w:t xml:space="preserve">). While the penalty itself may not reach $1M, the existence of an active RCRA enforcement action at the Company’s primary permitted facility is a material concern for permit renewal (the Colorado RCRA Part B permit expires December 31, 2026) and for future government contracting.</w:t>
      </w:r>
    </w:p>
    <w:p>
      <w:pPr>
        <w:pStyle w:val="BodyText"/>
      </w:pPr>
      <w:r>
        <w:rPr>
          <w:b/>
          <w:bCs/>
        </w:rPr>
        <w:t xml:space="preserve">Action Required:</w:t>
      </w:r>
      <w:r>
        <w:t xml:space="preserve"> </w:t>
      </w:r>
      <w:r>
        <w:t xml:space="preserve">Require resolution of the CDPHE enforcement action prior to closing, or negotiate a specific indemnification with a dollar-for-dollar escrow holdback covering the full CDPHE maximum exposure of $1,162,500. Confirm no impact on RCRA permit renewal.</w:t>
      </w:r>
    </w:p>
    <w:p>
      <w:r>
        <w:pict>
          <v:rect style="width:0;height:1.5pt" o:hralign="center" o:hrstd="t" o:hr="t"/>
        </w:pict>
      </w:r>
    </w:p>
    <w:bookmarkEnd w:id="29"/>
    <w:bookmarkStart w:id="30" w:name="Xab226f9957380cae422e0e719d818dcff380f6c"/>
    <w:p>
      <w:pPr>
        <w:pStyle w:val="Heading3"/>
      </w:pPr>
      <w:r>
        <w:t xml:space="preserve">RF-08 | Wyoming Permit Expired — Operating Under Timely Renewal Provisions — MEDIUM SEVERITY</w:t>
      </w:r>
    </w:p>
    <w:p>
      <w:pPr>
        <w:pStyle w:val="FirstParagraph"/>
      </w:pPr>
      <w:r>
        <w:t xml:space="preserve">The Wyoming hazardous waste permit (WY-HW-2019-033) for the Casper facility</w:t>
      </w:r>
      <w:r>
        <w:t xml:space="preserve"> </w:t>
      </w:r>
      <w:r>
        <w:rPr>
          <w:b/>
          <w:bCs/>
        </w:rPr>
        <w:t xml:space="preserve">expired November 30, 2024</w:t>
      </w:r>
      <w:r>
        <w:t xml:space="preserve">. The Company filed a timely renewal application on October 15, 2024, and is operating under Wyoming’s timely renewal provisions. While this is a legally permissible interim status, it creates risk:</w:t>
      </w:r>
      <w:r>
        <w:t xml:space="preserve"> </w:t>
      </w:r>
      <w:r>
        <w:t xml:space="preserve">- The renewal is not guaranteed; Wyoming DEQ could impose new conditions or deny renewal</w:t>
      </w:r>
      <w:r>
        <w:t xml:space="preserve"> </w:t>
      </w:r>
      <w:r>
        <w:t xml:space="preserve">- Operating under expired permit status could be characterized as a permit deficiency in government contract representations</w:t>
      </w:r>
      <w:r>
        <w:t xml:space="preserve"> </w:t>
      </w:r>
      <w:r>
        <w:t xml:space="preserve">- The credit agreement requires maintenance of all material permits and treats permit revocation as an Event of Default</w:t>
      </w:r>
    </w:p>
    <w:p>
      <w:pPr>
        <w:pStyle w:val="BodyText"/>
      </w:pPr>
      <w:r>
        <w:rPr>
          <w:b/>
          <w:bCs/>
        </w:rPr>
        <w:t xml:space="preserve">Action Required:</w:t>
      </w:r>
      <w:r>
        <w:t xml:space="preserve"> </w:t>
      </w:r>
      <w:r>
        <w:t xml:space="preserve">Obtain written confirmation from Wyoming DEQ of the renewal timeline and expected conditions. Make permit renewal a closing condition or obtain a representation that no material new conditions will be imposed.</w:t>
      </w:r>
    </w:p>
    <w:p>
      <w:r>
        <w:pict>
          <v:rect style="width:0;height:1.5pt" o:hralign="center" o:hrstd="t" o:hr="t"/>
        </w:pict>
      </w:r>
    </w:p>
    <w:bookmarkEnd w:id="30"/>
    <w:bookmarkStart w:id="31" w:name="X9f133b75fc1960dd15cefff08a3d6b71d0c8792"/>
    <w:p>
      <w:pPr>
        <w:pStyle w:val="Heading3"/>
      </w:pPr>
      <w:r>
        <w:t xml:space="preserve">RF-09 | Utah Salt Lake City Permit Transfer Incomplete — 2.5 Years Pending — HIGH SEVERITY</w:t>
      </w:r>
    </w:p>
    <w:p>
      <w:pPr>
        <w:pStyle w:val="FirstParagraph"/>
      </w:pPr>
      <w:r>
        <w:t xml:space="preserve">The Utah hazardous waste transfer station permit (UTH-0441) for the Salt Lake City facility remains in the name of</w:t>
      </w:r>
      <w:r>
        <w:t xml:space="preserve"> </w:t>
      </w:r>
      <w:r>
        <w:rPr>
          <w:b/>
          <w:bCs/>
        </w:rPr>
        <w:t xml:space="preserve">Pinnacle Waste Solutions, LLC</w:t>
      </w:r>
      <w:r>
        <w:t xml:space="preserve"> </w:t>
      </w:r>
      <w:r>
        <w:t xml:space="preserve">— 2.5 years after the Pinnacle acquisition closed in March 2022. The transfer application was initiated but has not been completed. RES is operating the facility under Pinnacle’s permit, with Pinnacle as a dormant wholly-owned subsidiary.</w:t>
      </w:r>
    </w:p>
    <w:p>
      <w:pPr>
        <w:pStyle w:val="BodyText"/>
      </w:pPr>
      <w:r>
        <w:t xml:space="preserve">Under Utah Administrative Code R315-3, permit modifications reflecting changes in ownership or operational control require Division approval</w:t>
      </w:r>
      <w:r>
        <w:t xml:space="preserve"> </w:t>
      </w:r>
      <w:r>
        <w:rPr>
          <w:b/>
          <w:bCs/>
        </w:rPr>
        <w:t xml:space="preserve">prior to becoming effective</w:t>
      </w:r>
      <w:r>
        <w:t xml:space="preserve">. The Company’s position that operating under a subsidiary’s permit is compliant is legally untested and could be challenged by the Utah Division of Waste Management. The proposed transaction would add a second layer of change-of-control complexity.</w:t>
      </w:r>
    </w:p>
    <w:p>
      <w:pPr>
        <w:pStyle w:val="BodyText"/>
      </w:pPr>
      <w:r>
        <w:t xml:space="preserve">This facility serves approximately</w:t>
      </w:r>
      <w:r>
        <w:t xml:space="preserve"> </w:t>
      </w:r>
      <w:r>
        <w:rPr>
          <w:b/>
          <w:bCs/>
        </w:rPr>
        <w:t xml:space="preserve">$16.2M of annual revenue</w:t>
      </w:r>
      <w:r>
        <w:t xml:space="preserve"> </w:t>
      </w:r>
      <w:r>
        <w:t xml:space="preserve">(Wasatch Front Petroleum $6.4M, Silver Creek Mining $5.8M, Utah DEQ $4.6M, Summit County $2.9M, and others).</w:t>
      </w:r>
    </w:p>
    <w:p>
      <w:pPr>
        <w:pStyle w:val="BodyText"/>
      </w:pPr>
      <w:r>
        <w:rPr>
          <w:b/>
          <w:bCs/>
        </w:rPr>
        <w:t xml:space="preserve">Action Required:</w:t>
      </w:r>
      <w:r>
        <w:t xml:space="preserve"> </w:t>
      </w:r>
      <w:r>
        <w:t xml:space="preserve">Require completion of the Utah permit transfer as a closing condition. Obtain written confirmation from the Utah Division of Waste Management that current operations are compliant. Assess whether the proposed transaction requires a new permit modification application.</w:t>
      </w:r>
    </w:p>
    <w:p>
      <w:r>
        <w:pict>
          <v:rect style="width:0;height:1.5pt" o:hralign="center" o:hrstd="t" o:hr="t"/>
        </w:pict>
      </w:r>
    </w:p>
    <w:bookmarkEnd w:id="31"/>
    <w:bookmarkStart w:id="32" w:name="Xfa997b10afae70f65ac0a3475eecef267e1a34e"/>
    <w:p>
      <w:pPr>
        <w:pStyle w:val="Heading3"/>
      </w:pPr>
      <w:r>
        <w:t xml:space="preserve">RF-10 | Asbestos Long-Tail Liability — Uninsured Pre-2015 Exposure — MEDIUM SEVERITY</w:t>
      </w:r>
    </w:p>
    <w:p>
      <w:pPr>
        <w:pStyle w:val="FirstParagraph"/>
      </w:pPr>
      <w:r>
        <w:t xml:space="preserve">RES operated an asbestos abatement service line from 2012 through September 30, 2023, performing work at approximately 145 commercial and industrial sites across CO, UT, WY, and MT. The current PLL policy has a</w:t>
      </w:r>
      <w:r>
        <w:t xml:space="preserve"> </w:t>
      </w:r>
      <w:r>
        <w:rPr>
          <w:b/>
          <w:bCs/>
        </w:rPr>
        <w:t xml:space="preserve">retroactive date of January 1, 2015</w:t>
      </w:r>
      <w:r>
        <w:t xml:space="preserve">, leaving work performed from 2012–2014 (approximately 2–3 years of operations) without coverage under the current policy. Two workers’ compensation claims from former asbestos employees remain open. No tail coverage has been procured for completed operations.</w:t>
      </w:r>
    </w:p>
    <w:p>
      <w:pPr>
        <w:pStyle w:val="BodyText"/>
      </w:pPr>
      <w:r>
        <w:t xml:space="preserve">The CGL policy contains a</w:t>
      </w:r>
      <w:r>
        <w:t xml:space="preserve"> </w:t>
      </w:r>
      <w:r>
        <w:rPr>
          <w:b/>
          <w:bCs/>
        </w:rPr>
        <w:t xml:space="preserve">blanket asbestos exclusion</w:t>
      </w:r>
      <w:r>
        <w:t xml:space="preserve"> </w:t>
      </w:r>
      <w:r>
        <w:t xml:space="preserve">for all bodily injury and property damage claims, regardless of when exposure occurred. This means asbestos-related personal injury claims from any period are excluded from CGL coverage.</w:t>
      </w:r>
    </w:p>
    <w:p>
      <w:pPr>
        <w:pStyle w:val="BodyText"/>
      </w:pPr>
      <w:r>
        <w:rPr>
          <w:b/>
          <w:bCs/>
        </w:rPr>
        <w:t xml:space="preserve">Action Required:</w:t>
      </w:r>
      <w:r>
        <w:t xml:space="preserve"> </w:t>
      </w:r>
      <w:r>
        <w:t xml:space="preserve">Quantify the revenue and number of projects performed during the 2012–2014 uninsured period. Require the sellers to procure a completed operations tail policy covering the 2012–2014 period, or negotiate a specific indemnification with extended survival (minimum 6 years). Confirm the status of the two open workers’ compensation claims.</w:t>
      </w:r>
    </w:p>
    <w:p>
      <w:r>
        <w:pict>
          <v:rect style="width:0;height:1.5pt" o:hralign="center" o:hrstd="t" o:hr="t"/>
        </w:pict>
      </w:r>
    </w:p>
    <w:bookmarkEnd w:id="32"/>
    <w:bookmarkEnd w:id="33"/>
    <w:bookmarkStart w:id="39" w:name="X2392d56255d6cf0ddfab418352f097ad99b6678"/>
    <w:p>
      <w:pPr>
        <w:pStyle w:val="Heading2"/>
      </w:pPr>
      <w:r>
        <w:t xml:space="preserve">Category 3: Commercial Contracts &amp; Revenue Sustainability</w:t>
      </w:r>
    </w:p>
    <w:bookmarkStart w:id="34" w:name="X1bcbdd24028a67285b3587271ed41e9ddbdb94a"/>
    <w:p>
      <w:pPr>
        <w:pStyle w:val="Heading3"/>
      </w:pPr>
      <w:r>
        <w:t xml:space="preserve">RF-11 | DOE IDIQ Ceiling Exhaustion — Critical Revenue Risk — CRITICAL SEVERITY</w:t>
      </w:r>
    </w:p>
    <w:p>
      <w:pPr>
        <w:pStyle w:val="FirstParagraph"/>
      </w:pPr>
      <w:r>
        <w:t xml:space="preserve">The DOE IDIQ contract (DE-EM-0005523) is the Company’s largest customer at</w:t>
      </w:r>
      <w:r>
        <w:t xml:space="preserve"> </w:t>
      </w:r>
      <w:r>
        <w:rPr>
          <w:b/>
          <w:bCs/>
        </w:rPr>
        <w:t xml:space="preserve">$24.4M (19.2% of TTM revenue)</w:t>
      </w:r>
      <w:r>
        <w:t xml:space="preserve">. The contract has a $45M ceiling value, of which</w:t>
      </w:r>
      <w:r>
        <w:t xml:space="preserve"> </w:t>
      </w:r>
      <w:r>
        <w:rPr>
          <w:b/>
          <w:bCs/>
        </w:rPr>
        <w:t xml:space="preserve">$32.7M (72.7%) has been consumed</w:t>
      </w:r>
      <w:r>
        <w:t xml:space="preserve"> </w:t>
      </w:r>
      <w:r>
        <w:t xml:space="preserve">in 61.7% of the contract period. At the current run rate of ~$24.4M/year (~$2.03M/month), the remaining $12.3M ceiling will be</w:t>
      </w:r>
      <w:r>
        <w:t xml:space="preserve"> </w:t>
      </w:r>
      <w:r>
        <w:rPr>
          <w:b/>
          <w:bCs/>
        </w:rPr>
        <w:t xml:space="preserve">exhausted by approximately April–May 2025</w:t>
      </w:r>
      <w:r>
        <w:t xml:space="preserve"> </w:t>
      </w:r>
      <w:r>
        <w:t xml:space="preserve">— coinciding with the target closing date.</w:t>
      </w:r>
    </w:p>
    <w:p>
      <w:pPr>
        <w:pStyle w:val="BodyText"/>
      </w:pPr>
      <w:r>
        <w:t xml:space="preserve">The contract expires August 31, 2026, leaving approximately 16 months of unfunded contract period. If the ceiling is not increased through a contract modification,</w:t>
      </w:r>
      <w:r>
        <w:t xml:space="preserve"> </w:t>
      </w:r>
      <w:r>
        <w:rPr>
          <w:b/>
          <w:bCs/>
        </w:rPr>
        <w:t xml:space="preserve">FY2025 DOE revenue could decline from $24.4M to ≤$12.3M</w:t>
      </w:r>
      <w:r>
        <w:t xml:space="preserve">, representing a</w:t>
      </w:r>
      <w:r>
        <w:t xml:space="preserve"> </w:t>
      </w:r>
      <w:r>
        <w:rPr>
          <w:b/>
          <w:bCs/>
        </w:rPr>
        <w:t xml:space="preserve">$12.1M revenue headwind</w:t>
      </w:r>
      <w:r>
        <w:t xml:space="preserve"> </w:t>
      </w:r>
      <w:r>
        <w:t xml:space="preserve">(9.5% of current total revenue). This is not disclosed in the CIM and is not reflected in the valuation.</w:t>
      </w:r>
    </w:p>
    <w:p>
      <w:pPr>
        <w:pStyle w:val="BodyText"/>
      </w:pPr>
      <w:r>
        <w:t xml:space="preserve">Additionally, the contract is</w:t>
      </w:r>
      <w:r>
        <w:t xml:space="preserve"> </w:t>
      </w:r>
      <w:r>
        <w:rPr>
          <w:b/>
          <w:bCs/>
        </w:rPr>
        <w:t xml:space="preserve">non-assignable</w:t>
      </w:r>
      <w:r>
        <w:t xml:space="preserve"> </w:t>
      </w:r>
      <w:r>
        <w:t xml:space="preserve">under the Anti-Assignment Act (41 U.S.C. § 6305) and FAR 42.12. The contract’s Section H, Clause H-12 requires written notification to the Contracting Officer within 30 days of any change in ownership. Failure to notify could be grounds for termination for default. A novation agreement may be required.</w:t>
      </w:r>
    </w:p>
    <w:p>
      <w:pPr>
        <w:pStyle w:val="BodyText"/>
      </w:pPr>
      <w:r>
        <w:rPr>
          <w:b/>
          <w:bCs/>
        </w:rPr>
        <w:t xml:space="preserve">Action Required:</w:t>
      </w:r>
      <w:r>
        <w:t xml:space="preserve"> </w:t>
      </w:r>
      <w:r>
        <w:t xml:space="preserve">Engage directly with the DOE Contracting Officer (with seller’s consent) to assess the likelihood of a ceiling modification or follow-on contract. Obtain a written representation from management regarding the status of ceiling modification discussions. Adjust FY2025 revenue projections to reflect the ceiling exhaustion risk. Make DOE contract continuity a closing condition or adjust purchase price to reflect the revenue risk.</w:t>
      </w:r>
    </w:p>
    <w:p>
      <w:r>
        <w:pict>
          <v:rect style="width:0;height:1.5pt" o:hralign="center" o:hrstd="t" o:hr="t"/>
        </w:pict>
      </w:r>
    </w:p>
    <w:bookmarkEnd w:id="34"/>
    <w:bookmarkStart w:id="35" w:name="X79bf5a1f1f9cca7eb61c219973d45b29e274c56"/>
    <w:p>
      <w:pPr>
        <w:pStyle w:val="Heading3"/>
      </w:pPr>
      <w:r>
        <w:t xml:space="preserve">RF-12 | Change-of-Control Provisions in 8 of Top 20 Customer Contracts — HIGH SEVERITY</w:t>
      </w:r>
    </w:p>
    <w:p>
      <w:pPr>
        <w:pStyle w:val="FirstParagraph"/>
      </w:pPr>
      <w:r>
        <w:t xml:space="preserve">Eight of the top 20 customer contracts (representing significant revenue) contain assignment, change-of-control, or notification provisions that are triggered by the proposed transaction: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Customer</w:t>
            </w:r>
          </w:p>
        </w:tc>
        <w:tc>
          <w:tcPr/>
          <w:p>
            <w:pPr>
              <w:pStyle w:val="Compact"/>
              <w:jc w:val="left"/>
            </w:pPr>
            <w:r>
              <w:t xml:space="preserve">Revenue</w:t>
            </w:r>
          </w:p>
        </w:tc>
        <w:tc>
          <w:tcPr/>
          <w:p>
            <w:pPr>
              <w:pStyle w:val="Compact"/>
              <w:jc w:val="left"/>
            </w:pPr>
            <w:r>
              <w:t xml:space="preserve">Provision</w:t>
            </w:r>
          </w:p>
        </w:tc>
      </w:tr>
      <w:tr>
        <w:tc>
          <w:tcPr/>
          <w:p>
            <w:pPr>
              <w:pStyle w:val="Compact"/>
              <w:jc w:val="left"/>
            </w:pPr>
            <w:r>
              <w:t xml:space="preserve">DOE</w:t>
            </w:r>
          </w:p>
        </w:tc>
        <w:tc>
          <w:tcPr/>
          <w:p>
            <w:pPr>
              <w:pStyle w:val="Compact"/>
              <w:jc w:val="left"/>
            </w:pPr>
            <w:r>
              <w:t xml:space="preserve">$24.4M</w:t>
            </w:r>
          </w:p>
        </w:tc>
        <w:tc>
          <w:tcPr/>
          <w:p>
            <w:pPr>
              <w:pStyle w:val="Compact"/>
              <w:jc w:val="left"/>
            </w:pPr>
            <w:r>
              <w:t xml:space="preserve">Non-assignable; novation may be required</w:t>
            </w:r>
          </w:p>
        </w:tc>
      </w:tr>
      <w:tr>
        <w:tc>
          <w:tcPr/>
          <w:p>
            <w:pPr>
              <w:pStyle w:val="Compact"/>
              <w:jc w:val="left"/>
            </w:pPr>
            <w:r>
              <w:t xml:space="preserve">Intermountain Health Systems</w:t>
            </w:r>
          </w:p>
        </w:tc>
        <w:tc>
          <w:tcPr/>
          <w:p>
            <w:pPr>
              <w:pStyle w:val="Compact"/>
              <w:jc w:val="left"/>
            </w:pPr>
            <w:r>
              <w:t xml:space="preserve">$7.1M</w:t>
            </w:r>
          </w:p>
        </w:tc>
        <w:tc>
          <w:tcPr/>
          <w:p>
            <w:pPr>
              <w:pStyle w:val="Compact"/>
              <w:jc w:val="left"/>
            </w:pPr>
            <w:r>
              <w:t xml:space="preserve">Consent required; 60-day advance notice</w:t>
            </w:r>
          </w:p>
        </w:tc>
      </w:tr>
      <w:tr>
        <w:tc>
          <w:tcPr/>
          <w:p>
            <w:pPr>
              <w:pStyle w:val="Compact"/>
              <w:jc w:val="left"/>
            </w:pPr>
            <w:r>
              <w:t xml:space="preserve">Rocky Mountain Pipeline</w:t>
            </w:r>
          </w:p>
        </w:tc>
        <w:tc>
          <w:tcPr/>
          <w:p>
            <w:pPr>
              <w:pStyle w:val="Compact"/>
              <w:jc w:val="left"/>
            </w:pPr>
            <w:r>
              <w:t xml:space="preserve">$4.2M</w:t>
            </w:r>
          </w:p>
        </w:tc>
        <w:tc>
          <w:tcPr/>
          <w:p>
            <w:pPr>
              <w:pStyle w:val="Compact"/>
              <w:jc w:val="left"/>
            </w:pPr>
            <w:r>
              <w:t xml:space="preserve">Consent required; 30-day notification</w:t>
            </w:r>
          </w:p>
        </w:tc>
      </w:tr>
      <w:tr>
        <w:tc>
          <w:tcPr/>
          <w:p>
            <w:pPr>
              <w:pStyle w:val="Compact"/>
              <w:jc w:val="left"/>
            </w:pPr>
            <w:r>
              <w:t xml:space="preserve">Utah DEQ</w:t>
            </w:r>
          </w:p>
        </w:tc>
        <w:tc>
          <w:tcPr/>
          <w:p>
            <w:pPr>
              <w:pStyle w:val="Compact"/>
              <w:jc w:val="left"/>
            </w:pPr>
            <w:r>
              <w:t xml:space="preserve">$4.6M</w:t>
            </w:r>
          </w:p>
        </w:tc>
        <w:tc>
          <w:tcPr/>
          <w:p>
            <w:pPr>
              <w:pStyle w:val="Compact"/>
              <w:jc w:val="left"/>
            </w:pPr>
            <w:r>
              <w:t xml:space="preserve">State termination right if qualifications affected</w:t>
            </w:r>
          </w:p>
        </w:tc>
      </w:tr>
      <w:tr>
        <w:tc>
          <w:tcPr/>
          <w:p>
            <w:pPr>
              <w:pStyle w:val="Compact"/>
              <w:jc w:val="left"/>
            </w:pPr>
            <w:r>
              <w:t xml:space="preserve">Colorado DOT</w:t>
            </w:r>
          </w:p>
        </w:tc>
        <w:tc>
          <w:tcPr/>
          <w:p>
            <w:pPr>
              <w:pStyle w:val="Compact"/>
              <w:jc w:val="left"/>
            </w:pPr>
            <w:r>
              <w:t xml:space="preserve">$3.9M</w:t>
            </w:r>
          </w:p>
        </w:tc>
        <w:tc>
          <w:tcPr/>
          <w:p>
            <w:pPr>
              <w:pStyle w:val="Compact"/>
              <w:jc w:val="left"/>
            </w:pPr>
            <w:r>
              <w:t xml:space="preserve">Prior written consent required</w:t>
            </w:r>
          </w:p>
        </w:tc>
      </w:tr>
      <w:tr>
        <w:tc>
          <w:tcPr/>
          <w:p>
            <w:pPr>
              <w:pStyle w:val="Compact"/>
              <w:jc w:val="left"/>
            </w:pPr>
            <w:r>
              <w:t xml:space="preserve">Bridger Valley Ranches</w:t>
            </w:r>
          </w:p>
        </w:tc>
        <w:tc>
          <w:tcPr/>
          <w:p>
            <w:pPr>
              <w:pStyle w:val="Compact"/>
              <w:jc w:val="left"/>
            </w:pPr>
            <w:r>
              <w:t xml:space="preserve">$4.1M</w:t>
            </w:r>
          </w:p>
        </w:tc>
        <w:tc>
          <w:tcPr/>
          <w:p>
            <w:pPr>
              <w:pStyle w:val="Compact"/>
              <w:jc w:val="left"/>
            </w:pPr>
            <w:r>
              <w:t xml:space="preserve">Mutual consent required</w:t>
            </w:r>
          </w:p>
        </w:tc>
      </w:tr>
      <w:tr>
        <w:tc>
          <w:tcPr/>
          <w:p>
            <w:pPr>
              <w:pStyle w:val="Compact"/>
              <w:jc w:val="left"/>
            </w:pPr>
            <w:r>
              <w:t xml:space="preserve">Frontier E&amp;P</w:t>
            </w:r>
          </w:p>
        </w:tc>
        <w:tc>
          <w:tcPr/>
          <w:p>
            <w:pPr>
              <w:pStyle w:val="Compact"/>
              <w:jc w:val="left"/>
            </w:pPr>
            <w:r>
              <w:t xml:space="preserve">$2.6M</w:t>
            </w:r>
          </w:p>
        </w:tc>
        <w:tc>
          <w:tcPr/>
          <w:p>
            <w:pPr>
              <w:pStyle w:val="Compact"/>
              <w:jc w:val="left"/>
            </w:pPr>
            <w:r>
              <w:t xml:space="preserve">Consent required; 30-day notification</w:t>
            </w:r>
          </w:p>
        </w:tc>
      </w:tr>
      <w:tr>
        <w:tc>
          <w:tcPr/>
          <w:p>
            <w:pPr>
              <w:pStyle w:val="Compact"/>
              <w:jc w:val="left"/>
            </w:pPr>
            <w:r>
              <w:t xml:space="preserve">Teton Steel</w:t>
            </w:r>
          </w:p>
        </w:tc>
        <w:tc>
          <w:tcPr/>
          <w:p>
            <w:pPr>
              <w:pStyle w:val="Compact"/>
              <w:jc w:val="left"/>
            </w:pPr>
            <w:r>
              <w:t xml:space="preserve">$2.1M</w:t>
            </w:r>
          </w:p>
        </w:tc>
        <w:tc>
          <w:tcPr/>
          <w:p>
            <w:pPr>
              <w:pStyle w:val="Compact"/>
              <w:jc w:val="left"/>
            </w:pPr>
            <w:r>
              <w:t xml:space="preserve">Mutual written consent required</w:t>
            </w:r>
          </w:p>
        </w:tc>
      </w:tr>
    </w:tbl>
    <w:p>
      <w:pPr>
        <w:pStyle w:val="BodyText"/>
      </w:pPr>
      <w:r>
        <w:rPr>
          <w:b/>
          <w:bCs/>
        </w:rPr>
        <w:t xml:space="preserve">Total revenue at risk from change-of-control provisions: ~$53.0M (41.6% of TTM revenue)</w:t>
      </w:r>
    </w:p>
    <w:p>
      <w:pPr>
        <w:pStyle w:val="BodyText"/>
      </w:pPr>
      <w:r>
        <w:rPr>
          <w:b/>
          <w:bCs/>
        </w:rPr>
        <w:t xml:space="preserve">Action Required:</w:t>
      </w:r>
      <w:r>
        <w:t xml:space="preserve"> </w:t>
      </w:r>
      <w:r>
        <w:t xml:space="preserve">Initiate consent solicitation process for all affected contracts immediately. Make receipt of material consents a closing condition. Assess termination risk for each contract where consent is withheld.</w:t>
      </w:r>
    </w:p>
    <w:p>
      <w:r>
        <w:pict>
          <v:rect style="width:0;height:1.5pt" o:hralign="center" o:hrstd="t" o:hr="t"/>
        </w:pict>
      </w:r>
    </w:p>
    <w:bookmarkEnd w:id="35"/>
    <w:bookmarkStart w:id="36" w:name="X248116facbd4a72b53f02a8e60c843465a7707f"/>
    <w:p>
      <w:pPr>
        <w:pStyle w:val="Heading3"/>
      </w:pPr>
      <w:r>
        <w:t xml:space="preserve">RF-13 | CMMC Master Services Agreement — No Minimum Volume, 60-Day Termination — MEDIUM SEVERITY</w:t>
      </w:r>
    </w:p>
    <w:p>
      <w:pPr>
        <w:pStyle w:val="FirstParagraph"/>
      </w:pPr>
      <w:r>
        <w:t xml:space="preserve">Consolidated Mining &amp; Minerals Corp. (CMMC), the Company’s second-largest customer at $14.5M (11.4% of revenue), is governed by an MSA with</w:t>
      </w:r>
      <w:r>
        <w:t xml:space="preserve"> </w:t>
      </w:r>
      <w:r>
        <w:rPr>
          <w:b/>
          <w:bCs/>
        </w:rPr>
        <w:t xml:space="preserve">no minimum volume commitments</w:t>
      </w:r>
      <w:r>
        <w:t xml:space="preserve"> </w:t>
      </w:r>
      <w:r>
        <w:t xml:space="preserve">and a</w:t>
      </w:r>
      <w:r>
        <w:t xml:space="preserve"> </w:t>
      </w:r>
      <w:r>
        <w:rPr>
          <w:b/>
          <w:bCs/>
        </w:rPr>
        <w:t xml:space="preserve">60-day termination for convenience</w:t>
      </w:r>
      <w:r>
        <w:t xml:space="preserve"> </w:t>
      </w:r>
      <w:r>
        <w:t xml:space="preserve">provision. While the relationship dates to 2014 and has grown consistently, the absence of contractual revenue protection means this revenue could be eliminated with 60 days’ notice. The MSA auto-renews annually through May 31, 2025 — requiring renewal confirmation shortly after the target closing date.</w:t>
      </w:r>
    </w:p>
    <w:p>
      <w:pPr>
        <w:pStyle w:val="BodyText"/>
      </w:pPr>
      <w:r>
        <w:rPr>
          <w:b/>
          <w:bCs/>
        </w:rPr>
        <w:t xml:space="preserve">Action Required:</w:t>
      </w:r>
      <w:r>
        <w:t xml:space="preserve"> </w:t>
      </w:r>
      <w:r>
        <w:t xml:space="preserve">Obtain a representation from CMMC regarding its intent to renew and continue the relationship. Consider requesting a longer notice period or minimum volume commitment as part of the transaction.</w:t>
      </w:r>
    </w:p>
    <w:p>
      <w:r>
        <w:pict>
          <v:rect style="width:0;height:1.5pt" o:hralign="center" o:hrstd="t" o:hr="t"/>
        </w:pict>
      </w:r>
    </w:p>
    <w:bookmarkEnd w:id="36"/>
    <w:bookmarkStart w:id="37" w:name="X103641905870d2323cc746297a5e5f05755a3a0"/>
    <w:p>
      <w:pPr>
        <w:pStyle w:val="Heading3"/>
      </w:pPr>
      <w:r>
        <w:t xml:space="preserve">RF-14 | Intermountain Health Systems Contract Renewal Risk — MEDIUM SEVERITY</w:t>
      </w:r>
    </w:p>
    <w:p>
      <w:pPr>
        <w:pStyle w:val="FirstParagraph"/>
      </w:pPr>
      <w:r>
        <w:t xml:space="preserve">The Intermountain Health Systems contract ($7.1M, 5.6% of revenue) expires</w:t>
      </w:r>
      <w:r>
        <w:t xml:space="preserve"> </w:t>
      </w:r>
      <w:r>
        <w:rPr>
          <w:b/>
          <w:bCs/>
        </w:rPr>
        <w:t xml:space="preserve">June 30, 2025</w:t>
      </w:r>
      <w:r>
        <w:t xml:space="preserve"> </w:t>
      </w:r>
      <w:r>
        <w:t xml:space="preserve">— approximately two months after the target closing date. The renewal option requires 120-day advance notice (by approximately March 1, 2025), which falls during the due diligence and signing period. The contract also contains a change-of-control notification requirement. If the renewal is not exercised, this revenue will be lost shortly after closing.</w:t>
      </w:r>
    </w:p>
    <w:p>
      <w:pPr>
        <w:pStyle w:val="BodyText"/>
      </w:pPr>
      <w:r>
        <w:rPr>
          <w:b/>
          <w:bCs/>
        </w:rPr>
        <w:t xml:space="preserve">Action Required:</w:t>
      </w:r>
      <w:r>
        <w:t xml:space="preserve"> </w:t>
      </w:r>
      <w:r>
        <w:t xml:space="preserve">Confirm whether the 120-day renewal notice has been or will be delivered. Make contract renewal a closing condition or adjust purchase price to reflect the risk of non-renewal.</w:t>
      </w:r>
    </w:p>
    <w:p>
      <w:r>
        <w:pict>
          <v:rect style="width:0;height:1.5pt" o:hralign="center" o:hrstd="t" o:hr="t"/>
        </w:pict>
      </w:r>
    </w:p>
    <w:bookmarkEnd w:id="37"/>
    <w:bookmarkStart w:id="38" w:name="Xe3087d766575b52cde9c832de7f0e6be317beef"/>
    <w:p>
      <w:pPr>
        <w:pStyle w:val="Heading3"/>
      </w:pPr>
      <w:r>
        <w:t xml:space="preserve">RF-15 | Customer List Discrepancy Between CIM and QoE Data Package — MEDIUM SEVERITY</w:t>
      </w:r>
    </w:p>
    <w:p>
      <w:pPr>
        <w:pStyle w:val="FirstParagraph"/>
      </w:pPr>
      <w:r>
        <w:t xml:space="preserve">The CIM’s customer table and the customer-contract-summary.xlsx list different customers from the QoE Revenue by Customer tab. For example, the CIM references</w:t>
      </w:r>
      <w:r>
        <w:t xml:space="preserve"> </w:t>
      </w:r>
      <w:r>
        <w:t xml:space="preserve">“</w:t>
      </w:r>
      <w:r>
        <w:t xml:space="preserve">Western Slope Municipal Water District</w:t>
      </w:r>
      <w:r>
        <w:t xml:space="preserve">”</w:t>
      </w:r>
      <w:r>
        <w:t xml:space="preserve"> </w:t>
      </w:r>
      <w:r>
        <w:t xml:space="preserve">($9.8M) as Customer 3, while the QoE lists</w:t>
      </w:r>
      <w:r>
        <w:t xml:space="preserve"> </w:t>
      </w:r>
      <w:r>
        <w:t xml:space="preserve">“</w:t>
      </w:r>
      <w:r>
        <w:t xml:space="preserve">Western Slope Energy Partners</w:t>
      </w:r>
      <w:r>
        <w:t xml:space="preserve">”</w:t>
      </w:r>
      <w:r>
        <w:t xml:space="preserve"> </w:t>
      </w:r>
      <w:r>
        <w:t xml:space="preserve">($8.9M) as Customer 3. Similar discrepancies exist across multiple customer names and revenue figures. This inconsistency raises questions about the accuracy of the data room materials and whether the customer list has been anonymized, aggregated, or otherwise modified.</w:t>
      </w:r>
    </w:p>
    <w:p>
      <w:pPr>
        <w:pStyle w:val="BodyText"/>
      </w:pPr>
      <w:r>
        <w:rPr>
          <w:b/>
          <w:bCs/>
        </w:rPr>
        <w:t xml:space="preserve">Action Required:</w:t>
      </w:r>
      <w:r>
        <w:t xml:space="preserve"> </w:t>
      </w:r>
      <w:r>
        <w:t xml:space="preserve">Require management to provide a single, definitive, un-anonymized customer revenue schedule reconciled across all data room documents. Confirm the identity of all top 20 customers.</w:t>
      </w:r>
    </w:p>
    <w:p>
      <w:r>
        <w:pict>
          <v:rect style="width:0;height:1.5pt" o:hralign="center" o:hrstd="t" o:hr="t"/>
        </w:pict>
      </w:r>
    </w:p>
    <w:bookmarkEnd w:id="38"/>
    <w:bookmarkEnd w:id="39"/>
    <w:bookmarkStart w:id="42" w:name="category-4-real-property-leases"/>
    <w:p>
      <w:pPr>
        <w:pStyle w:val="Heading2"/>
      </w:pPr>
      <w:r>
        <w:t xml:space="preserve">Category 4: Real Property &amp; Leases</w:t>
      </w:r>
    </w:p>
    <w:bookmarkStart w:id="40" w:name="Xc2e25938f53804726c7042a9aaa81d4606cb9a5"/>
    <w:p>
      <w:pPr>
        <w:pStyle w:val="Heading3"/>
      </w:pPr>
      <w:r>
        <w:t xml:space="preserve">RF-16 | Salt Lake City Lease — Dual Assignment Default Risk — HIGH SEVERITY</w:t>
      </w:r>
    </w:p>
    <w:p>
      <w:pPr>
        <w:pStyle w:val="FirstParagraph"/>
      </w:pPr>
      <w:r>
        <w:t xml:space="preserve">The Salt Lake City transfer station lease (2100 West North Temple, SLC, UT) presents a compounded risk:</w:t>
      </w:r>
    </w:p>
    <w:p>
      <w:pPr>
        <w:numPr>
          <w:ilvl w:val="0"/>
          <w:numId w:val="1003"/>
        </w:numPr>
      </w:pPr>
      <w:r>
        <w:rPr>
          <w:b/>
          <w:bCs/>
        </w:rPr>
        <w:t xml:space="preserve">Unresolved 2022 Assignment:</w:t>
      </w:r>
      <w:r>
        <w:t xml:space="preserve"> </w:t>
      </w:r>
      <w:r>
        <w:t xml:space="preserve">RES requested landlord consent to the Pinnacle-to-RES assignment on April 12, 2022. As of December 2024 —</w:t>
      </w:r>
      <w:r>
        <w:t xml:space="preserve"> </w:t>
      </w:r>
      <w:r>
        <w:rPr>
          <w:b/>
          <w:bCs/>
        </w:rPr>
        <w:t xml:space="preserve">32 months later</w:t>
      </w:r>
      <w:r>
        <w:t xml:space="preserve"> </w:t>
      </w:r>
      <w:r>
        <w:t xml:space="preserve">— no written consent has been received. The landlord (Wasatch Industrial Properties, LLC) sent a lease compliance inquiry in November 2024 specifically referencing the consent-to-assignment clause, suggesting the landlord is aware of and may be asserting rights regarding the unconsented assignment.</w:t>
      </w:r>
    </w:p>
    <w:p>
      <w:pPr>
        <w:numPr>
          <w:ilvl w:val="0"/>
          <w:numId w:val="1003"/>
        </w:numPr>
      </w:pPr>
      <w:r>
        <w:rPr>
          <w:b/>
          <w:bCs/>
        </w:rPr>
        <w:t xml:space="preserve">Second Change-of-Control Event:</w:t>
      </w:r>
      <w:r>
        <w:t xml:space="preserve"> </w:t>
      </w:r>
      <w:r>
        <w:t xml:space="preserve">The proposed Sycamore acquisition would constitute a second change-of-control event under Section 14 of the SLC Lease, requiring a separate consent from the landlord.</w:t>
      </w:r>
    </w:p>
    <w:p>
      <w:pPr>
        <w:numPr>
          <w:ilvl w:val="0"/>
          <w:numId w:val="1003"/>
        </w:numPr>
      </w:pPr>
      <w:r>
        <w:rPr>
          <w:b/>
          <w:bCs/>
        </w:rPr>
        <w:t xml:space="preserve">Potential Pre-Existing Default:</w:t>
      </w:r>
      <w:r>
        <w:t xml:space="preserve"> </w:t>
      </w:r>
      <w:r>
        <w:t xml:space="preserve">The absence of landlord consent to the 2022 assignment may constitute a pre-existing default under the lease, which could give the landlord grounds to terminate the lease or refuse consent to the Sycamore transaction.</w:t>
      </w:r>
    </w:p>
    <w:p>
      <w:pPr>
        <w:pStyle w:val="FirstParagraph"/>
      </w:pPr>
      <w:r>
        <w:t xml:space="preserve">This facility serves approximately</w:t>
      </w:r>
      <w:r>
        <w:t xml:space="preserve"> </w:t>
      </w:r>
      <w:r>
        <w:rPr>
          <w:b/>
          <w:bCs/>
        </w:rPr>
        <w:t xml:space="preserve">$16.2M of annual revenue</w:t>
      </w:r>
      <w:r>
        <w:t xml:space="preserve"> </w:t>
      </w:r>
      <w:r>
        <w:t xml:space="preserve">and houses the Utah hazardous waste transfer station permit (UTH-0441, still in Pinnacle’s name). Disruption to this facility would affect a significant portion of the Company’s Utah operations.</w:t>
      </w:r>
    </w:p>
    <w:p>
      <w:pPr>
        <w:pStyle w:val="BodyText"/>
      </w:pPr>
      <w:r>
        <w:rPr>
          <w:b/>
          <w:bCs/>
        </w:rPr>
        <w:t xml:space="preserve">Action Required:</w:t>
      </w:r>
      <w:r>
        <w:t xml:space="preserve"> </w:t>
      </w:r>
      <w:r>
        <w:t xml:space="preserve">Obtain landlord consent to both the 2022 Pinnacle assignment and the proposed Sycamore transaction as a closing condition. Engage directly with Wasatch Industrial Properties to assess their position. If consent cannot be obtained, assess the feasibility of relocating Utah operations.</w:t>
      </w:r>
    </w:p>
    <w:p>
      <w:r>
        <w:pict>
          <v:rect style="width:0;height:1.5pt" o:hralign="center" o:hrstd="t" o:hr="t"/>
        </w:pict>
      </w:r>
    </w:p>
    <w:bookmarkEnd w:id="40"/>
    <w:bookmarkStart w:id="41" w:name="Xfb53b46183c2a6d8e1cc1e91715adf71782c40b"/>
    <w:p>
      <w:pPr>
        <w:pStyle w:val="Heading3"/>
      </w:pPr>
      <w:r>
        <w:t xml:space="preserve">RF-17 | Pueblo Storage Yard Lease Expiring at Closing — LOW SEVERITY</w:t>
      </w:r>
    </w:p>
    <w:p>
      <w:pPr>
        <w:pStyle w:val="FirstParagraph"/>
      </w:pPr>
      <w:r>
        <w:t xml:space="preserve">The Pueblo Storage Yard lease expires</w:t>
      </w:r>
      <w:r>
        <w:t xml:space="preserve"> </w:t>
      </w:r>
      <w:r>
        <w:rPr>
          <w:b/>
          <w:bCs/>
        </w:rPr>
        <w:t xml:space="preserve">April 30, 2025</w:t>
      </w:r>
      <w:r>
        <w:t xml:space="preserve"> </w:t>
      </w:r>
      <w:r>
        <w:t xml:space="preserve">— on or about the target closing date. Renewal negotiations are underway but not complete. While this is a smaller facility used for equipment and vehicle storage, failure to renew could require relocation of equipment and vehicles, incurring unbudgeted costs.</w:t>
      </w:r>
    </w:p>
    <w:p>
      <w:pPr>
        <w:pStyle w:val="BodyText"/>
      </w:pPr>
      <w:r>
        <w:rPr>
          <w:b/>
          <w:bCs/>
        </w:rPr>
        <w:t xml:space="preserve">Action Required:</w:t>
      </w:r>
      <w:r>
        <w:t xml:space="preserve"> </w:t>
      </w:r>
      <w:r>
        <w:t xml:space="preserve">Confirm renewal status prior to closing. Include lease renewal as a closing condition or confirm alternative storage arrangements.</w:t>
      </w:r>
    </w:p>
    <w:p>
      <w:r>
        <w:pict>
          <v:rect style="width:0;height:1.5pt" o:hralign="center" o:hrstd="t" o:hr="t"/>
        </w:pict>
      </w:r>
    </w:p>
    <w:bookmarkEnd w:id="41"/>
    <w:bookmarkEnd w:id="42"/>
    <w:bookmarkStart w:id="46" w:name="category-5-legal-litigation"/>
    <w:p>
      <w:pPr>
        <w:pStyle w:val="Heading2"/>
      </w:pPr>
      <w:r>
        <w:t xml:space="preserve">Category 5: Legal &amp; Litigation</w:t>
      </w:r>
    </w:p>
    <w:bookmarkStart w:id="43" w:name="Xed44598ea5b0ad6bb7dda4e41e936f014f82391"/>
    <w:p>
      <w:pPr>
        <w:pStyle w:val="Heading3"/>
      </w:pPr>
      <w:r>
        <w:t xml:space="preserve">RF-18 | Ramirez Personal Injury Claim — Insurance Coverage Uncertain — MEDIUM SEVERITY</w:t>
      </w:r>
    </w:p>
    <w:p>
      <w:pPr>
        <w:pStyle w:val="FirstParagraph"/>
      </w:pPr>
      <w:r>
        <w:t xml:space="preserve">Miguel Ramirez filed a personal injury action (Case No. 2:24-cv-00187, D. Wyo.) on August 12, 2024, seeking</w:t>
      </w:r>
      <w:r>
        <w:t xml:space="preserve"> </w:t>
      </w:r>
      <w:r>
        <w:rPr>
          <w:b/>
          <w:bCs/>
        </w:rPr>
        <w:t xml:space="preserve">$4.8M</w:t>
      </w:r>
      <w:r>
        <w:t xml:space="preserve"> </w:t>
      </w:r>
      <w:r>
        <w:t xml:space="preserve">in damages, alleging VOC and heavy metal exposure at a Sheridan, Wyoming remediation site. The insurer (Frontier Specialty Insurance Group) has issued a</w:t>
      </w:r>
      <w:r>
        <w:t xml:space="preserve"> </w:t>
      </w:r>
      <w:r>
        <w:rPr>
          <w:b/>
          <w:bCs/>
        </w:rPr>
        <w:t xml:space="preserve">reservation of rights letter</w:t>
      </w:r>
      <w:r>
        <w:t xml:space="preserve"> </w:t>
      </w:r>
      <w:r>
        <w:t xml:space="preserve">dated September 19, 2024, and coverage determination remains pending.</w:t>
      </w:r>
    </w:p>
    <w:p>
      <w:pPr>
        <w:pStyle w:val="BodyText"/>
      </w:pPr>
      <w:r>
        <w:t xml:space="preserve">The claim involves alleged exposure to VOCs and heavy metals — which could implicate the PLL policy’s gradual contamination exclusion if the exposure is characterized as gradual rather than sudden and accidental. If coverage is denied under both the CGL and PLL policies, the Company’s net exposure could be the full $500K–$1.5M management estimate, with no insurance offset.</w:t>
      </w:r>
    </w:p>
    <w:p>
      <w:pPr>
        <w:pStyle w:val="BodyText"/>
      </w:pPr>
      <w:r>
        <w:rPr>
          <w:b/>
          <w:bCs/>
        </w:rPr>
        <w:t xml:space="preserve">Action Required:</w:t>
      </w:r>
      <w:r>
        <w:t xml:space="preserve"> </w:t>
      </w:r>
      <w:r>
        <w:t xml:space="preserve">Obtain a copy of the reservation of rights letter and assess the coverage arguments. Require the sellers to indemnify the Buyer for any uncovered portion of this claim. Include in the indemnification basket analysis.</w:t>
      </w:r>
    </w:p>
    <w:p>
      <w:r>
        <w:pict>
          <v:rect style="width:0;height:1.5pt" o:hralign="center" o:hrstd="t" o:hr="t"/>
        </w:pict>
      </w:r>
    </w:p>
    <w:bookmarkEnd w:id="43"/>
    <w:bookmarkStart w:id="44" w:name="X445c7aeb8220a34194d760471e28a5a918ea2ec"/>
    <w:p>
      <w:pPr>
        <w:pStyle w:val="Heading3"/>
      </w:pPr>
      <w:r>
        <w:t xml:space="preserve">RF-19 | NLRB Unionization Petition — 62 Field Technicians — MEDIUM SEVERITY</w:t>
      </w:r>
    </w:p>
    <w:p>
      <w:pPr>
        <w:pStyle w:val="FirstParagraph"/>
      </w:pPr>
      <w:r>
        <w:t xml:space="preserve">The employee benefits summary discloses (in a footnote) that the Company received notice of an</w:t>
      </w:r>
      <w:r>
        <w:t xml:space="preserve"> </w:t>
      </w:r>
      <w:r>
        <w:rPr>
          <w:b/>
          <w:bCs/>
        </w:rPr>
        <w:t xml:space="preserve">NLRB election petition</w:t>
      </w:r>
      <w:r>
        <w:t xml:space="preserve"> </w:t>
      </w:r>
      <w:r>
        <w:t xml:space="preserve">filed November 4, 2024, by the International Brotherhood of Teamsters Local 455, relating to 62 field technicians at the Grand Junction and Casper facilities. This is a material labor development that:</w:t>
      </w:r>
      <w:r>
        <w:t xml:space="preserve"> </w:t>
      </w:r>
      <w:r>
        <w:t xml:space="preserve">- Was disclosed only in a footnote to the benefits summary, not prominently in the CIM or LOI</w:t>
      </w:r>
      <w:r>
        <w:t xml:space="preserve"> </w:t>
      </w:r>
      <w:r>
        <w:t xml:space="preserve">- Affects approximately 22% of the field workforce at the two largest facilities</w:t>
      </w:r>
      <w:r>
        <w:t xml:space="preserve"> </w:t>
      </w:r>
      <w:r>
        <w:t xml:space="preserve">- Could result in a collective bargaining agreement that increases labor costs, reduces operational flexibility, and affects the Company’s non-unionized status (a key selling point in the CIM)</w:t>
      </w:r>
      <w:r>
        <w:t xml:space="preserve"> </w:t>
      </w:r>
      <w:r>
        <w:t xml:space="preserve">- Constitutes a potential Event of Default under the credit agreement if a labor dispute lasts more than 10 business days</w:t>
      </w:r>
    </w:p>
    <w:p>
      <w:pPr>
        <w:pStyle w:val="BodyText"/>
      </w:pPr>
      <w:r>
        <w:rPr>
          <w:b/>
          <w:bCs/>
        </w:rPr>
        <w:t xml:space="preserve">Action Required:</w:t>
      </w:r>
      <w:r>
        <w:t xml:space="preserve"> </w:t>
      </w:r>
      <w:r>
        <w:t xml:space="preserve">Obtain a full briefing on the NLRB petition, including the Company’s response strategy and timeline. Assess the likelihood of a successful union election. Model the financial impact of a collective bargaining agreement on labor costs. Notify the lender as required under the credit agreement.</w:t>
      </w:r>
    </w:p>
    <w:p>
      <w:r>
        <w:pict>
          <v:rect style="width:0;height:1.5pt" o:hralign="center" o:hrstd="t" o:hr="t"/>
        </w:pict>
      </w:r>
    </w:p>
    <w:bookmarkEnd w:id="44"/>
    <w:bookmarkStart w:id="45" w:name="X9d30348f2a526fefa5e0fd4b921b427517dc765"/>
    <w:p>
      <w:pPr>
        <w:pStyle w:val="Heading3"/>
      </w:pPr>
      <w:r>
        <w:t xml:space="preserve">RF-20 | Former Employee Wage Claim — FLSA Overtime — LOW SEVERITY</w:t>
      </w:r>
    </w:p>
    <w:p>
      <w:pPr>
        <w:pStyle w:val="FirstParagraph"/>
      </w:pPr>
      <w:r>
        <w:t xml:space="preserve">Eight former field technicians terminated in connection with the asbestos abatement wind-down have asserted FLSA and Colorado COMPS Order overtime claims totaling approximately</w:t>
      </w:r>
      <w:r>
        <w:t xml:space="preserve"> </w:t>
      </w:r>
      <w:r>
        <w:rPr>
          <w:b/>
          <w:bCs/>
        </w:rPr>
        <w:t xml:space="preserve">$330,000</w:t>
      </w:r>
      <w:r>
        <w:t xml:space="preserve"> </w:t>
      </w:r>
      <w:r>
        <w:t xml:space="preserve">(including liquidated damages). No lawsuit has been filed. Management’s estimated exposure is $100K–$200K. While the amount is not individually material, it reflects potential misclassification issues that could extend to other field employees.</w:t>
      </w:r>
    </w:p>
    <w:p>
      <w:pPr>
        <w:pStyle w:val="BodyText"/>
      </w:pPr>
      <w:r>
        <w:rPr>
          <w:b/>
          <w:bCs/>
        </w:rPr>
        <w:t xml:space="preserve">Action Required:</w:t>
      </w:r>
      <w:r>
        <w:t xml:space="preserve"> </w:t>
      </w:r>
      <w:r>
        <w:t xml:space="preserve">Obtain employment counsel’s analysis of the motor carrier exemption defense. Confirm no broader classification issues exist across the field workforce.</w:t>
      </w:r>
    </w:p>
    <w:p>
      <w:r>
        <w:pict>
          <v:rect style="width:0;height:1.5pt" o:hralign="center" o:hrstd="t" o:hr="t"/>
        </w:pict>
      </w:r>
    </w:p>
    <w:bookmarkEnd w:id="45"/>
    <w:bookmarkEnd w:id="46"/>
    <w:bookmarkStart w:id="49" w:name="category-6-human-capital-labor"/>
    <w:p>
      <w:pPr>
        <w:pStyle w:val="Heading2"/>
      </w:pPr>
      <w:r>
        <w:t xml:space="preserve">Category 6: Human Capital &amp; Labor</w:t>
      </w:r>
    </w:p>
    <w:bookmarkStart w:id="47" w:name="Xb6e440f432d7cfc170ebf4999d983c82cfdeb4e"/>
    <w:p>
      <w:pPr>
        <w:pStyle w:val="Heading3"/>
      </w:pPr>
      <w:r>
        <w:t xml:space="preserve">RF-21 | Single-Trigger Change-of-Control Severance — $2.625M Certain at Closing — HIGH SEVERITY</w:t>
      </w:r>
    </w:p>
    <w:p>
      <w:pPr>
        <w:pStyle w:val="FirstParagraph"/>
      </w:pPr>
      <w:r>
        <w:t xml:space="preserve">The employment agreements for Derek Calloway (CEO) and Jason Calloway (COO) contain</w:t>
      </w:r>
      <w:r>
        <w:t xml:space="preserve"> </w:t>
      </w:r>
      <w:r>
        <w:rPr>
          <w:b/>
          <w:bCs/>
        </w:rPr>
        <w:t xml:space="preserve">single-trigger</w:t>
      </w:r>
      <w:r>
        <w:t xml:space="preserve"> </w:t>
      </w:r>
      <w:r>
        <w:t xml:space="preserve">change-of-control severance provisions totaling</w:t>
      </w:r>
      <w:r>
        <w:t xml:space="preserve"> </w:t>
      </w:r>
      <w:r>
        <w:rPr>
          <w:b/>
          <w:bCs/>
        </w:rPr>
        <w:t xml:space="preserve">$2.625M</w:t>
      </w:r>
      <w:r>
        <w:t xml:space="preserve"> </w:t>
      </w:r>
      <w:r>
        <w:t xml:space="preserve">($1.3125M each), payable within 30 days of closing regardless of post-closing employment status. This is a certain cash outflow at closing that must be treated as a transaction expense or purchase price reduction.</w:t>
      </w:r>
    </w:p>
    <w:p>
      <w:pPr>
        <w:pStyle w:val="BodyText"/>
      </w:pPr>
      <w:r>
        <w:t xml:space="preserve">The LOI’s definition of</w:t>
      </w:r>
      <w:r>
        <w:t xml:space="preserve"> </w:t>
      </w:r>
      <w:r>
        <w:t xml:space="preserve">“</w:t>
      </w:r>
      <w:r>
        <w:t xml:space="preserve">Transaction Expenses</w:t>
      </w:r>
      <w:r>
        <w:t xml:space="preserve">”</w:t>
      </w:r>
      <w:r>
        <w:t xml:space="preserve"> </w:t>
      </w:r>
      <w:r>
        <w:t xml:space="preserve">does not explicitly address change-of-control severance payments. If these amounts are not deducted from the purchase price, the Buyer will effectively overpay by $2.625M.</w:t>
      </w:r>
    </w:p>
    <w:p>
      <w:pPr>
        <w:pStyle w:val="BodyText"/>
      </w:pPr>
      <w:r>
        <w:t xml:space="preserve">Additionally, the double-trigger provisions for Engel ($425K), Dillon ($375K), and Oakes ($350K) total $1.15M and could be triggered by post-closing organizational changes. Total aggregate severance exposure is</w:t>
      </w:r>
      <w:r>
        <w:t xml:space="preserve"> </w:t>
      </w:r>
      <w:r>
        <w:rPr>
          <w:b/>
          <w:bCs/>
        </w:rPr>
        <w:t xml:space="preserve">$3.775M</w:t>
      </w:r>
      <w:r>
        <w:t xml:space="preserve">.</w:t>
      </w:r>
    </w:p>
    <w:p>
      <w:pPr>
        <w:pStyle w:val="BodyText"/>
      </w:pPr>
      <w:r>
        <w:rPr>
          <w:b/>
          <w:bCs/>
        </w:rPr>
        <w:t xml:space="preserve">Action Required:</w:t>
      </w:r>
      <w:r>
        <w:t xml:space="preserve"> </w:t>
      </w:r>
      <w:r>
        <w:t xml:space="preserve">Confirm that the $2.625M single-trigger severance is treated as a seller transaction expense and deducted from the purchase price at closing. Negotiate post-closing employment arrangements for the double-trigger executives to avoid inadvertent triggering of the $1.15M in additional severance.</w:t>
      </w:r>
    </w:p>
    <w:p>
      <w:r>
        <w:pict>
          <v:rect style="width:0;height:1.5pt" o:hralign="center" o:hrstd="t" o:hr="t"/>
        </w:pict>
      </w:r>
    </w:p>
    <w:bookmarkEnd w:id="47"/>
    <w:bookmarkStart w:id="48" w:name="X679a4b2fe1e4552c42bf1393a57e5aa3d33a1fc"/>
    <w:p>
      <w:pPr>
        <w:pStyle w:val="Heading3"/>
      </w:pPr>
      <w:r>
        <w:t xml:space="preserve">RF-22 | Key Person Dependency — Founders Control DOE Relationship — HIGH SEVERITY</w:t>
      </w:r>
    </w:p>
    <w:p>
      <w:pPr>
        <w:pStyle w:val="FirstParagraph"/>
      </w:pPr>
      <w:r>
        <w:t xml:space="preserve">Derek Calloway is identified as the primary point of contact for the DOE contracting relationship and all federal government contracting activities. The credit agreement contains a</w:t>
      </w:r>
      <w:r>
        <w:t xml:space="preserve"> </w:t>
      </w:r>
      <w:r>
        <w:rPr>
          <w:b/>
          <w:bCs/>
        </w:rPr>
        <w:t xml:space="preserve">change-of-management Event of Default</w:t>
      </w:r>
      <w:r>
        <w:t xml:space="preserve"> </w:t>
      </w:r>
      <w:r>
        <w:t xml:space="preserve">if Derek Calloway ceases to serve as CEO without a lender-approved successor within 90 days. The DOE contract’s novation requirements may also be conditioned on continuity of key personnel.</w:t>
      </w:r>
    </w:p>
    <w:p>
      <w:pPr>
        <w:pStyle w:val="BodyText"/>
      </w:pPr>
      <w:r>
        <w:t xml:space="preserve">Jason Calloway oversees all field operations across 11 facilities. The loss of either founder post-closing — particularly given the single-trigger severance that creates no financial incentive to remain — could disrupt the Company’s most critical customer relationship and operational continuity.</w:t>
      </w:r>
    </w:p>
    <w:p>
      <w:pPr>
        <w:pStyle w:val="BodyText"/>
      </w:pPr>
      <w:r>
        <w:rPr>
          <w:b/>
          <w:bCs/>
        </w:rPr>
        <w:t xml:space="preserve">Action Required:</w:t>
      </w:r>
      <w:r>
        <w:t xml:space="preserve"> </w:t>
      </w:r>
      <w:r>
        <w:t xml:space="preserve">Negotiate binding post-closing employment commitments for both founders, including retention bonuses tied to DOE contract continuity. Ensure the credit agreement’s change-of-management provision is addressed in the refinancing or lender consent process.</w:t>
      </w:r>
    </w:p>
    <w:p>
      <w:r>
        <w:pict>
          <v:rect style="width:0;height:1.5pt" o:hralign="center" o:hrstd="t" o:hr="t"/>
        </w:pict>
      </w:r>
    </w:p>
    <w:bookmarkEnd w:id="48"/>
    <w:bookmarkEnd w:id="49"/>
    <w:bookmarkStart w:id="50" w:name="summary-of-red-flags-by-severity"/>
    <w:p>
      <w:pPr>
        <w:pStyle w:val="Heading2"/>
      </w:pPr>
      <w:r>
        <w:t xml:space="preserve">Summary of Red Flags by Severity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Red Flag</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Est. Financial Impact</w:t>
            </w:r>
          </w:p>
        </w:tc>
      </w:tr>
      <w:tr>
        <w:tc>
          <w:tcPr/>
          <w:p>
            <w:pPr>
              <w:pStyle w:val="Compact"/>
              <w:jc w:val="left"/>
            </w:pPr>
            <w:r>
              <w:t xml:space="preserve">RF-01</w:t>
            </w:r>
          </w:p>
        </w:tc>
        <w:tc>
          <w:tcPr/>
          <w:p>
            <w:pPr>
              <w:pStyle w:val="Compact"/>
              <w:jc w:val="left"/>
            </w:pPr>
            <w:r>
              <w:t xml:space="preserve">EBITDA Discrepancy ($1.0M gap)</w:t>
            </w:r>
          </w:p>
        </w:tc>
        <w:tc>
          <w:tcPr/>
          <w:p>
            <w:pPr>
              <w:pStyle w:val="Compact"/>
              <w:jc w:val="left"/>
            </w:pPr>
            <w:r>
              <w:t xml:space="preserve">Financial / QoE</w:t>
            </w:r>
          </w:p>
        </w:tc>
        <w:tc>
          <w:tcPr/>
          <w:p>
            <w:pPr>
              <w:pStyle w:val="Compact"/>
              <w:jc w:val="left"/>
            </w:pPr>
            <w:r>
              <w:t xml:space="preserve">HIGH</w:t>
            </w:r>
          </w:p>
        </w:tc>
        <w:tc>
          <w:tcPr/>
          <w:p>
            <w:pPr>
              <w:pStyle w:val="Compact"/>
              <w:jc w:val="left"/>
            </w:pPr>
            <w:r>
              <w:t xml:space="preserve">$8–9M valuation impact</w:t>
            </w:r>
          </w:p>
        </w:tc>
      </w:tr>
      <w:tr>
        <w:tc>
          <w:tcPr/>
          <w:p>
            <w:pPr>
              <w:pStyle w:val="Compact"/>
              <w:jc w:val="left"/>
            </w:pPr>
            <w:r>
              <w:t xml:space="preserve">RF-02</w:t>
            </w:r>
          </w:p>
        </w:tc>
        <w:tc>
          <w:tcPr/>
          <w:p>
            <w:pPr>
              <w:pStyle w:val="Compact"/>
              <w:jc w:val="left"/>
            </w:pPr>
            <w:r>
              <w:t xml:space="preserve">Aggressive EBITDA Add-Backs</w:t>
            </w:r>
          </w:p>
        </w:tc>
        <w:tc>
          <w:tcPr/>
          <w:p>
            <w:pPr>
              <w:pStyle w:val="Compact"/>
              <w:jc w:val="left"/>
            </w:pPr>
            <w:r>
              <w:t xml:space="preserve">Financial / QoE</w:t>
            </w:r>
          </w:p>
        </w:tc>
        <w:tc>
          <w:tcPr/>
          <w:p>
            <w:pPr>
              <w:pStyle w:val="Compact"/>
              <w:jc w:val="left"/>
            </w:pPr>
            <w:r>
              <w:t xml:space="preserve">HIGH</w:t>
            </w:r>
          </w:p>
        </w:tc>
        <w:tc>
          <w:tcPr/>
          <w:p>
            <w:pPr>
              <w:pStyle w:val="Compact"/>
              <w:jc w:val="left"/>
            </w:pPr>
            <w:r>
              <w:t xml:space="preserve">$3–5M valuation impact</w:t>
            </w:r>
          </w:p>
        </w:tc>
      </w:tr>
      <w:tr>
        <w:tc>
          <w:tcPr/>
          <w:p>
            <w:pPr>
              <w:pStyle w:val="Compact"/>
              <w:jc w:val="left"/>
            </w:pPr>
            <w:r>
              <w:t xml:space="preserve">RF-03</w:t>
            </w:r>
          </w:p>
        </w:tc>
        <w:tc>
          <w:tcPr/>
          <w:p>
            <w:pPr>
              <w:pStyle w:val="Compact"/>
              <w:jc w:val="left"/>
            </w:pPr>
            <w:r>
              <w:t xml:space="preserve">Fleet Deferred Capex Backlog</w:t>
            </w:r>
          </w:p>
        </w:tc>
        <w:tc>
          <w:tcPr/>
          <w:p>
            <w:pPr>
              <w:pStyle w:val="Compact"/>
              <w:jc w:val="left"/>
            </w:pPr>
            <w:r>
              <w:t xml:space="preserve">Financial / QoE</w:t>
            </w:r>
          </w:p>
        </w:tc>
        <w:tc>
          <w:tcPr/>
          <w:p>
            <w:pPr>
              <w:pStyle w:val="Compact"/>
              <w:jc w:val="left"/>
            </w:pPr>
            <w:r>
              <w:t xml:space="preserve">MEDIUM</w:t>
            </w:r>
          </w:p>
        </w:tc>
        <w:tc>
          <w:tcPr/>
          <w:p>
            <w:pPr>
              <w:pStyle w:val="Compact"/>
              <w:jc w:val="left"/>
            </w:pPr>
            <w:r>
              <w:t xml:space="preserve">$9.8M replacement cost</w:t>
            </w:r>
          </w:p>
        </w:tc>
      </w:tr>
      <w:tr>
        <w:tc>
          <w:tcPr/>
          <w:p>
            <w:pPr>
              <w:pStyle w:val="Compact"/>
              <w:jc w:val="left"/>
            </w:pPr>
            <w:r>
              <w:t xml:space="preserve">RF-04</w:t>
            </w:r>
          </w:p>
        </w:tc>
        <w:tc>
          <w:tcPr/>
          <w:p>
            <w:pPr>
              <w:pStyle w:val="Compact"/>
              <w:jc w:val="left"/>
            </w:pPr>
            <w:r>
              <w:t xml:space="preserve">FY2024 Financials Unaudited</w:t>
            </w:r>
          </w:p>
        </w:tc>
        <w:tc>
          <w:tcPr/>
          <w:p>
            <w:pPr>
              <w:pStyle w:val="Compact"/>
              <w:jc w:val="left"/>
            </w:pPr>
            <w:r>
              <w:t xml:space="preserve">Financial / QoE</w:t>
            </w:r>
          </w:p>
        </w:tc>
        <w:tc>
          <w:tcPr/>
          <w:p>
            <w:pPr>
              <w:pStyle w:val="Compact"/>
              <w:jc w:val="left"/>
            </w:pPr>
            <w:r>
              <w:t xml:space="preserve">MEDIUM</w:t>
            </w:r>
          </w:p>
        </w:tc>
        <w:tc>
          <w:tcPr/>
          <w:p>
            <w:pPr>
              <w:pStyle w:val="Compact"/>
              <w:jc w:val="left"/>
            </w:pPr>
            <w:r>
              <w:t xml:space="preserve">Qualitative</w:t>
            </w:r>
          </w:p>
        </w:tc>
      </w:tr>
      <w:tr>
        <w:tc>
          <w:tcPr/>
          <w:p>
            <w:pPr>
              <w:pStyle w:val="Compact"/>
              <w:jc w:val="left"/>
            </w:pPr>
            <w:r>
              <w:t xml:space="preserve">RF-05</w:t>
            </w:r>
          </w:p>
        </w:tc>
        <w:tc>
          <w:tcPr/>
          <w:p>
            <w:pPr>
              <w:pStyle w:val="Compact"/>
              <w:jc w:val="left"/>
            </w:pPr>
            <w:r>
              <w:t xml:space="preserve">Revenue Growth Deceleration</w:t>
            </w:r>
          </w:p>
        </w:tc>
        <w:tc>
          <w:tcPr/>
          <w:p>
            <w:pPr>
              <w:pStyle w:val="Compact"/>
              <w:jc w:val="left"/>
            </w:pPr>
            <w:r>
              <w:t xml:space="preserve">Financial / QoE</w:t>
            </w:r>
          </w:p>
        </w:tc>
        <w:tc>
          <w:tcPr/>
          <w:p>
            <w:pPr>
              <w:pStyle w:val="Compact"/>
              <w:jc w:val="left"/>
            </w:pPr>
            <w:r>
              <w:t xml:space="preserve">MEDIUM</w:t>
            </w:r>
          </w:p>
        </w:tc>
        <w:tc>
          <w:tcPr/>
          <w:p>
            <w:pPr>
              <w:pStyle w:val="Compact"/>
              <w:jc w:val="left"/>
            </w:pPr>
            <w:r>
              <w:t xml:space="preserve">Qualitative</w:t>
            </w:r>
          </w:p>
        </w:tc>
      </w:tr>
      <w:tr>
        <w:tc>
          <w:tcPr/>
          <w:p>
            <w:pPr>
              <w:pStyle w:val="Compact"/>
              <w:jc w:val="left"/>
            </w:pPr>
            <w:r>
              <w:t xml:space="preserve">RF-06</w:t>
            </w:r>
          </w:p>
        </w:tc>
        <w:tc>
          <w:tcPr/>
          <w:p>
            <w:pPr>
              <w:pStyle w:val="Compact"/>
              <w:jc w:val="left"/>
            </w:pPr>
            <w:r>
              <w:t xml:space="preserve">Stale Phase II ESA / Vapor Intrusion</w:t>
            </w:r>
          </w:p>
        </w:tc>
        <w:tc>
          <w:tcPr/>
          <w:p>
            <w:pPr>
              <w:pStyle w:val="Compact"/>
              <w:jc w:val="left"/>
            </w:pPr>
            <w:r>
              <w:t xml:space="preserve">Environmental</w:t>
            </w:r>
          </w:p>
        </w:tc>
        <w:tc>
          <w:tcPr/>
          <w:p>
            <w:pPr>
              <w:pStyle w:val="Compact"/>
              <w:jc w:val="left"/>
            </w:pPr>
            <w:r>
              <w:t xml:space="preserve">HIGH</w:t>
            </w:r>
          </w:p>
        </w:tc>
        <w:tc>
          <w:tcPr/>
          <w:p>
            <w:pPr>
              <w:pStyle w:val="Compact"/>
              <w:jc w:val="left"/>
            </w:pPr>
            <w:r>
              <w:t xml:space="preserve">$2.6M–$10M+</w:t>
            </w:r>
          </w:p>
        </w:tc>
      </w:tr>
      <w:tr>
        <w:tc>
          <w:tcPr/>
          <w:p>
            <w:pPr>
              <w:pStyle w:val="Compact"/>
              <w:jc w:val="left"/>
            </w:pPr>
            <w:r>
              <w:t xml:space="preserve">RF-07</w:t>
            </w:r>
          </w:p>
        </w:tc>
        <w:tc>
          <w:tcPr/>
          <w:p>
            <w:pPr>
              <w:pStyle w:val="Compact"/>
              <w:jc w:val="left"/>
            </w:pPr>
            <w:r>
              <w:t xml:space="preserve">CDPHE RCRA Enforcement Action</w:t>
            </w:r>
          </w:p>
        </w:tc>
        <w:tc>
          <w:tcPr/>
          <w:p>
            <w:pPr>
              <w:pStyle w:val="Compact"/>
              <w:jc w:val="left"/>
            </w:pPr>
            <w:r>
              <w:t xml:space="preserve">Environmental</w:t>
            </w:r>
          </w:p>
        </w:tc>
        <w:tc>
          <w:tcPr/>
          <w:p>
            <w:pPr>
              <w:pStyle w:val="Compact"/>
              <w:jc w:val="left"/>
            </w:pPr>
            <w:r>
              <w:t xml:space="preserve">HIGH</w:t>
            </w:r>
          </w:p>
        </w:tc>
        <w:tc>
          <w:tcPr/>
          <w:p>
            <w:pPr>
              <w:pStyle w:val="Compact"/>
              <w:jc w:val="left"/>
            </w:pPr>
            <w:r>
              <w:t xml:space="preserve">$200K–$1.16M</w:t>
            </w:r>
          </w:p>
        </w:tc>
      </w:tr>
      <w:tr>
        <w:tc>
          <w:tcPr/>
          <w:p>
            <w:pPr>
              <w:pStyle w:val="Compact"/>
              <w:jc w:val="left"/>
            </w:pPr>
            <w:r>
              <w:t xml:space="preserve">RF-08</w:t>
            </w:r>
          </w:p>
        </w:tc>
        <w:tc>
          <w:tcPr/>
          <w:p>
            <w:pPr>
              <w:pStyle w:val="Compact"/>
              <w:jc w:val="left"/>
            </w:pPr>
            <w:r>
              <w:t xml:space="preserve">Wyoming Permit Expired</w:t>
            </w:r>
          </w:p>
        </w:tc>
        <w:tc>
          <w:tcPr/>
          <w:p>
            <w:pPr>
              <w:pStyle w:val="Compact"/>
              <w:jc w:val="left"/>
            </w:pPr>
            <w:r>
              <w:t xml:space="preserve">Environmental</w:t>
            </w:r>
          </w:p>
        </w:tc>
        <w:tc>
          <w:tcPr/>
          <w:p>
            <w:pPr>
              <w:pStyle w:val="Compact"/>
              <w:jc w:val="left"/>
            </w:pPr>
            <w:r>
              <w:t xml:space="preserve">MEDIUM</w:t>
            </w:r>
          </w:p>
        </w:tc>
        <w:tc>
          <w:tcPr/>
          <w:p>
            <w:pPr>
              <w:pStyle w:val="Compact"/>
              <w:jc w:val="left"/>
            </w:pPr>
            <w:r>
              <w:t xml:space="preserve">Operational risk</w:t>
            </w:r>
          </w:p>
        </w:tc>
      </w:tr>
      <w:tr>
        <w:tc>
          <w:tcPr/>
          <w:p>
            <w:pPr>
              <w:pStyle w:val="Compact"/>
              <w:jc w:val="left"/>
            </w:pPr>
            <w:r>
              <w:t xml:space="preserve">RF-09</w:t>
            </w:r>
          </w:p>
        </w:tc>
        <w:tc>
          <w:tcPr/>
          <w:p>
            <w:pPr>
              <w:pStyle w:val="Compact"/>
              <w:jc w:val="left"/>
            </w:pPr>
            <w:r>
              <w:t xml:space="preserve">Utah SLC Permit Transfer Incomplete</w:t>
            </w:r>
          </w:p>
        </w:tc>
        <w:tc>
          <w:tcPr/>
          <w:p>
            <w:pPr>
              <w:pStyle w:val="Compact"/>
              <w:jc w:val="left"/>
            </w:pPr>
            <w:r>
              <w:t xml:space="preserve">Environmental</w:t>
            </w:r>
          </w:p>
        </w:tc>
        <w:tc>
          <w:tcPr/>
          <w:p>
            <w:pPr>
              <w:pStyle w:val="Compact"/>
              <w:jc w:val="left"/>
            </w:pPr>
            <w:r>
              <w:t xml:space="preserve">HIGH</w:t>
            </w:r>
          </w:p>
        </w:tc>
        <w:tc>
          <w:tcPr/>
          <w:p>
            <w:pPr>
              <w:pStyle w:val="Compact"/>
              <w:jc w:val="left"/>
            </w:pPr>
            <w:r>
              <w:t xml:space="preserve">$16.2M revenue at risk</w:t>
            </w:r>
          </w:p>
        </w:tc>
      </w:tr>
      <w:tr>
        <w:tc>
          <w:tcPr/>
          <w:p>
            <w:pPr>
              <w:pStyle w:val="Compact"/>
              <w:jc w:val="left"/>
            </w:pPr>
            <w:r>
              <w:t xml:space="preserve">RF-10</w:t>
            </w:r>
          </w:p>
        </w:tc>
        <w:tc>
          <w:tcPr/>
          <w:p>
            <w:pPr>
              <w:pStyle w:val="Compact"/>
              <w:jc w:val="left"/>
            </w:pPr>
            <w:r>
              <w:t xml:space="preserve">Asbestos Long-Tail Uninsured Exposure</w:t>
            </w:r>
          </w:p>
        </w:tc>
        <w:tc>
          <w:tcPr/>
          <w:p>
            <w:pPr>
              <w:pStyle w:val="Compact"/>
              <w:jc w:val="left"/>
            </w:pPr>
            <w:r>
              <w:t xml:space="preserve">Environmental</w:t>
            </w:r>
          </w:p>
        </w:tc>
        <w:tc>
          <w:tcPr/>
          <w:p>
            <w:pPr>
              <w:pStyle w:val="Compact"/>
              <w:jc w:val="left"/>
            </w:pPr>
            <w:r>
              <w:t xml:space="preserve">MEDIUM</w:t>
            </w:r>
          </w:p>
        </w:tc>
        <w:tc>
          <w:tcPr/>
          <w:p>
            <w:pPr>
              <w:pStyle w:val="Compact"/>
              <w:jc w:val="left"/>
            </w:pPr>
            <w:r>
              <w:t xml:space="preserve">Unquantified</w:t>
            </w:r>
          </w:p>
        </w:tc>
      </w:tr>
      <w:tr>
        <w:tc>
          <w:tcPr/>
          <w:p>
            <w:pPr>
              <w:pStyle w:val="Compact"/>
              <w:jc w:val="left"/>
            </w:pPr>
            <w:r>
              <w:t xml:space="preserve">RF-11</w:t>
            </w:r>
          </w:p>
        </w:tc>
        <w:tc>
          <w:tcPr/>
          <w:p>
            <w:pPr>
              <w:pStyle w:val="Compact"/>
              <w:jc w:val="left"/>
            </w:pPr>
            <w:r>
              <w:t xml:space="preserve">DOE IDIQ Ceiling Exhaustion</w:t>
            </w:r>
          </w:p>
        </w:tc>
        <w:tc>
          <w:tcPr/>
          <w:p>
            <w:pPr>
              <w:pStyle w:val="Compact"/>
              <w:jc w:val="left"/>
            </w:pPr>
            <w:r>
              <w:t xml:space="preserve">Commercial</w:t>
            </w:r>
          </w:p>
        </w:tc>
        <w:tc>
          <w:tcPr/>
          <w:p>
            <w:pPr>
              <w:pStyle w:val="Compact"/>
              <w:jc w:val="left"/>
            </w:pPr>
            <w:r>
              <w:t xml:space="preserve">CRITICAL</w:t>
            </w:r>
          </w:p>
        </w:tc>
        <w:tc>
          <w:tcPr/>
          <w:p>
            <w:pPr>
              <w:pStyle w:val="Compact"/>
              <w:jc w:val="left"/>
            </w:pPr>
            <w:r>
              <w:t xml:space="preserve">$12.1M+ FY2025 headwind</w:t>
            </w:r>
          </w:p>
        </w:tc>
      </w:tr>
      <w:tr>
        <w:tc>
          <w:tcPr/>
          <w:p>
            <w:pPr>
              <w:pStyle w:val="Compact"/>
              <w:jc w:val="left"/>
            </w:pPr>
            <w:r>
              <w:t xml:space="preserve">RF-12</w:t>
            </w:r>
          </w:p>
        </w:tc>
        <w:tc>
          <w:tcPr/>
          <w:p>
            <w:pPr>
              <w:pStyle w:val="Compact"/>
              <w:jc w:val="left"/>
            </w:pPr>
            <w:r>
              <w:t xml:space="preserve">Change-of-Control in 8 Contracts</w:t>
            </w:r>
          </w:p>
        </w:tc>
        <w:tc>
          <w:tcPr/>
          <w:p>
            <w:pPr>
              <w:pStyle w:val="Compact"/>
              <w:jc w:val="left"/>
            </w:pPr>
            <w:r>
              <w:t xml:space="preserve">Commercial</w:t>
            </w:r>
          </w:p>
        </w:tc>
        <w:tc>
          <w:tcPr/>
          <w:p>
            <w:pPr>
              <w:pStyle w:val="Compact"/>
              <w:jc w:val="left"/>
            </w:pPr>
            <w:r>
              <w:t xml:space="preserve">HIGH</w:t>
            </w:r>
          </w:p>
        </w:tc>
        <w:tc>
          <w:tcPr/>
          <w:p>
            <w:pPr>
              <w:pStyle w:val="Compact"/>
              <w:jc w:val="left"/>
            </w:pPr>
            <w:r>
              <w:t xml:space="preserve">$53.0M revenue at risk</w:t>
            </w:r>
          </w:p>
        </w:tc>
      </w:tr>
      <w:tr>
        <w:tc>
          <w:tcPr/>
          <w:p>
            <w:pPr>
              <w:pStyle w:val="Compact"/>
              <w:jc w:val="left"/>
            </w:pPr>
            <w:r>
              <w:t xml:space="preserve">RF-13</w:t>
            </w:r>
          </w:p>
        </w:tc>
        <w:tc>
          <w:tcPr/>
          <w:p>
            <w:pPr>
              <w:pStyle w:val="Compact"/>
              <w:jc w:val="left"/>
            </w:pPr>
            <w:r>
              <w:t xml:space="preserve">CMMC No Minimum Volume / 60-Day T4C</w:t>
            </w:r>
          </w:p>
        </w:tc>
        <w:tc>
          <w:tcPr/>
          <w:p>
            <w:pPr>
              <w:pStyle w:val="Compact"/>
              <w:jc w:val="left"/>
            </w:pPr>
            <w:r>
              <w:t xml:space="preserve">Commercial</w:t>
            </w:r>
          </w:p>
        </w:tc>
        <w:tc>
          <w:tcPr/>
          <w:p>
            <w:pPr>
              <w:pStyle w:val="Compact"/>
              <w:jc w:val="left"/>
            </w:pPr>
            <w:r>
              <w:t xml:space="preserve">MEDIUM</w:t>
            </w:r>
          </w:p>
        </w:tc>
        <w:tc>
          <w:tcPr/>
          <w:p>
            <w:pPr>
              <w:pStyle w:val="Compact"/>
              <w:jc w:val="left"/>
            </w:pPr>
            <w:r>
              <w:t xml:space="preserve">$14.5M revenue at risk</w:t>
            </w:r>
          </w:p>
        </w:tc>
      </w:tr>
      <w:tr>
        <w:tc>
          <w:tcPr/>
          <w:p>
            <w:pPr>
              <w:pStyle w:val="Compact"/>
              <w:jc w:val="left"/>
            </w:pPr>
            <w:r>
              <w:t xml:space="preserve">RF-14</w:t>
            </w:r>
          </w:p>
        </w:tc>
        <w:tc>
          <w:tcPr/>
          <w:p>
            <w:pPr>
              <w:pStyle w:val="Compact"/>
              <w:jc w:val="left"/>
            </w:pPr>
            <w:r>
              <w:t xml:space="preserve">Intermountain Health Renewal Risk</w:t>
            </w:r>
          </w:p>
        </w:tc>
        <w:tc>
          <w:tcPr/>
          <w:p>
            <w:pPr>
              <w:pStyle w:val="Compact"/>
              <w:jc w:val="left"/>
            </w:pPr>
            <w:r>
              <w:t xml:space="preserve">Commercial</w:t>
            </w:r>
          </w:p>
        </w:tc>
        <w:tc>
          <w:tcPr/>
          <w:p>
            <w:pPr>
              <w:pStyle w:val="Compact"/>
              <w:jc w:val="left"/>
            </w:pPr>
            <w:r>
              <w:t xml:space="preserve">MEDIUM</w:t>
            </w:r>
          </w:p>
        </w:tc>
        <w:tc>
          <w:tcPr/>
          <w:p>
            <w:pPr>
              <w:pStyle w:val="Compact"/>
              <w:jc w:val="left"/>
            </w:pPr>
            <w:r>
              <w:t xml:space="preserve">$7.1M revenue at risk</w:t>
            </w:r>
          </w:p>
        </w:tc>
      </w:tr>
      <w:tr>
        <w:tc>
          <w:tcPr/>
          <w:p>
            <w:pPr>
              <w:pStyle w:val="Compact"/>
              <w:jc w:val="left"/>
            </w:pPr>
            <w:r>
              <w:t xml:space="preserve">RF-15</w:t>
            </w:r>
          </w:p>
        </w:tc>
        <w:tc>
          <w:tcPr/>
          <w:p>
            <w:pPr>
              <w:pStyle w:val="Compact"/>
              <w:jc w:val="left"/>
            </w:pPr>
            <w:r>
              <w:t xml:space="preserve">Customer List Discrepancy</w:t>
            </w:r>
          </w:p>
        </w:tc>
        <w:tc>
          <w:tcPr/>
          <w:p>
            <w:pPr>
              <w:pStyle w:val="Compact"/>
              <w:jc w:val="left"/>
            </w:pPr>
            <w:r>
              <w:t xml:space="preserve">Commercial</w:t>
            </w:r>
          </w:p>
        </w:tc>
        <w:tc>
          <w:tcPr/>
          <w:p>
            <w:pPr>
              <w:pStyle w:val="Compact"/>
              <w:jc w:val="left"/>
            </w:pPr>
            <w:r>
              <w:t xml:space="preserve">MEDIUM</w:t>
            </w:r>
          </w:p>
        </w:tc>
        <w:tc>
          <w:tcPr/>
          <w:p>
            <w:pPr>
              <w:pStyle w:val="Compact"/>
              <w:jc w:val="left"/>
            </w:pPr>
            <w:r>
              <w:t xml:space="preserve">Qualitative</w:t>
            </w:r>
          </w:p>
        </w:tc>
      </w:tr>
      <w:tr>
        <w:tc>
          <w:tcPr/>
          <w:p>
            <w:pPr>
              <w:pStyle w:val="Compact"/>
              <w:jc w:val="left"/>
            </w:pPr>
            <w:r>
              <w:t xml:space="preserve">RF-16</w:t>
            </w:r>
          </w:p>
        </w:tc>
        <w:tc>
          <w:tcPr/>
          <w:p>
            <w:pPr>
              <w:pStyle w:val="Compact"/>
              <w:jc w:val="left"/>
            </w:pPr>
            <w:r>
              <w:t xml:space="preserve">SLC Lease Dual Assignment Default</w:t>
            </w:r>
          </w:p>
        </w:tc>
        <w:tc>
          <w:tcPr/>
          <w:p>
            <w:pPr>
              <w:pStyle w:val="Compact"/>
              <w:jc w:val="left"/>
            </w:pPr>
            <w:r>
              <w:t xml:space="preserve">Real Property</w:t>
            </w:r>
          </w:p>
        </w:tc>
        <w:tc>
          <w:tcPr/>
          <w:p>
            <w:pPr>
              <w:pStyle w:val="Compact"/>
              <w:jc w:val="left"/>
            </w:pPr>
            <w:r>
              <w:t xml:space="preserve">HIGH</w:t>
            </w:r>
          </w:p>
        </w:tc>
        <w:tc>
          <w:tcPr/>
          <w:p>
            <w:pPr>
              <w:pStyle w:val="Compact"/>
              <w:jc w:val="left"/>
            </w:pPr>
            <w:r>
              <w:t xml:space="preserve">$16.2M revenue at risk</w:t>
            </w:r>
          </w:p>
        </w:tc>
      </w:tr>
      <w:tr>
        <w:tc>
          <w:tcPr/>
          <w:p>
            <w:pPr>
              <w:pStyle w:val="Compact"/>
              <w:jc w:val="left"/>
            </w:pPr>
            <w:r>
              <w:t xml:space="preserve">RF-17</w:t>
            </w:r>
          </w:p>
        </w:tc>
        <w:tc>
          <w:tcPr/>
          <w:p>
            <w:pPr>
              <w:pStyle w:val="Compact"/>
              <w:jc w:val="left"/>
            </w:pPr>
            <w:r>
              <w:t xml:space="preserve">Pueblo Lease Expiring at Closing</w:t>
            </w:r>
          </w:p>
        </w:tc>
        <w:tc>
          <w:tcPr/>
          <w:p>
            <w:pPr>
              <w:pStyle w:val="Compact"/>
              <w:jc w:val="left"/>
            </w:pPr>
            <w:r>
              <w:t xml:space="preserve">Real Property</w:t>
            </w:r>
          </w:p>
        </w:tc>
        <w:tc>
          <w:tcPr/>
          <w:p>
            <w:pPr>
              <w:pStyle w:val="Compact"/>
              <w:jc w:val="left"/>
            </w:pPr>
            <w:r>
              <w:t xml:space="preserve">LOW</w:t>
            </w:r>
          </w:p>
        </w:tc>
        <w:tc>
          <w:tcPr/>
          <w:p>
            <w:pPr>
              <w:pStyle w:val="Compact"/>
              <w:jc w:val="left"/>
            </w:pPr>
            <w:r>
              <w:t xml:space="preserve">Operational</w:t>
            </w:r>
          </w:p>
        </w:tc>
      </w:tr>
      <w:tr>
        <w:tc>
          <w:tcPr/>
          <w:p>
            <w:pPr>
              <w:pStyle w:val="Compact"/>
              <w:jc w:val="left"/>
            </w:pPr>
            <w:r>
              <w:t xml:space="preserve">RF-18</w:t>
            </w:r>
          </w:p>
        </w:tc>
        <w:tc>
          <w:tcPr/>
          <w:p>
            <w:pPr>
              <w:pStyle w:val="Compact"/>
              <w:jc w:val="left"/>
            </w:pPr>
            <w:r>
              <w:t xml:space="preserve">Ramirez Claim / Coverage Uncertain</w:t>
            </w:r>
          </w:p>
        </w:tc>
        <w:tc>
          <w:tcPr/>
          <w:p>
            <w:pPr>
              <w:pStyle w:val="Compact"/>
              <w:jc w:val="left"/>
            </w:pPr>
            <w:r>
              <w:t xml:space="preserve">Legal</w:t>
            </w:r>
          </w:p>
        </w:tc>
        <w:tc>
          <w:tcPr/>
          <w:p>
            <w:pPr>
              <w:pStyle w:val="Compact"/>
              <w:jc w:val="left"/>
            </w:pPr>
            <w:r>
              <w:t xml:space="preserve">MEDIUM</w:t>
            </w:r>
          </w:p>
        </w:tc>
        <w:tc>
          <w:tcPr/>
          <w:p>
            <w:pPr>
              <w:pStyle w:val="Compact"/>
              <w:jc w:val="left"/>
            </w:pPr>
            <w:r>
              <w:t xml:space="preserve">$500K–$4.8M</w:t>
            </w:r>
          </w:p>
        </w:tc>
      </w:tr>
      <w:tr>
        <w:tc>
          <w:tcPr/>
          <w:p>
            <w:pPr>
              <w:pStyle w:val="Compact"/>
              <w:jc w:val="left"/>
            </w:pPr>
            <w:r>
              <w:t xml:space="preserve">RF-19</w:t>
            </w:r>
          </w:p>
        </w:tc>
        <w:tc>
          <w:tcPr/>
          <w:p>
            <w:pPr>
              <w:pStyle w:val="Compact"/>
              <w:jc w:val="left"/>
            </w:pPr>
            <w:r>
              <w:t xml:space="preserve">NLRB Unionization Petition</w:t>
            </w:r>
          </w:p>
        </w:tc>
        <w:tc>
          <w:tcPr/>
          <w:p>
            <w:pPr>
              <w:pStyle w:val="Compact"/>
              <w:jc w:val="left"/>
            </w:pPr>
            <w:r>
              <w:t xml:space="preserve">Labor</w:t>
            </w:r>
          </w:p>
        </w:tc>
        <w:tc>
          <w:tcPr/>
          <w:p>
            <w:pPr>
              <w:pStyle w:val="Compact"/>
              <w:jc w:val="left"/>
            </w:pPr>
            <w:r>
              <w:t xml:space="preserve">MEDIUM</w:t>
            </w:r>
          </w:p>
        </w:tc>
        <w:tc>
          <w:tcPr/>
          <w:p>
            <w:pPr>
              <w:pStyle w:val="Compact"/>
              <w:jc w:val="left"/>
            </w:pPr>
            <w:r>
              <w:t xml:space="preserve">Labor cost increase</w:t>
            </w:r>
          </w:p>
        </w:tc>
      </w:tr>
      <w:tr>
        <w:tc>
          <w:tcPr/>
          <w:p>
            <w:pPr>
              <w:pStyle w:val="Compact"/>
              <w:jc w:val="left"/>
            </w:pPr>
            <w:r>
              <w:t xml:space="preserve">RF-20</w:t>
            </w:r>
          </w:p>
        </w:tc>
        <w:tc>
          <w:tcPr/>
          <w:p>
            <w:pPr>
              <w:pStyle w:val="Compact"/>
              <w:jc w:val="left"/>
            </w:pPr>
            <w:r>
              <w:t xml:space="preserve">FLSA Wage Claim</w:t>
            </w:r>
          </w:p>
        </w:tc>
        <w:tc>
          <w:tcPr/>
          <w:p>
            <w:pPr>
              <w:pStyle w:val="Compact"/>
              <w:jc w:val="left"/>
            </w:pPr>
            <w:r>
              <w:t xml:space="preserve">Legal</w:t>
            </w:r>
          </w:p>
        </w:tc>
        <w:tc>
          <w:tcPr/>
          <w:p>
            <w:pPr>
              <w:pStyle w:val="Compact"/>
              <w:jc w:val="left"/>
            </w:pPr>
            <w:r>
              <w:t xml:space="preserve">LOW</w:t>
            </w:r>
          </w:p>
        </w:tc>
        <w:tc>
          <w:tcPr/>
          <w:p>
            <w:pPr>
              <w:pStyle w:val="Compact"/>
              <w:jc w:val="left"/>
            </w:pPr>
            <w:r>
              <w:t xml:space="preserve">$100K–$330K</w:t>
            </w:r>
          </w:p>
        </w:tc>
      </w:tr>
      <w:tr>
        <w:tc>
          <w:tcPr/>
          <w:p>
            <w:pPr>
              <w:pStyle w:val="Compact"/>
              <w:jc w:val="left"/>
            </w:pPr>
            <w:r>
              <w:t xml:space="preserve">RF-21</w:t>
            </w:r>
          </w:p>
        </w:tc>
        <w:tc>
          <w:tcPr/>
          <w:p>
            <w:pPr>
              <w:pStyle w:val="Compact"/>
              <w:jc w:val="left"/>
            </w:pPr>
            <w:r>
              <w:t xml:space="preserve">Single-Trigger CoC Severance</w:t>
            </w:r>
          </w:p>
        </w:tc>
        <w:tc>
          <w:tcPr/>
          <w:p>
            <w:pPr>
              <w:pStyle w:val="Compact"/>
              <w:jc w:val="left"/>
            </w:pPr>
            <w:r>
              <w:t xml:space="preserve">Human Capital</w:t>
            </w:r>
          </w:p>
        </w:tc>
        <w:tc>
          <w:tcPr/>
          <w:p>
            <w:pPr>
              <w:pStyle w:val="Compact"/>
              <w:jc w:val="left"/>
            </w:pPr>
            <w:r>
              <w:t xml:space="preserve">HIGH</w:t>
            </w:r>
          </w:p>
        </w:tc>
        <w:tc>
          <w:tcPr/>
          <w:p>
            <w:pPr>
              <w:pStyle w:val="Compact"/>
              <w:jc w:val="left"/>
            </w:pPr>
            <w:r>
              <w:t xml:space="preserve">$2.625M certain at closing</w:t>
            </w:r>
          </w:p>
        </w:tc>
      </w:tr>
      <w:tr>
        <w:tc>
          <w:tcPr/>
          <w:p>
            <w:pPr>
              <w:pStyle w:val="Compact"/>
              <w:jc w:val="left"/>
            </w:pPr>
            <w:r>
              <w:t xml:space="preserve">RF-22</w:t>
            </w:r>
          </w:p>
        </w:tc>
        <w:tc>
          <w:tcPr/>
          <w:p>
            <w:pPr>
              <w:pStyle w:val="Compact"/>
              <w:jc w:val="left"/>
            </w:pPr>
            <w:r>
              <w:t xml:space="preserve">Key Person / Founder Dependency</w:t>
            </w:r>
          </w:p>
        </w:tc>
        <w:tc>
          <w:tcPr/>
          <w:p>
            <w:pPr>
              <w:pStyle w:val="Compact"/>
              <w:jc w:val="left"/>
            </w:pPr>
            <w:r>
              <w:t xml:space="preserve">Human Capital</w:t>
            </w:r>
          </w:p>
        </w:tc>
        <w:tc>
          <w:tcPr/>
          <w:p>
            <w:pPr>
              <w:pStyle w:val="Compact"/>
              <w:jc w:val="left"/>
            </w:pPr>
            <w:r>
              <w:t xml:space="preserve">HIGH</w:t>
            </w:r>
          </w:p>
        </w:tc>
        <w:tc>
          <w:tcPr/>
          <w:p>
            <w:pPr>
              <w:pStyle w:val="Compact"/>
              <w:jc w:val="left"/>
            </w:pPr>
            <w:r>
              <w:t xml:space="preserve">Qualitative</w:t>
            </w:r>
          </w:p>
        </w:tc>
      </w:tr>
    </w:tbl>
    <w:p>
      <w:r>
        <w:pict>
          <v:rect style="width:0;height:1.5pt" o:hralign="center" o:hrstd="t" o:hr="t"/>
        </w:pict>
      </w:r>
    </w:p>
    <w:bookmarkEnd w:id="50"/>
    <w:bookmarkStart w:id="51" w:name="recommended-next-steps"/>
    <w:p>
      <w:pPr>
        <w:pStyle w:val="Heading2"/>
      </w:pPr>
      <w:r>
        <w:t xml:space="preserve">Recommended Next Steps</w:t>
      </w:r>
    </w:p>
    <w:p>
      <w:pPr>
        <w:numPr>
          <w:ilvl w:val="0"/>
          <w:numId w:val="1004"/>
        </w:numPr>
      </w:pPr>
      <w:r>
        <w:rPr>
          <w:b/>
          <w:bCs/>
        </w:rPr>
        <w:t xml:space="preserve">Immediately:</w:t>
      </w:r>
      <w:r>
        <w:t xml:space="preserve"> </w:t>
      </w:r>
      <w:r>
        <w:t xml:space="preserve">Demand a fully reconciled EBITDA bridge from management and Bridgewater Forsyth Group. Do not proceed to definitive agreement until the $1.0M discrepancy is resolved.</w:t>
      </w:r>
    </w:p>
    <w:p>
      <w:pPr>
        <w:numPr>
          <w:ilvl w:val="0"/>
          <w:numId w:val="1004"/>
        </w:numPr>
      </w:pPr>
      <w:r>
        <w:rPr>
          <w:b/>
          <w:bCs/>
        </w:rPr>
        <w:t xml:space="preserve">Within 2 weeks:</w:t>
      </w:r>
      <w:r>
        <w:t xml:space="preserve"> </w:t>
      </w:r>
      <w:r>
        <w:t xml:space="preserve">Commission an updated Phase II ESA and vapor intrusion assessment at the Grand Junction facility. Engage an independent environmental consultant to update the remediation cost estimate.</w:t>
      </w:r>
    </w:p>
    <w:p>
      <w:pPr>
        <w:numPr>
          <w:ilvl w:val="0"/>
          <w:numId w:val="1004"/>
        </w:numPr>
      </w:pPr>
      <w:r>
        <w:rPr>
          <w:b/>
          <w:bCs/>
        </w:rPr>
        <w:t xml:space="preserve">Within 2 weeks:</w:t>
      </w:r>
      <w:r>
        <w:t xml:space="preserve"> </w:t>
      </w:r>
      <w:r>
        <w:t xml:space="preserve">Contact the DOE Contracting Officer (with seller’s consent) to assess the ceiling modification and novation situation. This is the single largest revenue risk in the transaction.</w:t>
      </w:r>
    </w:p>
    <w:p>
      <w:pPr>
        <w:numPr>
          <w:ilvl w:val="0"/>
          <w:numId w:val="1004"/>
        </w:numPr>
      </w:pPr>
      <w:r>
        <w:rPr>
          <w:b/>
          <w:bCs/>
        </w:rPr>
        <w:t xml:space="preserve">Within 2 weeks:</w:t>
      </w:r>
      <w:r>
        <w:t xml:space="preserve"> </w:t>
      </w:r>
      <w:r>
        <w:t xml:space="preserve">Engage directly with Wasatch Industrial Properties regarding the SLC lease assignment consent. Determine whether the landlord will consent to both the 2022 assignment and the proposed transaction.</w:t>
      </w:r>
    </w:p>
    <w:p>
      <w:pPr>
        <w:numPr>
          <w:ilvl w:val="0"/>
          <w:numId w:val="1004"/>
        </w:numPr>
      </w:pPr>
      <w:r>
        <w:rPr>
          <w:b/>
          <w:bCs/>
        </w:rPr>
        <w:t xml:space="preserve">Before signing:</w:t>
      </w:r>
      <w:r>
        <w:t xml:space="preserve"> </w:t>
      </w:r>
      <w:r>
        <w:t xml:space="preserve">Require completion of the Utah permit transfer (UTH-0441) as a closing condition. Obtain Wyoming DEQ confirmation of permit renewal timeline.</w:t>
      </w:r>
    </w:p>
    <w:p>
      <w:pPr>
        <w:numPr>
          <w:ilvl w:val="0"/>
          <w:numId w:val="1004"/>
        </w:numPr>
      </w:pPr>
      <w:r>
        <w:rPr>
          <w:b/>
          <w:bCs/>
        </w:rPr>
        <w:t xml:space="preserve">In definitive SPA:</w:t>
      </w:r>
      <w:r>
        <w:t xml:space="preserve"> </w:t>
      </w:r>
      <w:r>
        <w:t xml:space="preserve">Negotiate a specific environmental indemnification with a 6-year survival period and a separate escrow covering the Grand Junction remediation, CDPHE enforcement action, and asbestos tail exposure. Treat the $2.625M single-trigger severance as a seller transaction expense.</w:t>
      </w:r>
    </w:p>
    <w:p>
      <w:pPr>
        <w:numPr>
          <w:ilvl w:val="0"/>
          <w:numId w:val="1004"/>
        </w:numPr>
      </w:pPr>
      <w:r>
        <w:rPr>
          <w:b/>
          <w:bCs/>
        </w:rPr>
        <w:t xml:space="preserve">In purchase price:</w:t>
      </w:r>
      <w:r>
        <w:t xml:space="preserve"> </w:t>
      </w:r>
      <w:r>
        <w:t xml:space="preserve">Rebase valuation on a defensible adjusted EBITDA of $19.5M–$21.0M (after rejecting the litigation settlement add-back and haircut-ting other aggressive items), and apply a discount for the DOE ceiling exhaustion risk. Implied enterprise value at 8.0x–9.0x on $20M EBITDA = $160M–$180M, representing a potential $22M–$45M reduction from the seller’s indicative range.</w:t>
      </w:r>
    </w:p>
    <w:p>
      <w:r>
        <w:pict>
          <v:rect style="width:0;height:1.5pt" o:hralign="center" o:hrstd="t" o:hr="t"/>
        </w:pict>
      </w:r>
    </w:p>
    <w:p>
      <w:pPr>
        <w:pStyle w:val="FirstParagraph"/>
      </w:pPr>
      <w:r>
        <w:rPr>
          <w:i/>
          <w:iCs/>
        </w:rPr>
        <w:t xml:space="preserve">This memorandum is based solely on the data room documents provided and does not constitute a complete due diligence review. Additional investigation is required in all areas identified above. This memorandum is protected by attorney-client privilege and the work product doctrine and is intended solely for the use of Sycamore Capital Partners, LP and its advisors.</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2026-08-25T11:21:30Z</dcterms:created>
  <dcterms:modified xsi:type="dcterms:W3CDTF">2026-08-25T11:21:30Z</dcterms:modified>
</cp:coreProperties>
</file>

<file path=docProps/custom.xml><?xml version="1.0" encoding="utf-8"?>
<Properties xmlns="http://schemas.openxmlformats.org/officeDocument/2006/custom-properties" xmlns:vt="http://schemas.openxmlformats.org/officeDocument/2006/docPropsVTypes"/>
</file>