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45" w:name="due-diligence-red-flag-memorandum"/>
    <w:p>
      <w:pPr>
        <w:pStyle w:val="Heading1"/>
      </w:pPr>
      <w:r>
        <w:t xml:space="preserve">Due Diligence Red Flag Memorandum</w:t>
      </w:r>
    </w:p>
    <w:p>
      <w:pPr>
        <w:pStyle w:val="FirstParagraph"/>
      </w:pPr>
      <w:r>
        <w:rPr>
          <w:b/>
          <w:bCs/>
        </w:rPr>
        <w:t xml:space="preserve">Project Ridgeline — Acquisition of Ridgeline Environmental Services, Inc.</w:t>
      </w:r>
    </w:p>
    <w:p>
      <w:pPr>
        <w:pStyle w:val="BodyText"/>
      </w:pPr>
      <w:r>
        <w:rPr>
          <w:b/>
          <w:bCs/>
        </w:rPr>
        <w:t xml:space="preserve">Prepared for:</w:t>
      </w:r>
      <w:r>
        <w:t xml:space="preserve"> </w:t>
      </w:r>
      <w:r>
        <w:t xml:space="preserve">Sycamore Capital Partners, LP</w:t>
      </w:r>
    </w:p>
    <w:p>
      <w:pPr>
        <w:pStyle w:val="BodyText"/>
      </w:pPr>
      <w:r>
        <w:rPr>
          <w:b/>
          <w:bCs/>
        </w:rPr>
        <w:t xml:space="preserve">Prepared by:</w:t>
      </w:r>
      <w:r>
        <w:t xml:space="preserve"> </w:t>
      </w:r>
      <w:r>
        <w:t xml:space="preserve">Diligence Review Team</w:t>
      </w:r>
    </w:p>
    <w:p>
      <w:pPr>
        <w:pStyle w:val="BodyText"/>
      </w:pPr>
      <w:r>
        <w:rPr>
          <w:b/>
          <w:bCs/>
        </w:rPr>
        <w:t xml:space="preserve">Date:</w:t>
      </w:r>
      <w:r>
        <w:t xml:space="preserve"> </w:t>
      </w:r>
      <w:r>
        <w:t xml:space="preserve">December 2024</w:t>
      </w:r>
    </w:p>
    <w:p>
      <w:pPr>
        <w:pStyle w:val="BodyText"/>
      </w:pPr>
      <w:r>
        <w:rPr>
          <w:b/>
          <w:bCs/>
        </w:rPr>
        <w:t xml:space="preserve">Subject:</w:t>
      </w:r>
      <w:r>
        <w:t xml:space="preserve"> </w:t>
      </w:r>
      <w:r>
        <w:t xml:space="preserve">Summary of Material Red Flags Identified in Data Room Review</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summarizes material red flags and diligence concerns identified through a comprehensive review of the Project Ridgeline data room, including the Confidential Information Memorandum, Quality of Earnings data package, Litigation and Regulatory Summary, Real Property and Lease Schedule, Phase II Environmental Site Assessment, Credit Agreement Summary, Customer Contract Summary, Employment Agreements Summary, Environmental Permit Schedule, Insurance Program Summary, and Employee Benefits Summary.</w:t>
      </w:r>
    </w:p>
    <w:p>
      <w:pPr>
        <w:pStyle w:val="BodyText"/>
      </w:pPr>
      <w:r>
        <w:t xml:space="preserve">The proposed transaction contemplates a 100% stock acquisition of Ridgeline Environmental Services, Inc. (</w:t>
      </w:r>
      <w:r>
        <w:t xml:space="preserve">“</w:t>
      </w:r>
      <w:r>
        <w:t xml:space="preserve">RES</w:t>
      </w:r>
      <w:r>
        <w:t xml:space="preserve">”</w:t>
      </w:r>
      <w:r>
        <w:t xml:space="preserve">) at an indicative enterprise value of $182–$205 million (8.0x–9.0x Adjusted EBITDA of $22.8 million). Our review has identified</w:t>
      </w:r>
      <w:r>
        <w:t xml:space="preserve"> </w:t>
      </w:r>
      <w:r>
        <w:rPr>
          <w:b/>
          <w:bCs/>
        </w:rPr>
        <w:t xml:space="preserve">fifteen (15) material red flags</w:t>
      </w:r>
      <w:r>
        <w:t xml:space="preserve"> </w:t>
      </w:r>
      <w:r>
        <w:t xml:space="preserve">across six risk categories: (1) Financial / Quality of Earnings, (2) Environmental &amp; Regulatory, (3) Commercial / Customer, (4) Real Property &amp; Permitting, (5) Legal &amp; Litigation, and (6) Human Capital &amp; Governance. Each is described below with a severity rating (Critical / High / Medium) and recommended diligence action.</w:t>
      </w:r>
    </w:p>
    <w:p>
      <w:pPr>
        <w:pStyle w:val="BodyText"/>
      </w:pPr>
      <w:r>
        <w:rPr>
          <w:b/>
          <w:bCs/>
        </w:rPr>
        <w:t xml:space="preserve">Overall Assessment:</w:t>
      </w:r>
      <w:r>
        <w:t xml:space="preserve"> </w:t>
      </w:r>
      <w:r>
        <w:t xml:space="preserve">The business has genuine strategic merit — a defensible permit portfolio, strong federal relationships, and a growing Mountain West platform. However, the aggregate risk profile is elevated. The most critical issues are: (a) a $1.0M unexplained discrepancy in the seller’s own Adjusted EBITDA figures; (b) DOE IDIQ ceiling exhaustion that threatens ~$12M of FY2025 revenue; (c) a stale 2019 Phase II ESA with unquantified vapor intrusion and off-site plume migration risk; (d) an unresolved Salt Lake City lease assignment that could disrupt ~$16M of annual revenue; and (e) $3.775M in change-of-control severance obligations whose allocation between buyer and seller has not been addressed in the LOI.</w:t>
      </w:r>
    </w:p>
    <w:p>
      <w:r>
        <w:pict>
          <v:rect style="width:0;height:1.5pt" o:hralign="center" o:hrstd="t" o:hr="t"/>
        </w:pict>
      </w:r>
    </w:p>
    <w:bookmarkEnd w:id="21"/>
    <w:bookmarkStart w:id="27" w:name="X59cfcd553f6657b8a6b60b470b5bf36b9e4aecd"/>
    <w:p>
      <w:pPr>
        <w:pStyle w:val="Heading2"/>
      </w:pPr>
      <w:r>
        <w:t xml:space="preserve">II. Financial / Quality of Earnings Red Flags</w:t>
      </w:r>
    </w:p>
    <w:bookmarkStart w:id="22" w:name="X49f48ea0f15eaa8a9dbe597c0eb3a4ac0b73677"/>
    <w:p>
      <w:pPr>
        <w:pStyle w:val="Heading3"/>
      </w:pPr>
      <w:r>
        <w:t xml:space="preserve">RF-01 | Adjusted EBITDA Discrepancy — $1.0M Unexplained Gap |</w:t>
      </w:r>
      <w:r>
        <w:t xml:space="preserve"> </w:t>
      </w:r>
      <w:r>
        <w:rPr>
          <w:b/>
          <w:bCs/>
        </w:rPr>
        <w:t xml:space="preserve">CRITICAL</w:t>
      </w:r>
    </w:p>
    <w:p>
      <w:pPr>
        <w:pStyle w:val="FirstParagraph"/>
      </w:pPr>
      <w:r>
        <w:rPr>
          <w:b/>
          <w:bCs/>
        </w:rPr>
        <w:t xml:space="preserve">Finding:</w:t>
      </w:r>
      <w:r>
        <w:t xml:space="preserve"> </w:t>
      </w:r>
      <w:r>
        <w:t xml:space="preserve">The CIM presents Adjusted EBITDA of</w:t>
      </w:r>
      <w:r>
        <w:t xml:space="preserve"> </w:t>
      </w:r>
      <w:r>
        <w:rPr>
          <w:b/>
          <w:bCs/>
        </w:rPr>
        <w:t xml:space="preserve">$22.8M</w:t>
      </w:r>
      <w:r>
        <w:t xml:space="preserve">. The QoE data package (EBITDA Bridge tab) calculates Adjusted EBITDA of</w:t>
      </w:r>
      <w:r>
        <w:t xml:space="preserve"> </w:t>
      </w:r>
      <w:r>
        <w:rPr>
          <w:b/>
          <w:bCs/>
        </w:rPr>
        <w:t xml:space="preserve">$23.8M</w:t>
      </w:r>
      <w:r>
        <w:t xml:space="preserve"> </w:t>
      </w:r>
      <w:r>
        <w:t xml:space="preserve">— a $1.0M difference. The QoE schedule itself acknowledges the discrepancy in a footnote and states that</w:t>
      </w:r>
      <w:r>
        <w:t xml:space="preserve"> </w:t>
      </w:r>
      <w:r>
        <w:t xml:space="preserve">“</w:t>
      </w:r>
      <w:r>
        <w:t xml:space="preserve">the specific adjustment category causing the discrepancy has not been identified.</w:t>
      </w:r>
      <w:r>
        <w:t xml:space="preserve">”</w:t>
      </w:r>
      <w:r>
        <w:t xml:space="preserve"> </w:t>
      </w:r>
      <w:r>
        <w:t xml:space="preserve">No reconciliation has been provided.</w:t>
      </w:r>
    </w:p>
    <w:p>
      <w:pPr>
        <w:pStyle w:val="BodyText"/>
      </w:pPr>
      <w:r>
        <w:rPr>
          <w:b/>
          <w:bCs/>
        </w:rPr>
        <w:t xml:space="preserve">Significance:</w:t>
      </w:r>
      <w:r>
        <w:t xml:space="preserve"> </w:t>
      </w:r>
      <w:r>
        <w:t xml:space="preserve">The LOI enterprise value of $182–$205M is anchored to the $22.8M figure. If the correct number is $23.8M, the implied multiple range shifts to 7.6x–8.6x — a meaningful difference in a negotiation context. Conversely, if the $22.8M figure is correct, the QoE bridge contains an error that has not been identified or corrected. Either way, the seller’s own financial team cannot reconcile its primary valuation metric.</w:t>
      </w:r>
    </w:p>
    <w:p>
      <w:pPr>
        <w:pStyle w:val="BodyText"/>
      </w:pPr>
      <w:r>
        <w:rPr>
          <w:b/>
          <w:bCs/>
        </w:rPr>
        <w:t xml:space="preserve">Action Required:</w:t>
      </w:r>
      <w:r>
        <w:t xml:space="preserve"> </w:t>
      </w:r>
      <w:r>
        <w:t xml:space="preserve">Demand a fully reconciled EBITDA bridge signed by the CFO before proceeding. Confirm which figure the QoE firm (Bridgewater Forsyth Group) is using as its starting point.</w:t>
      </w:r>
    </w:p>
    <w:p>
      <w:r>
        <w:pict>
          <v:rect style="width:0;height:1.5pt" o:hralign="center" o:hrstd="t" o:hr="t"/>
        </w:pict>
      </w:r>
    </w:p>
    <w:bookmarkEnd w:id="22"/>
    <w:bookmarkStart w:id="23" w:name="Xf3f7eec08cf889b6640a476169741c2b55f6a67"/>
    <w:p>
      <w:pPr>
        <w:pStyle w:val="Heading3"/>
      </w:pPr>
      <w:r>
        <w:t xml:space="preserve">RF-02 | Aggressive EBITDA Add-Backs — $5.4M in Adjustments, Several Questionable |</w:t>
      </w:r>
      <w:r>
        <w:t xml:space="preserve"> </w:t>
      </w:r>
      <w:r>
        <w:rPr>
          <w:b/>
          <w:bCs/>
        </w:rPr>
        <w:t xml:space="preserve">HIGH</w:t>
      </w:r>
    </w:p>
    <w:p>
      <w:pPr>
        <w:pStyle w:val="FirstParagraph"/>
      </w:pPr>
      <w:r>
        <w:rPr>
          <w:b/>
          <w:bCs/>
        </w:rPr>
        <w:t xml:space="preserve">Finding:</w:t>
      </w:r>
      <w:r>
        <w:t xml:space="preserve"> </w:t>
      </w:r>
      <w:r>
        <w:t xml:space="preserve">Management adds back $5.4M to arrive at Adjusted EBITDA, comprising: (i) $1.2M litigation settlement receipt (Clearwater Logistics — a</w:t>
      </w:r>
      <w:r>
        <w:t xml:space="preserve"> </w:t>
      </w:r>
      <w:r>
        <w:rPr>
          <w:i/>
          <w:iCs/>
        </w:rPr>
        <w:t xml:space="preserve">gain</w:t>
      </w:r>
      <w:r>
        <w:t xml:space="preserve">, not a cost); (ii) $950K owner compensation normalization; (iii) $650K ERP implementation; (iv) $800K Pinnacle integration costs; and (v) $1.8M asbestos wind-down costs.</w:t>
      </w:r>
    </w:p>
    <w:p>
      <w:pPr>
        <w:pStyle w:val="BodyText"/>
      </w:pPr>
      <w:r>
        <w:rPr>
          <w:b/>
          <w:bCs/>
        </w:rPr>
        <w:t xml:space="preserve">Concerns:</w:t>
      </w:r>
    </w:p>
    <w:p>
      <w:pPr>
        <w:pStyle w:val="Compact"/>
        <w:numPr>
          <w:ilvl w:val="0"/>
          <w:numId w:val="1001"/>
        </w:numPr>
      </w:pPr>
      <w:r>
        <w:rPr>
          <w:b/>
          <w:bCs/>
        </w:rPr>
        <w:t xml:space="preserve">Litigation settlement ($1.2M):</w:t>
      </w:r>
      <w:r>
        <w:t xml:space="preserve"> </w:t>
      </w:r>
      <w:r>
        <w:t xml:space="preserve">This is a</w:t>
      </w:r>
      <w:r>
        <w:t xml:space="preserve"> </w:t>
      </w:r>
      <w:r>
        <w:rPr>
          <w:i/>
          <w:iCs/>
        </w:rPr>
        <w:t xml:space="preserve">cash receipt</w:t>
      </w:r>
      <w:r>
        <w:t xml:space="preserve"> </w:t>
      </w:r>
      <w:r>
        <w:t xml:space="preserve">from a counterparty, not a cost. Adding it back as a</w:t>
      </w:r>
      <w:r>
        <w:t xml:space="preserve"> </w:t>
      </w:r>
      <w:r>
        <w:t xml:space="preserve">“</w:t>
      </w:r>
      <w:r>
        <w:t xml:space="preserve">non-recurring</w:t>
      </w:r>
      <w:r>
        <w:t xml:space="preserve">”</w:t>
      </w:r>
      <w:r>
        <w:t xml:space="preserve"> </w:t>
      </w:r>
      <w:r>
        <w:t xml:space="preserve">item inflates EBITDA by treating a one-time gain as if it were a recurring expense that should be excluded. The correct treatment would be to exclude it from revenue, not add it back to EBITDA.</w:t>
      </w:r>
    </w:p>
    <w:p>
      <w:pPr>
        <w:pStyle w:val="Compact"/>
        <w:numPr>
          <w:ilvl w:val="0"/>
          <w:numId w:val="1001"/>
        </w:numPr>
      </w:pPr>
      <w:r>
        <w:rPr>
          <w:b/>
          <w:bCs/>
        </w:rPr>
        <w:t xml:space="preserve">Pinnacle integration ($800K in FY2024):</w:t>
      </w:r>
      <w:r>
        <w:t xml:space="preserve"> </w:t>
      </w:r>
      <w:r>
        <w:t xml:space="preserve">The acquisition closed in March 2022 — over two years before the TTM period. Integration costs continuing into FY2024 at $800K suggest the integration is not as</w:t>
      </w:r>
      <w:r>
        <w:t xml:space="preserve"> </w:t>
      </w:r>
      <w:r>
        <w:t xml:space="preserve">“</w:t>
      </w:r>
      <w:r>
        <w:t xml:space="preserve">substantially complete</w:t>
      </w:r>
      <w:r>
        <w:t xml:space="preserve">”</w:t>
      </w:r>
      <w:r>
        <w:t xml:space="preserve"> </w:t>
      </w:r>
      <w:r>
        <w:t xml:space="preserve">as represented. Integration costs were also $1.24M in FY2022 and $620K in FY2023, totaling $2.66M over three years.</w:t>
      </w:r>
    </w:p>
    <w:p>
      <w:pPr>
        <w:pStyle w:val="Compact"/>
        <w:numPr>
          <w:ilvl w:val="0"/>
          <w:numId w:val="1001"/>
        </w:numPr>
      </w:pPr>
      <w:r>
        <w:rPr>
          <w:b/>
          <w:bCs/>
        </w:rPr>
        <w:t xml:space="preserve">Owner compensation normalization ($950K):</w:t>
      </w:r>
      <w:r>
        <w:t xml:space="preserve"> </w:t>
      </w:r>
      <w:r>
        <w:t xml:space="preserve">The adjustment normalizes CEO and COO salaries from $875K each to $400K each. However, the employment agreements show bonus targets of 50% of base salary ($437.5K each), which are not included in the normalization. Total actual compensation including bonuses was ~$1.09M each. The normalized replacement cost should include market-rate bonus targets.</w:t>
      </w:r>
    </w:p>
    <w:p>
      <w:pPr>
        <w:pStyle w:val="Compact"/>
        <w:numPr>
          <w:ilvl w:val="0"/>
          <w:numId w:val="1001"/>
        </w:numPr>
      </w:pPr>
      <w:r>
        <w:rPr>
          <w:b/>
          <w:bCs/>
        </w:rPr>
        <w:t xml:space="preserve">Bank EBITDA vs. Management EBITDA:</w:t>
      </w:r>
      <w:r>
        <w:t xml:space="preserve"> </w:t>
      </w:r>
      <w:r>
        <w:t xml:space="preserve">The credit agreement’s Consolidated EBITDA definition permits only up to $500K of non-recurring add-backs. The bank calculates EBITDA at $18.4M — a $4.4M–$5.4M gap from management’s figure. Buyer’s leverage model must use the bank definition for covenant compliance purposes.</w:t>
      </w:r>
    </w:p>
    <w:p>
      <w:pPr>
        <w:pStyle w:val="FirstParagraph"/>
      </w:pPr>
      <w:r>
        <w:rPr>
          <w:b/>
          <w:bCs/>
        </w:rPr>
        <w:t xml:space="preserve">Action Required:</w:t>
      </w:r>
      <w:r>
        <w:t xml:space="preserve"> </w:t>
      </w:r>
      <w:r>
        <w:t xml:space="preserve">Require QoE firm to independently validate each add-back. Recast EBITDA excluding the litigation gain add-back and with corrected compensation normalization. Stress-test leverage ratios using bank-definition EBITDA.</w:t>
      </w:r>
    </w:p>
    <w:p>
      <w:r>
        <w:pict>
          <v:rect style="width:0;height:1.5pt" o:hralign="center" o:hrstd="t" o:hr="t"/>
        </w:pict>
      </w:r>
    </w:p>
    <w:bookmarkEnd w:id="23"/>
    <w:bookmarkStart w:id="24" w:name="X69a9d927d5cb1dd5f195a2f01a4430a71eb7039"/>
    <w:p>
      <w:pPr>
        <w:pStyle w:val="Heading3"/>
      </w:pPr>
      <w:r>
        <w:t xml:space="preserve">RF-03 | Revenue Growth Deceleration and DOE Ceiling Exhaustion Risk |</w:t>
      </w:r>
      <w:r>
        <w:t xml:space="preserve"> </w:t>
      </w:r>
      <w:r>
        <w:rPr>
          <w:b/>
          <w:bCs/>
        </w:rPr>
        <w:t xml:space="preserve">CRITICAL</w:t>
      </w:r>
    </w:p>
    <w:p>
      <w:pPr>
        <w:pStyle w:val="FirstParagraph"/>
      </w:pPr>
      <w:r>
        <w:rPr>
          <w:b/>
          <w:bCs/>
        </w:rPr>
        <w:t xml:space="preserve">Finding:</w:t>
      </w:r>
      <w:r>
        <w:t xml:space="preserve"> </w:t>
      </w:r>
      <w:r>
        <w:t xml:space="preserve">Revenue growth has decelerated from 20.1% (FY2021) to 19.0% (FY2022) to 17.2% (FY2023) to</w:t>
      </w:r>
      <w:r>
        <w:t xml:space="preserve"> </w:t>
      </w:r>
      <w:r>
        <w:rPr>
          <w:b/>
          <w:bCs/>
        </w:rPr>
        <w:t xml:space="preserve">11.1% (FY2024)</w:t>
      </w:r>
      <w:r>
        <w:t xml:space="preserve">. More critically, the DOE IDIQ contract (19.2% of revenue, $24.4M TTM) has consumed 72.7% of its $45M ceiling in 61.7% of its contract period. At the current run rate of ~$2.03M/month, the remaining $12.3M ceiling will be exhausted by approximately</w:t>
      </w:r>
      <w:r>
        <w:t xml:space="preserve"> </w:t>
      </w:r>
      <w:r>
        <w:rPr>
          <w:b/>
          <w:bCs/>
        </w:rPr>
        <w:t xml:space="preserve">April–May 2025</w:t>
      </w:r>
      <w:r>
        <w:t xml:space="preserve"> </w:t>
      </w:r>
      <w:r>
        <w:t xml:space="preserve">— coinciding with the target closing date.</w:t>
      </w:r>
    </w:p>
    <w:p>
      <w:pPr>
        <w:pStyle w:val="BodyText"/>
      </w:pPr>
      <w:r>
        <w:rPr>
          <w:b/>
          <w:bCs/>
        </w:rPr>
        <w:t xml:space="preserve">Significance:</w:t>
      </w:r>
      <w:r>
        <w:t xml:space="preserve"> </w:t>
      </w:r>
      <w:r>
        <w:t xml:space="preserve">If the ceiling is not increased via contract modification, DOE revenue could decline from $24.4M to ≤$12.3M in FY2025, representing a</w:t>
      </w:r>
      <w:r>
        <w:t xml:space="preserve"> </w:t>
      </w:r>
      <w:r>
        <w:rPr>
          <w:b/>
          <w:bCs/>
        </w:rPr>
        <w:t xml:space="preserve">~$12.1M revenue headwind</w:t>
      </w:r>
      <w:r>
        <w:t xml:space="preserve"> </w:t>
      </w:r>
      <w:r>
        <w:t xml:space="preserve">(9.5% of total revenue). This is not disclosed in the CIM, which presents the DOE relationship as a</w:t>
      </w:r>
      <w:r>
        <w:t xml:space="preserve"> </w:t>
      </w:r>
      <w:r>
        <w:t xml:space="preserve">“</w:t>
      </w:r>
      <w:r>
        <w:t xml:space="preserve">cornerstone</w:t>
      </w:r>
      <w:r>
        <w:t xml:space="preserve">”</w:t>
      </w:r>
      <w:r>
        <w:t xml:space="preserve"> </w:t>
      </w:r>
      <w:r>
        <w:t xml:space="preserve">providing</w:t>
      </w:r>
      <w:r>
        <w:t xml:space="preserve"> </w:t>
      </w:r>
      <w:r>
        <w:t xml:space="preserve">“</w:t>
      </w:r>
      <w:r>
        <w:t xml:space="preserve">substantial near-term revenue visibility.</w:t>
      </w:r>
      <w:r>
        <w:t xml:space="preserve">”</w:t>
      </w:r>
      <w:r>
        <w:t xml:space="preserve"> </w:t>
      </w:r>
      <w:r>
        <w:t xml:space="preserve">The contract expires August 31, 2026, leaving ~16 months of unfunded contract period after ceiling exhaustion.</w:t>
      </w:r>
    </w:p>
    <w:p>
      <w:pPr>
        <w:pStyle w:val="BodyText"/>
      </w:pPr>
      <w:r>
        <w:rPr>
          <w:b/>
          <w:bCs/>
        </w:rPr>
        <w:t xml:space="preserve">Action Required:</w:t>
      </w:r>
      <w:r>
        <w:t xml:space="preserve"> </w:t>
      </w:r>
      <w:r>
        <w:t xml:space="preserve">Obtain written confirmation from the DOE Contracting Officer regarding ceiling modification prospects before signing. Model downside scenarios assuming no ceiling increase. Evaluate whether the LOI enterprise value should be conditioned on a ceiling modification being in place at closing.</w:t>
      </w:r>
    </w:p>
    <w:p>
      <w:r>
        <w:pict>
          <v:rect style="width:0;height:1.5pt" o:hralign="center" o:hrstd="t" o:hr="t"/>
        </w:pict>
      </w:r>
    </w:p>
    <w:bookmarkEnd w:id="24"/>
    <w:bookmarkStart w:id="25" w:name="Xa64529e5ec17eef934d52c7d91b8ca74adcca02"/>
    <w:p>
      <w:pPr>
        <w:pStyle w:val="Heading3"/>
      </w:pPr>
      <w:r>
        <w:t xml:space="preserve">RF-04 | Fleet Aging — 44.7% of Assets Past Useful Life, $9.8M Replacement Backlog |</w:t>
      </w:r>
      <w:r>
        <w:t xml:space="preserve"> </w:t>
      </w:r>
      <w:r>
        <w:rPr>
          <w:b/>
          <w:bCs/>
        </w:rPr>
        <w:t xml:space="preserve">HIGH</w:t>
      </w:r>
    </w:p>
    <w:p>
      <w:pPr>
        <w:pStyle w:val="FirstParagraph"/>
      </w:pPr>
      <w:r>
        <w:rPr>
          <w:b/>
          <w:bCs/>
        </w:rPr>
        <w:t xml:space="preserve">Finding:</w:t>
      </w:r>
      <w:r>
        <w:t xml:space="preserve"> </w:t>
      </w:r>
      <w:r>
        <w:t xml:space="preserve">The Fleet &amp; Equipment Schedule shows 38 of 85 assets (44.7%) are at or past their stated useful life. Average fleet age is 8.2 years against a weighted average useful life of 7.0 years. Total estimated replacement cost for past-useful-life units is $9.8M. Management’s normalized maintenance capex estimate of $4.0–$4.5M/year appears understated — actual maintenance capex was $5.3M in FY2024 and averaged $4.27M over five years. Spreading the $9.8M backlog over three years implies ~$3.3M/year in catch-up capex above the current run rate.</w:t>
      </w:r>
    </w:p>
    <w:p>
      <w:pPr>
        <w:pStyle w:val="BodyText"/>
      </w:pPr>
      <w:r>
        <w:rPr>
          <w:b/>
          <w:bCs/>
        </w:rPr>
        <w:t xml:space="preserve">Significance:</w:t>
      </w:r>
      <w:r>
        <w:t xml:space="preserve"> </w:t>
      </w:r>
      <w:r>
        <w:t xml:space="preserve">The CIM’s free cash flow presentation relies on $4.0–$4.5M normalized maintenance capex. If true normalized capex is $6.5–$7.5M (including catch-up), FCF is materially overstated and the implied purchase price multiple is understated.</w:t>
      </w:r>
    </w:p>
    <w:p>
      <w:pPr>
        <w:pStyle w:val="BodyText"/>
      </w:pPr>
      <w:r>
        <w:rPr>
          <w:b/>
          <w:bCs/>
        </w:rPr>
        <w:t xml:space="preserve">Action Required:</w:t>
      </w:r>
      <w:r>
        <w:t xml:space="preserve"> </w:t>
      </w:r>
      <w:r>
        <w:t xml:space="preserve">Commission an independent fleet appraisal. Require management to provide a detailed 3-year fleet replacement schedule with cost estimates. Adjust FCF model for realistic maintenance capex.</w:t>
      </w:r>
    </w:p>
    <w:p>
      <w:r>
        <w:pict>
          <v:rect style="width:0;height:1.5pt" o:hralign="center" o:hrstd="t" o:hr="t"/>
        </w:pict>
      </w:r>
    </w:p>
    <w:bookmarkEnd w:id="25"/>
    <w:bookmarkStart w:id="26" w:name="X9c1fed880b9a3907e1ab33e7a6e93a642c46535"/>
    <w:p>
      <w:pPr>
        <w:pStyle w:val="Heading3"/>
      </w:pPr>
      <w:r>
        <w:t xml:space="preserve">RF-05 | Reported EBITDA Decline — FY2024 Reported EBITDA Down 27% YoY |</w:t>
      </w:r>
      <w:r>
        <w:t xml:space="preserve"> </w:t>
      </w:r>
      <w:r>
        <w:rPr>
          <w:b/>
          <w:bCs/>
        </w:rPr>
        <w:t xml:space="preserve">HIGH</w:t>
      </w:r>
    </w:p>
    <w:p>
      <w:pPr>
        <w:pStyle w:val="FirstParagraph"/>
      </w:pPr>
      <w:r>
        <w:rPr>
          <w:b/>
          <w:bCs/>
        </w:rPr>
        <w:t xml:space="preserve">Finding:</w:t>
      </w:r>
      <w:r>
        <w:t xml:space="preserve"> </w:t>
      </w:r>
      <w:r>
        <w:t xml:space="preserve">The Historical P&amp;L shows reported EBITDA of $26.0M in FY2023 declining to $18.4M in FY2024 — a</w:t>
      </w:r>
      <w:r>
        <w:t xml:space="preserve"> </w:t>
      </w:r>
      <w:r>
        <w:rPr>
          <w:b/>
          <w:bCs/>
        </w:rPr>
        <w:t xml:space="preserve">27% decline</w:t>
      </w:r>
      <w:r>
        <w:t xml:space="preserve"> </w:t>
      </w:r>
      <w:r>
        <w:t xml:space="preserve">— while revenue grew 11.1%. This is the largest single-year EBITDA decline in the data set and is entirely masked by the $5.4M in management add-backs. The EBIT margin also compressed from 16.0% to 14.5%. The decline is driven by $4.5M in</w:t>
      </w:r>
      <w:r>
        <w:t xml:space="preserve"> </w:t>
      </w:r>
      <w:r>
        <w:t xml:space="preserve">“</w:t>
      </w:r>
      <w:r>
        <w:t xml:space="preserve">Other Operating Expenses</w:t>
      </w:r>
      <w:r>
        <w:t xml:space="preserve">”</w:t>
      </w:r>
      <w:r>
        <w:t xml:space="preserve"> </w:t>
      </w:r>
      <w:r>
        <w:t xml:space="preserve">in FY2024 (up from $3.4M in FY2023), including the $1.8M asbestos wind-down, $800K Pinnacle integration, $650K ERP, and $1.2M litigation settlement.</w:t>
      </w:r>
    </w:p>
    <w:p>
      <w:pPr>
        <w:pStyle w:val="BodyText"/>
      </w:pPr>
      <w:r>
        <w:rPr>
          <w:b/>
          <w:bCs/>
        </w:rPr>
        <w:t xml:space="preserve">Significance:</w:t>
      </w:r>
      <w:r>
        <w:t xml:space="preserve"> </w:t>
      </w:r>
      <w:r>
        <w:t xml:space="preserve">The magnitude of the reported EBITDA decline raises questions about whether all add-backs are truly non-recurring. If any of these cost categories recur in FY2025 (e.g., continued integration costs, additional regulatory penalties, ERP Phase 2 completion), the adjusted EBITDA will not be achievable.</w:t>
      </w:r>
    </w:p>
    <w:p>
      <w:pPr>
        <w:pStyle w:val="BodyText"/>
      </w:pPr>
      <w:r>
        <w:rPr>
          <w:b/>
          <w:bCs/>
        </w:rPr>
        <w:t xml:space="preserve">Action Required:</w:t>
      </w:r>
      <w:r>
        <w:t xml:space="preserve"> </w:t>
      </w:r>
      <w:r>
        <w:t xml:space="preserve">Obtain management’s FY2025 budget and compare to adjusted EBITDA trajectory. Confirm ERP Phase 2 completion timeline and remaining cost exposure.</w:t>
      </w:r>
    </w:p>
    <w:p>
      <w:r>
        <w:pict>
          <v:rect style="width:0;height:1.5pt" o:hralign="center" o:hrstd="t" o:hr="t"/>
        </w:pict>
      </w:r>
    </w:p>
    <w:bookmarkEnd w:id="26"/>
    <w:bookmarkEnd w:id="27"/>
    <w:bookmarkStart w:id="31" w:name="iii.-environmental-regulatory-red-flags"/>
    <w:p>
      <w:pPr>
        <w:pStyle w:val="Heading2"/>
      </w:pPr>
      <w:r>
        <w:t xml:space="preserve">III. Environmental &amp; Regulatory Red Flags</w:t>
      </w:r>
    </w:p>
    <w:bookmarkStart w:id="28" w:name="Xe5f782b2eb953fd4d0f0e92cfebeffb5b4a18f5"/>
    <w:p>
      <w:pPr>
        <w:pStyle w:val="Heading3"/>
      </w:pPr>
      <w:r>
        <w:t xml:space="preserve">RF-06 | Stale Phase II ESA — 5.5 Years Old, Unquantified Vapor Intrusion and Off-Site Plume Risk |</w:t>
      </w:r>
      <w:r>
        <w:t xml:space="preserve"> </w:t>
      </w:r>
      <w:r>
        <w:rPr>
          <w:b/>
          <w:bCs/>
        </w:rPr>
        <w:t xml:space="preserve">CRITICAL</w:t>
      </w:r>
    </w:p>
    <w:p>
      <w:pPr>
        <w:pStyle w:val="FirstParagraph"/>
      </w:pPr>
      <w:r>
        <w:rPr>
          <w:b/>
          <w:bCs/>
        </w:rPr>
        <w:t xml:space="preserve">Finding:</w:t>
      </w:r>
      <w:r>
        <w:t xml:space="preserve"> </w:t>
      </w:r>
      <w:r>
        <w:t xml:space="preserve">The Phase II ESA for the Grand Junction headquarters (the Company’s only owned property) was completed in</w:t>
      </w:r>
      <w:r>
        <w:t xml:space="preserve"> </w:t>
      </w:r>
      <w:r>
        <w:rPr>
          <w:b/>
          <w:bCs/>
        </w:rPr>
        <w:t xml:space="preserve">June 2019</w:t>
      </w:r>
      <w:r>
        <w:t xml:space="preserve"> </w:t>
      </w:r>
      <w:r>
        <w:t xml:space="preserve">— 5.5 years before the target closing date. The ESA identified: (i) petroleum hydrocarbon contamination (TPH-diesel up to 4,200 mg/kg, benzene in groundwater at 12 µg/L); (ii) chlorinated solvent contamination (PCE up to 18 mg/kg in soil, 22 µg/L in groundwater; TCE up to 6.8 mg/kg); and (iii) elevated soil gas concentrations of PCE (450 µg/m³) and TCE (120 µg/m³) adjacent to the vehicle maintenance building — both exceeding EPA Regional Screening Levels.</w:t>
      </w:r>
    </w:p>
    <w:p>
      <w:pPr>
        <w:pStyle w:val="BodyText"/>
      </w:pPr>
      <w:r>
        <w:rPr>
          <w:b/>
          <w:bCs/>
        </w:rPr>
        <w:t xml:space="preserve">Critical Unresolved Issues:</w:t>
      </w:r>
    </w:p>
    <w:p>
      <w:pPr>
        <w:pStyle w:val="Compact"/>
        <w:numPr>
          <w:ilvl w:val="0"/>
          <w:numId w:val="1002"/>
        </w:numPr>
      </w:pPr>
      <w:r>
        <w:rPr>
          <w:b/>
          <w:bCs/>
        </w:rPr>
        <w:t xml:space="preserve">Vapor intrusion:</w:t>
      </w:r>
      <w:r>
        <w:t xml:space="preserve"> </w:t>
      </w:r>
      <w:r>
        <w:t xml:space="preserve">The ESA explicitly recommended a vapor intrusion assessment of the occupied vehicle maintenance building (28,000 sq. ft., daily employee occupancy). This assessment has</w:t>
      </w:r>
      <w:r>
        <w:t xml:space="preserve"> </w:t>
      </w:r>
      <w:r>
        <w:rPr>
          <w:b/>
          <w:bCs/>
        </w:rPr>
        <w:t xml:space="preserve">never been conducted</w:t>
      </w:r>
      <w:r>
        <w:t xml:space="preserve">. If vapor intrusion is confirmed, OSHA occupational health measures and sub-slab depressurization systems may be required, adding cost and potential employee health liability.</w:t>
      </w:r>
    </w:p>
    <w:p>
      <w:pPr>
        <w:pStyle w:val="Compact"/>
        <w:numPr>
          <w:ilvl w:val="0"/>
          <w:numId w:val="1002"/>
        </w:numPr>
      </w:pPr>
      <w:r>
        <w:rPr>
          <w:b/>
          <w:bCs/>
        </w:rPr>
        <w:t xml:space="preserve">Off-site plume migration:</w:t>
      </w:r>
      <w:r>
        <w:t xml:space="preserve"> </w:t>
      </w:r>
      <w:r>
        <w:t xml:space="preserve">The ESA recommended installation of off-site downgradient monitoring wells to confirm plume containment. These wells have</w:t>
      </w:r>
      <w:r>
        <w:t xml:space="preserve"> </w:t>
      </w:r>
      <w:r>
        <w:rPr>
          <w:b/>
          <w:bCs/>
        </w:rPr>
        <w:t xml:space="preserve">never been installed</w:t>
      </w:r>
      <w:r>
        <w:t xml:space="preserve">. The Colorado River is 1.2 miles northwest. If off-site migration is confirmed, remediation scope and cost could increase materially.</w:t>
      </w:r>
    </w:p>
    <w:p>
      <w:pPr>
        <w:pStyle w:val="Compact"/>
        <w:numPr>
          <w:ilvl w:val="0"/>
          <w:numId w:val="1002"/>
        </w:numPr>
      </w:pPr>
      <w:r>
        <w:rPr>
          <w:b/>
          <w:bCs/>
        </w:rPr>
        <w:t xml:space="preserve">Cost estimate currency:</w:t>
      </w:r>
      <w:r>
        <w:t xml:space="preserve"> </w:t>
      </w:r>
      <w:r>
        <w:t xml:space="preserve">The $1.8M–$2.6M remediation estimate is in</w:t>
      </w:r>
      <w:r>
        <w:t xml:space="preserve"> </w:t>
      </w:r>
      <w:r>
        <w:rPr>
          <w:b/>
          <w:bCs/>
        </w:rPr>
        <w:t xml:space="preserve">2019 dollars</w:t>
      </w:r>
      <w:r>
        <w:t xml:space="preserve">. Applying construction cost inflation of ~30–40% since 2019 implies a current-dollar range of approximately</w:t>
      </w:r>
      <w:r>
        <w:t xml:space="preserve"> </w:t>
      </w:r>
      <w:r>
        <w:rPr>
          <w:b/>
          <w:bCs/>
        </w:rPr>
        <w:t xml:space="preserve">$2.3M–$3.6M</w:t>
      </w:r>
      <w:r>
        <w:t xml:space="preserve"> </w:t>
      </w:r>
      <w:r>
        <w:t xml:space="preserve">before any scope expansion for vapor intrusion or off-site migration.</w:t>
      </w:r>
    </w:p>
    <w:p>
      <w:pPr>
        <w:pStyle w:val="Compact"/>
        <w:numPr>
          <w:ilvl w:val="0"/>
          <w:numId w:val="1002"/>
        </w:numPr>
      </w:pPr>
      <w:r>
        <w:rPr>
          <w:b/>
          <w:bCs/>
        </w:rPr>
        <w:t xml:space="preserve">DNAPL risk:</w:t>
      </w:r>
      <w:r>
        <w:t xml:space="preserve"> </w:t>
      </w:r>
      <w:r>
        <w:t xml:space="preserve">The ESA notes that PCE and TCE are dense non-aqueous phase liquids (DNAPLs) that can migrate vertically below the investigation depth, potentially increasing remediation scope significantly.</w:t>
      </w:r>
    </w:p>
    <w:p>
      <w:pPr>
        <w:pStyle w:val="Compact"/>
        <w:numPr>
          <w:ilvl w:val="0"/>
          <w:numId w:val="1002"/>
        </w:numPr>
      </w:pPr>
      <w:r>
        <w:rPr>
          <w:b/>
          <w:bCs/>
        </w:rPr>
        <w:t xml:space="preserve">The ESA itself states</w:t>
      </w:r>
      <w:r>
        <w:t xml:space="preserve"> </w:t>
      </w:r>
      <w:r>
        <w:t xml:space="preserve">it</w:t>
      </w:r>
      <w:r>
        <w:t xml:space="preserve"> </w:t>
      </w:r>
      <w:r>
        <w:t xml:space="preserve">“</w:t>
      </w:r>
      <w:r>
        <w:t xml:space="preserve">should not be relied upon as representative of conditions at any future date without updated investigation</w:t>
      </w:r>
      <w:r>
        <w:t xml:space="preserve">”</w:t>
      </w:r>
      <w:r>
        <w:t xml:space="preserve"> </w:t>
      </w:r>
      <w:r>
        <w:t xml:space="preserve">and expressly recommends updating before any property transaction.</w:t>
      </w:r>
    </w:p>
    <w:p>
      <w:pPr>
        <w:pStyle w:val="FirstParagraph"/>
      </w:pPr>
      <w:r>
        <w:rPr>
          <w:b/>
          <w:bCs/>
        </w:rPr>
        <w:t xml:space="preserve">Action Required:</w:t>
      </w:r>
      <w:r>
        <w:t xml:space="preserve"> </w:t>
      </w:r>
      <w:r>
        <w:t xml:space="preserve">Commission an updated Phase II ESA immediately, including vapor intrusion assessment and off-site monitoring wells. Do not close without current environmental data. Negotiate specific environmental indemnification with extended survival (6 years per LOI) and a separate escrow for environmental claims.</w:t>
      </w:r>
    </w:p>
    <w:p>
      <w:r>
        <w:pict>
          <v:rect style="width:0;height:1.5pt" o:hralign="center" o:hrstd="t" o:hr="t"/>
        </w:pict>
      </w:r>
    </w:p>
    <w:bookmarkEnd w:id="28"/>
    <w:bookmarkStart w:id="29" w:name="X9cb1117be466523e76180fb8e37f4fe30e6fba6"/>
    <w:p>
      <w:pPr>
        <w:pStyle w:val="Heading3"/>
      </w:pPr>
      <w:r>
        <w:t xml:space="preserve">RF-07 | CDPHE Enforcement Action — Active NOV, No Accrual, Disputed Penalty Range |</w:t>
      </w:r>
      <w:r>
        <w:t xml:space="preserve"> </w:t>
      </w:r>
      <w:r>
        <w:rPr>
          <w:b/>
          <w:bCs/>
        </w:rPr>
        <w:t xml:space="preserve">HIGH</w:t>
      </w:r>
    </w:p>
    <w:p>
      <w:pPr>
        <w:pStyle w:val="FirstParagraph"/>
      </w:pPr>
      <w:r>
        <w:rPr>
          <w:b/>
          <w:bCs/>
        </w:rPr>
        <w:t xml:space="preserve">Finding:</w:t>
      </w:r>
      <w:r>
        <w:t xml:space="preserve"> </w:t>
      </w:r>
      <w:r>
        <w:t xml:space="preserve">CDPHE issued a Notice of Violation (Docket No. CDPHE-HW-2024-0093) on July 18, 2024, alleging improper storage of ~14,000 gallons of F001/F002 hazardous waste at the Grand Junction facility. The parties dispute the violation period: RES claims 12 days (maximum penalty $450K); CDPHE claims 31 days (maximum penalty $1.16M).</w:t>
      </w:r>
      <w:r>
        <w:t xml:space="preserve"> </w:t>
      </w:r>
      <w:r>
        <w:rPr>
          <w:b/>
          <w:bCs/>
        </w:rPr>
        <w:t xml:space="preserve">No accrual has been recorded</w:t>
      </w:r>
      <w:r>
        <w:t xml:space="preserve"> </w:t>
      </w:r>
      <w:r>
        <w:t xml:space="preserve">on the balance sheet as of September 30, 2024. The matter is in administrative negotiation with a settlement conference expected in Q1 2025.</w:t>
      </w:r>
    </w:p>
    <w:p>
      <w:pPr>
        <w:pStyle w:val="BodyText"/>
      </w:pPr>
      <w:r>
        <w:rPr>
          <w:b/>
          <w:bCs/>
        </w:rPr>
        <w:t xml:space="preserve">Significance:</w:t>
      </w:r>
      <w:r>
        <w:t xml:space="preserve"> </w:t>
      </w:r>
      <w:r>
        <w:t xml:space="preserve">The penalty is not included in the EBITDA adjustment schedule. The unaccrued exposure of $200K–$1.16M is a real cash cost that will be borne by the business. Under the credit agreement, a governmental order requiring remediation in excess of $1.0M constitutes an Event of Default — the CDPHE maximum penalty position of $1.16M is above this threshold.</w:t>
      </w:r>
    </w:p>
    <w:p>
      <w:pPr>
        <w:pStyle w:val="BodyText"/>
      </w:pPr>
      <w:r>
        <w:rPr>
          <w:b/>
          <w:bCs/>
        </w:rPr>
        <w:t xml:space="preserve">Action Required:</w:t>
      </w:r>
      <w:r>
        <w:t xml:space="preserve"> </w:t>
      </w:r>
      <w:r>
        <w:t xml:space="preserve">Require seller to accrue the midpoint of the estimated range ($325K) before closing. Negotiate specific indemnification for the CDPHE matter with a separate escrow. Confirm with lender whether the NOV constitutes a reportable event under the credit agreement’s affirmative covenants.</w:t>
      </w:r>
    </w:p>
    <w:p>
      <w:r>
        <w:pict>
          <v:rect style="width:0;height:1.5pt" o:hralign="center" o:hrstd="t" o:hr="t"/>
        </w:pict>
      </w:r>
    </w:p>
    <w:bookmarkEnd w:id="29"/>
    <w:bookmarkStart w:id="30" w:name="X33ff18bd5174bb9375e2618ecc7c22adc87b905"/>
    <w:p>
      <w:pPr>
        <w:pStyle w:val="Heading3"/>
      </w:pPr>
      <w:r>
        <w:t xml:space="preserve">RF-08 | Wyoming Permit Expired — Casper Facility Operating Under Timely Renewal |</w:t>
      </w:r>
      <w:r>
        <w:t xml:space="preserve"> </w:t>
      </w:r>
      <w:r>
        <w:rPr>
          <w:b/>
          <w:bCs/>
        </w:rPr>
        <w:t xml:space="preserve">MEDIUM</w:t>
      </w:r>
    </w:p>
    <w:p>
      <w:pPr>
        <w:pStyle w:val="FirstParagraph"/>
      </w:pPr>
      <w:r>
        <w:rPr>
          <w:b/>
          <w:bCs/>
        </w:rPr>
        <w:t xml:space="preserve">Finding:</w:t>
      </w:r>
      <w:r>
        <w:t xml:space="preserve"> </w:t>
      </w:r>
      <w:r>
        <w:t xml:space="preserve">Wyoming Hazardous Waste Permit WY-HW-2019-033 for the Casper facility expired</w:t>
      </w:r>
      <w:r>
        <w:t xml:space="preserve"> </w:t>
      </w:r>
      <w:r>
        <w:rPr>
          <w:b/>
          <w:bCs/>
        </w:rPr>
        <w:t xml:space="preserve">November 30, 2024</w:t>
      </w:r>
      <w:r>
        <w:t xml:space="preserve">. A renewal application was filed October 15, 2024. The facility is currently operating under</w:t>
      </w:r>
      <w:r>
        <w:t xml:space="preserve"> </w:t>
      </w:r>
      <w:r>
        <w:t xml:space="preserve">“</w:t>
      </w:r>
      <w:r>
        <w:t xml:space="preserve">timely renewal provisions.</w:t>
      </w:r>
      <w:r>
        <w:t xml:space="preserve">”</w:t>
      </w:r>
      <w:r>
        <w:t xml:space="preserve"> </w:t>
      </w:r>
      <w:r>
        <w:t xml:space="preserve">The credit agreement lists permit revocation or non-renewal as an Event of Default.</w:t>
      </w:r>
    </w:p>
    <w:p>
      <w:pPr>
        <w:pStyle w:val="BodyText"/>
      </w:pPr>
      <w:r>
        <w:rPr>
          <w:b/>
          <w:bCs/>
        </w:rPr>
        <w:t xml:space="preserve">Significance:</w:t>
      </w:r>
      <w:r>
        <w:t xml:space="preserve"> </w:t>
      </w:r>
      <w:r>
        <w:t xml:space="preserve">While timely renewal provisions are standard and the renewal is expected in Q1 2025, the permit is technically expired at the time of this review. Any regulatory complication during the renewal process (e.g., CDPHE enforcement action creating cross-state scrutiny) could delay renewal and trigger a credit agreement default.</w:t>
      </w:r>
    </w:p>
    <w:p>
      <w:pPr>
        <w:pStyle w:val="BodyText"/>
      </w:pPr>
      <w:r>
        <w:rPr>
          <w:b/>
          <w:bCs/>
        </w:rPr>
        <w:t xml:space="preserve">Action Required:</w:t>
      </w:r>
      <w:r>
        <w:t xml:space="preserve"> </w:t>
      </w:r>
      <w:r>
        <w:t xml:space="preserve">Obtain written confirmation from Wyoming DEQ of the timely renewal status and expected renewal timeline. Make renewal a closing condition or obtain lender waiver.</w:t>
      </w:r>
    </w:p>
    <w:p>
      <w:r>
        <w:pict>
          <v:rect style="width:0;height:1.5pt" o:hralign="center" o:hrstd="t" o:hr="t"/>
        </w:pict>
      </w:r>
    </w:p>
    <w:bookmarkEnd w:id="30"/>
    <w:bookmarkEnd w:id="31"/>
    <w:bookmarkStart w:id="35" w:name="iv.-commercial-customer-red-flags"/>
    <w:p>
      <w:pPr>
        <w:pStyle w:val="Heading2"/>
      </w:pPr>
      <w:r>
        <w:t xml:space="preserve">IV. Commercial / Customer Red Flags</w:t>
      </w:r>
    </w:p>
    <w:bookmarkStart w:id="32" w:name="Xf0ee5f3c950916847b43f5bf9277dc54dbf08bf"/>
    <w:p>
      <w:pPr>
        <w:pStyle w:val="Heading3"/>
      </w:pPr>
      <w:r>
        <w:t xml:space="preserve">RF-09 | DOE Contract Non-Assignability and Novation Risk |</w:t>
      </w:r>
      <w:r>
        <w:t xml:space="preserve"> </w:t>
      </w:r>
      <w:r>
        <w:rPr>
          <w:b/>
          <w:bCs/>
        </w:rPr>
        <w:t xml:space="preserve">HIGH</w:t>
      </w:r>
    </w:p>
    <w:p>
      <w:pPr>
        <w:pStyle w:val="FirstParagraph"/>
      </w:pPr>
      <w:r>
        <w:rPr>
          <w:b/>
          <w:bCs/>
        </w:rPr>
        <w:t xml:space="preserve">Finding:</w:t>
      </w:r>
      <w:r>
        <w:t xml:space="preserve"> </w:t>
      </w:r>
      <w:r>
        <w:t xml:space="preserve">DOE Contract No. DE-EM-0005523 is subject to the Anti-Assignment Act (41 U.S.C. § 6305) and FAR 42.12. The contract’s Section H, Clause H-12 requires written notification to the Contracting Officer within 30 days of any change in ownership. While a stock acquisition may not technically constitute an assignment, a novation agreement may be required. Failure to notify is grounds for termination for default. The contract represents $24.4M (19.2%) of TTM revenue.</w:t>
      </w:r>
    </w:p>
    <w:p>
      <w:pPr>
        <w:pStyle w:val="BodyText"/>
      </w:pPr>
      <w:r>
        <w:rPr>
          <w:b/>
          <w:bCs/>
        </w:rPr>
        <w:t xml:space="preserve">Action Required:</w:t>
      </w:r>
      <w:r>
        <w:t xml:space="preserve"> </w:t>
      </w:r>
      <w:r>
        <w:t xml:space="preserve">Engage DOE Contracting Officer pre-signing to confirm novation requirements and obtain written comfort regarding contract continuity post-closing. Make DOE notification/novation a closing condition.</w:t>
      </w:r>
    </w:p>
    <w:p>
      <w:r>
        <w:pict>
          <v:rect style="width:0;height:1.5pt" o:hralign="center" o:hrstd="t" o:hr="t"/>
        </w:pict>
      </w:r>
    </w:p>
    <w:bookmarkEnd w:id="32"/>
    <w:bookmarkStart w:id="33" w:name="X2513393434f784fa4086a309c5f2c43362d1282"/>
    <w:p>
      <w:pPr>
        <w:pStyle w:val="Heading3"/>
      </w:pPr>
      <w:r>
        <w:t xml:space="preserve">RF-10 | Salt Lake City Facility — Cascading Consent Failures Threatening $16.2M of Revenue |</w:t>
      </w:r>
      <w:r>
        <w:t xml:space="preserve"> </w:t>
      </w:r>
      <w:r>
        <w:rPr>
          <w:b/>
          <w:bCs/>
        </w:rPr>
        <w:t xml:space="preserve">CRITICAL</w:t>
      </w:r>
    </w:p>
    <w:p>
      <w:pPr>
        <w:pStyle w:val="FirstParagraph"/>
      </w:pPr>
      <w:r>
        <w:rPr>
          <w:b/>
          <w:bCs/>
        </w:rPr>
        <w:t xml:space="preserve">Finding:</w:t>
      </w:r>
      <w:r>
        <w:t xml:space="preserve"> </w:t>
      </w:r>
      <w:r>
        <w:t xml:space="preserve">The Salt Lake City transfer station (2100 West North Temple) is the nexus of multiple unresolved issues:</w:t>
      </w:r>
    </w:p>
    <w:p>
      <w:pPr>
        <w:pStyle w:val="Compact"/>
        <w:numPr>
          <w:ilvl w:val="0"/>
          <w:numId w:val="1003"/>
        </w:numPr>
      </w:pPr>
      <w:r>
        <w:rPr>
          <w:b/>
          <w:bCs/>
        </w:rPr>
        <w:t xml:space="preserve">Lease assignment:</w:t>
      </w:r>
      <w:r>
        <w:t xml:space="preserve"> </w:t>
      </w:r>
      <w:r>
        <w:t xml:space="preserve">The lease (originally between Wasatch Industrial Properties and Pinnacle Waste Solutions, LLC) requires landlord consent for any change of control. RES requested consent on April 12, 2022 —</w:t>
      </w:r>
      <w:r>
        <w:t xml:space="preserve"> </w:t>
      </w:r>
      <w:r>
        <w:rPr>
          <w:b/>
          <w:bCs/>
        </w:rPr>
        <w:t xml:space="preserve">over 2.5 years ago</w:t>
      </w:r>
      <w:r>
        <w:t xml:space="preserve"> </w:t>
      </w:r>
      <w:r>
        <w:t xml:space="preserve">— and has received no response. The landlord recently sent a</w:t>
      </w:r>
      <w:r>
        <w:t xml:space="preserve"> </w:t>
      </w:r>
      <w:r>
        <w:t xml:space="preserve">“</w:t>
      </w:r>
      <w:r>
        <w:t xml:space="preserve">lease compliance inquiry</w:t>
      </w:r>
      <w:r>
        <w:t xml:space="preserve">”</w:t>
      </w:r>
      <w:r>
        <w:t xml:space="preserve"> </w:t>
      </w:r>
      <w:r>
        <w:t xml:space="preserve">(November 2024) questioning the current tenant of record, suggesting awareness of the issue.</w:t>
      </w:r>
    </w:p>
    <w:p>
      <w:pPr>
        <w:pStyle w:val="Compact"/>
        <w:numPr>
          <w:ilvl w:val="0"/>
          <w:numId w:val="1003"/>
        </w:numPr>
      </w:pPr>
      <w:r>
        <w:rPr>
          <w:b/>
          <w:bCs/>
        </w:rPr>
        <w:t xml:space="preserve">Proposed transaction:</w:t>
      </w:r>
      <w:r>
        <w:t xml:space="preserve"> </w:t>
      </w:r>
      <w:r>
        <w:t xml:space="preserve">The Sycamore acquisition would constitute a</w:t>
      </w:r>
      <w:r>
        <w:t xml:space="preserve"> </w:t>
      </w:r>
      <w:r>
        <w:rPr>
          <w:i/>
          <w:iCs/>
        </w:rPr>
        <w:t xml:space="preserve">second</w:t>
      </w:r>
      <w:r>
        <w:t xml:space="preserve"> </w:t>
      </w:r>
      <w:r>
        <w:t xml:space="preserve">change-of-control event on top of the unresolved first one, potentially requiring fresh consent.</w:t>
      </w:r>
    </w:p>
    <w:p>
      <w:pPr>
        <w:pStyle w:val="Compact"/>
        <w:numPr>
          <w:ilvl w:val="0"/>
          <w:numId w:val="1003"/>
        </w:numPr>
      </w:pPr>
      <w:r>
        <w:rPr>
          <w:b/>
          <w:bCs/>
        </w:rPr>
        <w:t xml:space="preserve">Permit not transferred:</w:t>
      </w:r>
      <w:r>
        <w:t xml:space="preserve"> </w:t>
      </w:r>
      <w:r>
        <w:t xml:space="preserve">Utah Hazardous Waste Permit UTH-0441 remains in the name of Pinnacle Waste Solutions, LLC. The transfer application has been pending since 2022.</w:t>
      </w:r>
    </w:p>
    <w:p>
      <w:pPr>
        <w:pStyle w:val="Compact"/>
        <w:numPr>
          <w:ilvl w:val="0"/>
          <w:numId w:val="1003"/>
        </w:numPr>
      </w:pPr>
      <w:r>
        <w:rPr>
          <w:b/>
          <w:bCs/>
        </w:rPr>
        <w:t xml:space="preserve">Revenue at risk:</w:t>
      </w:r>
      <w:r>
        <w:t xml:space="preserve"> </w:t>
      </w:r>
      <w:r>
        <w:t xml:space="preserve">Customers served from this facility include Wasatch Front Petroleum ($6.4M), Silver Creek Mining ($5.8M), Utah DEQ ($4.6M), Summit County ($2.9M), Uinta Basin Oil &amp; Gas ($0.2M), and Bear River Chemical ($1.7M) — approximately</w:t>
      </w:r>
      <w:r>
        <w:t xml:space="preserve"> </w:t>
      </w:r>
      <w:r>
        <w:rPr>
          <w:b/>
          <w:bCs/>
        </w:rPr>
        <w:t xml:space="preserve">$16.2M (12.7%) of total revenue</w:t>
      </w:r>
      <w:r>
        <w:t xml:space="preserve">.</w:t>
      </w:r>
    </w:p>
    <w:p>
      <w:pPr>
        <w:pStyle w:val="FirstParagraph"/>
      </w:pPr>
      <w:r>
        <w:rPr>
          <w:b/>
          <w:bCs/>
        </w:rPr>
        <w:t xml:space="preserve">Action Required:</w:t>
      </w:r>
      <w:r>
        <w:t xml:space="preserve"> </w:t>
      </w:r>
      <w:r>
        <w:t xml:space="preserve">Obtain landlord consent to both the existing Pinnacle-to-RES assignment and the proposed Sycamore acquisition before closing. Complete Utah permit transfer. Make both items hard closing conditions. Assess termination risk if landlord withholds consent.</w:t>
      </w:r>
    </w:p>
    <w:p>
      <w:r>
        <w:pict>
          <v:rect style="width:0;height:1.5pt" o:hralign="center" o:hrstd="t" o:hr="t"/>
        </w:pict>
      </w:r>
    </w:p>
    <w:bookmarkEnd w:id="33"/>
    <w:bookmarkStart w:id="34" w:name="Xb6ac0e1342e695f4dbf561cfc7b4a521a96073d"/>
    <w:p>
      <w:pPr>
        <w:pStyle w:val="Heading3"/>
      </w:pPr>
      <w:r>
        <w:t xml:space="preserve">RF-11 | Customer Concentration — Top 5 Customers = 50.4% of Revenue, Multiple Short Termination Windows |</w:t>
      </w:r>
      <w:r>
        <w:t xml:space="preserve"> </w:t>
      </w:r>
      <w:r>
        <w:rPr>
          <w:b/>
          <w:bCs/>
        </w:rPr>
        <w:t xml:space="preserve">HIGH</w:t>
      </w:r>
    </w:p>
    <w:p>
      <w:pPr>
        <w:pStyle w:val="FirstParagraph"/>
      </w:pPr>
      <w:r>
        <w:rPr>
          <w:b/>
          <w:bCs/>
        </w:rPr>
        <w:t xml:space="preserve">Finding:</w:t>
      </w:r>
      <w:r>
        <w:t xml:space="preserve"> </w:t>
      </w:r>
      <w:r>
        <w:t xml:space="preserve">The top 5 customers account for 50.4% of TTM revenue ($64.1M). Twelve of the top 20 contracts include termination for convenience clauses with notice periods of ≤60 days. Eight contracts contain assignment, change-of-control, or notification provisions triggered by the proposed transaction. The CMMC MSA (11.4% of revenue, $14.5M) has a 60-day termination for convenience clause and no minimum volume commitments.</w:t>
      </w:r>
    </w:p>
    <w:p>
      <w:pPr>
        <w:pStyle w:val="BodyText"/>
      </w:pPr>
      <w:r>
        <w:rPr>
          <w:b/>
          <w:bCs/>
        </w:rPr>
        <w:t xml:space="preserve">Action Required:</w:t>
      </w:r>
      <w:r>
        <w:t xml:space="preserve"> </w:t>
      </w:r>
      <w:r>
        <w:t xml:space="preserve">Conduct customer reference calls with top 5 customers. Confirm no customer has been notified of the transaction or is contemplating non-renewal. Obtain estoppel letters or comfort letters from key customers where possible.</w:t>
      </w:r>
    </w:p>
    <w:p>
      <w:r>
        <w:pict>
          <v:rect style="width:0;height:1.5pt" o:hralign="center" o:hrstd="t" o:hr="t"/>
        </w:pict>
      </w:r>
    </w:p>
    <w:bookmarkEnd w:id="34"/>
    <w:bookmarkEnd w:id="35"/>
    <w:bookmarkStart w:id="37" w:name="v.-real-property-permitting-red-flags"/>
    <w:p>
      <w:pPr>
        <w:pStyle w:val="Heading2"/>
      </w:pPr>
      <w:r>
        <w:t xml:space="preserve">V. Real Property &amp; Permitting Red Flags</w:t>
      </w:r>
    </w:p>
    <w:bookmarkStart w:id="36" w:name="X21818e6d99a84a431aaad93f3cd873b9bfb392f"/>
    <w:p>
      <w:pPr>
        <w:pStyle w:val="Heading3"/>
      </w:pPr>
      <w:r>
        <w:t xml:space="preserve">RF-12 | Lease Consent Requirements — 7 of 10 Leases Require Landlord Consent for Proposed Transaction |</w:t>
      </w:r>
      <w:r>
        <w:t xml:space="preserve"> </w:t>
      </w:r>
      <w:r>
        <w:rPr>
          <w:b/>
          <w:bCs/>
        </w:rPr>
        <w:t xml:space="preserve">HIGH</w:t>
      </w:r>
    </w:p>
    <w:p>
      <w:pPr>
        <w:pStyle w:val="FirstParagraph"/>
      </w:pPr>
      <w:r>
        <w:rPr>
          <w:b/>
          <w:bCs/>
        </w:rPr>
        <w:t xml:space="preserve">Finding:</w:t>
      </w:r>
      <w:r>
        <w:t xml:space="preserve"> </w:t>
      </w:r>
      <w:r>
        <w:t xml:space="preserve">Seven of the ten leased facilities require landlord consent for assignment or change of control in connection with the proposed Sycamore acquisition. In addition to the Salt Lake City issue (RF-10), the Pueblo Storage Yard lease expires</w:t>
      </w:r>
      <w:r>
        <w:t xml:space="preserve"> </w:t>
      </w:r>
      <w:r>
        <w:rPr>
          <w:b/>
          <w:bCs/>
        </w:rPr>
        <w:t xml:space="preserve">April 30, 2025</w:t>
      </w:r>
      <w:r>
        <w:t xml:space="preserve"> </w:t>
      </w:r>
      <w:r>
        <w:t xml:space="preserve">— on or about the target closing date — and renewal negotiations are ongoing. The Rock Springs Field Office lease (expiring October 31, 2026) has no renewal options.</w:t>
      </w:r>
    </w:p>
    <w:p>
      <w:pPr>
        <w:pStyle w:val="BodyText"/>
      </w:pPr>
      <w:r>
        <w:rPr>
          <w:b/>
          <w:bCs/>
        </w:rPr>
        <w:t xml:space="preserve">Action Required:</w:t>
      </w:r>
      <w:r>
        <w:t xml:space="preserve"> </w:t>
      </w:r>
      <w:r>
        <w:t xml:space="preserve">Prepare a consent matrix and begin landlord outreach immediately. Prioritize Salt Lake City, Ogden, Casper, and Billings. Make material lease consents a closing condition.</w:t>
      </w:r>
    </w:p>
    <w:p>
      <w:r>
        <w:pict>
          <v:rect style="width:0;height:1.5pt" o:hralign="center" o:hrstd="t" o:hr="t"/>
        </w:pict>
      </w:r>
    </w:p>
    <w:bookmarkEnd w:id="36"/>
    <w:bookmarkEnd w:id="37"/>
    <w:bookmarkStart w:id="40" w:name="vi.-legal-litigation-red-flags"/>
    <w:p>
      <w:pPr>
        <w:pStyle w:val="Heading2"/>
      </w:pPr>
      <w:r>
        <w:t xml:space="preserve">VI. Legal &amp; Litigation Red Flags</w:t>
      </w:r>
    </w:p>
    <w:bookmarkStart w:id="38" w:name="X4c7a0e10bc2ef19f0fe1c977678bc8d48ef1e32"/>
    <w:p>
      <w:pPr>
        <w:pStyle w:val="Heading3"/>
      </w:pPr>
      <w:r>
        <w:t xml:space="preserve">RF-13 | Ramirez Personal Injury Claim — Insurance Coverage Uncertain, $4.8M Demand |</w:t>
      </w:r>
      <w:r>
        <w:t xml:space="preserve"> </w:t>
      </w:r>
      <w:r>
        <w:rPr>
          <w:b/>
          <w:bCs/>
        </w:rPr>
        <w:t xml:space="preserve">HIGH</w:t>
      </w:r>
    </w:p>
    <w:p>
      <w:pPr>
        <w:pStyle w:val="FirstParagraph"/>
      </w:pPr>
      <w:r>
        <w:rPr>
          <w:b/>
          <w:bCs/>
        </w:rPr>
        <w:t xml:space="preserve">Finding:</w:t>
      </w:r>
      <w:r>
        <w:t xml:space="preserve"> </w:t>
      </w:r>
      <w:r>
        <w:t xml:space="preserve">Miguel Ramirez (former field technician) filed suit on August 12, 2024 (Case No. 2:24-cv-00187, D. Wyo.) alleging VOC and heavy metal exposure at a Sheridan, WY remediation site, seeking $4.8M including punitive damages. The insurer (Frontier Specialty) has issued a</w:t>
      </w:r>
      <w:r>
        <w:t xml:space="preserve"> </w:t>
      </w:r>
      <w:r>
        <w:rPr>
          <w:b/>
          <w:bCs/>
        </w:rPr>
        <w:t xml:space="preserve">reservation of rights letter</w:t>
      </w:r>
      <w:r>
        <w:t xml:space="preserve"> </w:t>
      </w:r>
      <w:r>
        <w:t xml:space="preserve">dated September 19, 2024. Coverage determination is pending. No accrual has been recorded.</w:t>
      </w:r>
    </w:p>
    <w:p>
      <w:pPr>
        <w:pStyle w:val="BodyText"/>
      </w:pPr>
      <w:r>
        <w:rPr>
          <w:b/>
          <w:bCs/>
        </w:rPr>
        <w:t xml:space="preserve">Significance:</w:t>
      </w:r>
      <w:r>
        <w:t xml:space="preserve"> </w:t>
      </w:r>
      <w:r>
        <w:t xml:space="preserve">If coverage is denied under both the CGL and pollution liability policies, the Company bears the full defense cost and any judgment. The $4.8M demand exceeds the credit agreement’s $1.0M judgment threshold for Events of Default. The reservation of rights also raises questions about the adequacy of the Company’s safety protocols at the Sheridan site.</w:t>
      </w:r>
    </w:p>
    <w:p>
      <w:pPr>
        <w:pStyle w:val="BodyText"/>
      </w:pPr>
      <w:r>
        <w:rPr>
          <w:b/>
          <w:bCs/>
        </w:rPr>
        <w:t xml:space="preserve">Action Required:</w:t>
      </w:r>
      <w:r>
        <w:t xml:space="preserve"> </w:t>
      </w:r>
      <w:r>
        <w:t xml:space="preserve">Obtain copies of the reservation of rights letter and the insurer’s coverage analysis. Require seller to provide indemnification for this matter with a specific escrow allocation. Confirm OSHA compliance at the Sheridan site.</w:t>
      </w:r>
    </w:p>
    <w:p>
      <w:r>
        <w:pict>
          <v:rect style="width:0;height:1.5pt" o:hralign="center" o:hrstd="t" o:hr="t"/>
        </w:pict>
      </w:r>
    </w:p>
    <w:bookmarkEnd w:id="38"/>
    <w:bookmarkStart w:id="39" w:name="Xf97bd05972d0dc6aae6190ba0e265e88e28d994"/>
    <w:p>
      <w:pPr>
        <w:pStyle w:val="Heading3"/>
      </w:pPr>
      <w:r>
        <w:t xml:space="preserve">RF-14 | Asbestos Long-Tail Exposure — Pre-2015 Work Not Covered by Current Policy |</w:t>
      </w:r>
      <w:r>
        <w:t xml:space="preserve"> </w:t>
      </w:r>
      <w:r>
        <w:rPr>
          <w:b/>
          <w:bCs/>
        </w:rPr>
        <w:t xml:space="preserve">HIGH</w:t>
      </w:r>
    </w:p>
    <w:p>
      <w:pPr>
        <w:pStyle w:val="FirstParagraph"/>
      </w:pPr>
      <w:r>
        <w:rPr>
          <w:b/>
          <w:bCs/>
        </w:rPr>
        <w:t xml:space="preserve">Finding:</w:t>
      </w:r>
      <w:r>
        <w:t xml:space="preserve"> </w:t>
      </w:r>
      <w:r>
        <w:t xml:space="preserve">RES operated an asbestos abatement service line from 2012 through September 30, 2023, performing work at approximately 145 commercial and industrial sites across CO, UT, and WY. The current Pollution Legal Liability policy has a</w:t>
      </w:r>
      <w:r>
        <w:t xml:space="preserve"> </w:t>
      </w:r>
      <w:r>
        <w:rPr>
          <w:b/>
          <w:bCs/>
        </w:rPr>
        <w:t xml:space="preserve">retroactive date of January 1, 2015</w:t>
      </w:r>
      <w:r>
        <w:t xml:space="preserve">, meaning work performed from 2012–2014 is not covered. The CGL policy contains a</w:t>
      </w:r>
      <w:r>
        <w:t xml:space="preserve"> </w:t>
      </w:r>
      <w:r>
        <w:rPr>
          <w:b/>
          <w:bCs/>
        </w:rPr>
        <w:t xml:space="preserve">blanket asbestos exclusion</w:t>
      </w:r>
      <w:r>
        <w:t xml:space="preserve">. No tail coverage has been procured for completed asbestos operations. Two workers’ compensation claims from former asbestos abatement employees remain open (filed 2021 and 2022), alleging occupational respiratory exposure.</w:t>
      </w:r>
    </w:p>
    <w:p>
      <w:pPr>
        <w:pStyle w:val="BodyText"/>
      </w:pPr>
      <w:r>
        <w:rPr>
          <w:b/>
          <w:bCs/>
        </w:rPr>
        <w:t xml:space="preserve">Significance:</w:t>
      </w:r>
      <w:r>
        <w:t xml:space="preserve"> </w:t>
      </w:r>
      <w:r>
        <w:t xml:space="preserve">Asbestos-related bodily injury claims can have latency periods of 10–40 years. The 2012–2014 gap in coverage represents uninsured exposure. The two open WC claims are a leading indicator of potential future claims.</w:t>
      </w:r>
    </w:p>
    <w:p>
      <w:pPr>
        <w:pStyle w:val="BodyText"/>
      </w:pPr>
      <w:r>
        <w:rPr>
          <w:b/>
          <w:bCs/>
        </w:rPr>
        <w:t xml:space="preserve">Action Required:</w:t>
      </w:r>
      <w:r>
        <w:t xml:space="preserve"> </w:t>
      </w:r>
      <w:r>
        <w:t xml:space="preserve">Require seller to procure an asbestos completed operations tail policy covering the 2012–2014 period as a condition of closing, or negotiate a specific indemnification escrow for asbestos claims with a 10-year survival period. Obtain full details on the two open WC claims.</w:t>
      </w:r>
    </w:p>
    <w:p>
      <w:r>
        <w:pict>
          <v:rect style="width:0;height:1.5pt" o:hralign="center" o:hrstd="t" o:hr="t"/>
        </w:pict>
      </w:r>
    </w:p>
    <w:bookmarkEnd w:id="39"/>
    <w:bookmarkEnd w:id="40"/>
    <w:bookmarkStart w:id="42" w:name="vii.-human-capital-governance-red-flags"/>
    <w:p>
      <w:pPr>
        <w:pStyle w:val="Heading2"/>
      </w:pPr>
      <w:r>
        <w:t xml:space="preserve">VII. Human Capital &amp; Governance Red Flags</w:t>
      </w:r>
    </w:p>
    <w:bookmarkStart w:id="41" w:name="Xcd1681451eee6bac060ac25301df381a829e842"/>
    <w:p>
      <w:pPr>
        <w:pStyle w:val="Heading3"/>
      </w:pPr>
      <w:r>
        <w:t xml:space="preserve">RF-15 | Change-of-Control Severance — $3.775M Obligation, Single-Trigger for Founders, Allocation Unresolved |</w:t>
      </w:r>
      <w:r>
        <w:t xml:space="preserve"> </w:t>
      </w:r>
      <w:r>
        <w:rPr>
          <w:b/>
          <w:bCs/>
        </w:rPr>
        <w:t xml:space="preserve">HIGH</w:t>
      </w:r>
    </w:p>
    <w:p>
      <w:pPr>
        <w:pStyle w:val="FirstParagraph"/>
      </w:pPr>
      <w:r>
        <w:rPr>
          <w:b/>
          <w:bCs/>
        </w:rPr>
        <w:t xml:space="preserve">Finding:</w:t>
      </w:r>
      <w:r>
        <w:t xml:space="preserve"> </w:t>
      </w:r>
      <w:r>
        <w:t xml:space="preserve">All five executive employment agreements contain change-of-control severance provisions totaling</w:t>
      </w:r>
      <w:r>
        <w:t xml:space="preserve"> </w:t>
      </w:r>
      <w:r>
        <w:rPr>
          <w:b/>
          <w:bCs/>
        </w:rPr>
        <w:t xml:space="preserve">$3.775M</w:t>
      </w:r>
      <w:r>
        <w:t xml:space="preserve">. The Calloway brothers’ agreements are</w:t>
      </w:r>
      <w:r>
        <w:t xml:space="preserve"> </w:t>
      </w:r>
      <w:r>
        <w:rPr>
          <w:b/>
          <w:bCs/>
        </w:rPr>
        <w:t xml:space="preserve">single-trigger</w:t>
      </w:r>
      <w:r>
        <w:t xml:space="preserve"> </w:t>
      </w:r>
      <w:r>
        <w:t xml:space="preserve">— $2.625M is payable within 30 days of closing regardless of post-closing employment status. The remaining $1.15M (CFO, VP Ops, VP BD) is double-trigger. The LOI’s definition of</w:t>
      </w:r>
      <w:r>
        <w:t xml:space="preserve"> </w:t>
      </w:r>
      <w:r>
        <w:t xml:space="preserve">“</w:t>
      </w:r>
      <w:r>
        <w:t xml:space="preserve">Transaction Expenses</w:t>
      </w:r>
      <w:r>
        <w:t xml:space="preserve">”</w:t>
      </w:r>
      <w:r>
        <w:t xml:space="preserve"> </w:t>
      </w:r>
      <w:r>
        <w:t xml:space="preserve">does not explicitly address these severance obligations, and the data room notes that</w:t>
      </w:r>
      <w:r>
        <w:t xml:space="preserve"> </w:t>
      </w:r>
      <w:r>
        <w:t xml:space="preserve">“</w:t>
      </w:r>
      <w:r>
        <w:t xml:space="preserve">classification of these payments (seller transaction expense vs. buyer-borne cost) has not been addressed in the LOI.</w:t>
      </w:r>
      <w:r>
        <w:t xml:space="preserve">”</w:t>
      </w:r>
    </w:p>
    <w:p>
      <w:pPr>
        <w:pStyle w:val="BodyText"/>
      </w:pPr>
      <w:r>
        <w:rPr>
          <w:b/>
          <w:bCs/>
        </w:rPr>
        <w:t xml:space="preserve">Additional Concern:</w:t>
      </w:r>
      <w:r>
        <w:t xml:space="preserve"> </w:t>
      </w:r>
      <w:r>
        <w:t xml:space="preserve">The Employee Benefits Summary discloses (in a footnote) that an</w:t>
      </w:r>
      <w:r>
        <w:t xml:space="preserve"> </w:t>
      </w:r>
      <w:r>
        <w:rPr>
          <w:b/>
          <w:bCs/>
        </w:rPr>
        <w:t xml:space="preserve">NLRB election petition</w:t>
      </w:r>
      <w:r>
        <w:t xml:space="preserve"> </w:t>
      </w:r>
      <w:r>
        <w:t xml:space="preserve">was filed November 4, 2024 by the International Brotherhood of Teamsters Local 455, covering 62 field technicians at Grand Junction and Casper. This is not disclosed in the CIM or the Litigation and Regulatory Summary. Unionization of these employees could materially increase labor costs and operational complexity.</w:t>
      </w:r>
    </w:p>
    <w:p>
      <w:pPr>
        <w:pStyle w:val="BodyText"/>
      </w:pPr>
      <w:r>
        <w:rPr>
          <w:b/>
          <w:bCs/>
        </w:rPr>
        <w:t xml:space="preserve">Action Required:</w:t>
      </w:r>
      <w:r>
        <w:t xml:space="preserve"> </w:t>
      </w:r>
      <w:r>
        <w:t xml:space="preserve">Confirm that the $2.625M single-trigger severance is treated as a seller transaction expense and deducted from the purchase price at closing. Obtain full details on the NLRB petition and assess unionization risk. Evaluate whether the NLRB petition constitutes a material adverse change or a required disclosure under the LOI’s conduct-of-business covenants.</w:t>
      </w:r>
    </w:p>
    <w:p>
      <w:r>
        <w:pict>
          <v:rect style="width:0;height:1.5pt" o:hralign="center" o:hrstd="t" o:hr="t"/>
        </w:pict>
      </w:r>
    </w:p>
    <w:bookmarkEnd w:id="41"/>
    <w:bookmarkEnd w:id="42"/>
    <w:bookmarkStart w:id="43" w:name="viii.-summary-risk-matrix"/>
    <w:p>
      <w:pPr>
        <w:pStyle w:val="Heading2"/>
      </w:pPr>
      <w:r>
        <w:t xml:space="preserve">VIII. Summary Risk Matrix</w:t>
      </w:r>
    </w:p>
    <w:tbl>
      <w:tblPr>
        <w:tblStyle w:val="Table"/>
        <w:tblW w:type="pct" w:w="5000"/>
        <w:jc w:val="left"/>
        <w:tblLayout w:type="fixed"/>
        <w:tblLook w:firstRow="1" w:lastRow="0" w:firstColumn="0" w:lastColumn="0" w:noHBand="0" w:noVBand="0" w:val="0020"/>
      </w:tblPr>
      <w:tblGrid>
        <w:gridCol w:w="416"/>
        <w:gridCol w:w="1389"/>
        <w:gridCol w:w="1389"/>
        <w:gridCol w:w="1389"/>
        <w:gridCol w:w="3334"/>
      </w:tblGrid>
      <w:tr>
        <w:trPr>
          <w:tblHeader w:val="on"/>
        </w:trPr>
        <w:tc>
          <w:tcPr/>
          <w:p>
            <w:pPr>
              <w:pStyle w:val="Compact"/>
              <w:jc w:val="left"/>
            </w:pPr>
            <w:r>
              <w:t xml:space="preserve">#</w:t>
            </w:r>
          </w:p>
        </w:tc>
        <w:tc>
          <w:tcPr/>
          <w:p>
            <w:pPr>
              <w:pStyle w:val="Compact"/>
              <w:jc w:val="left"/>
            </w:pPr>
            <w:r>
              <w:t xml:space="preserve">Red Flag</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Est. Financial Exposure</w:t>
            </w:r>
          </w:p>
        </w:tc>
      </w:tr>
      <w:tr>
        <w:tc>
          <w:tcPr/>
          <w:p>
            <w:pPr>
              <w:pStyle w:val="Compact"/>
              <w:jc w:val="left"/>
            </w:pPr>
            <w:r>
              <w:t xml:space="preserve">RF-01</w:t>
            </w:r>
          </w:p>
        </w:tc>
        <w:tc>
          <w:tcPr/>
          <w:p>
            <w:pPr>
              <w:pStyle w:val="Compact"/>
              <w:jc w:val="left"/>
            </w:pPr>
            <w:r>
              <w:t xml:space="preserve">Adjusted EBITDA $1.0M discrepancy</w:t>
            </w:r>
          </w:p>
        </w:tc>
        <w:tc>
          <w:tcPr/>
          <w:p>
            <w:pPr>
              <w:pStyle w:val="Compact"/>
              <w:jc w:val="left"/>
            </w:pPr>
            <w:r>
              <w:t xml:space="preserve">Financial / QoE</w:t>
            </w:r>
          </w:p>
        </w:tc>
        <w:tc>
          <w:tcPr/>
          <w:p>
            <w:pPr>
              <w:pStyle w:val="Compact"/>
              <w:jc w:val="left"/>
            </w:pPr>
            <w:r>
              <w:rPr>
                <w:b/>
                <w:bCs/>
              </w:rPr>
              <w:t xml:space="preserve">Critical</w:t>
            </w:r>
          </w:p>
        </w:tc>
        <w:tc>
          <w:tcPr/>
          <w:p>
            <w:pPr>
              <w:pStyle w:val="Compact"/>
              <w:jc w:val="left"/>
            </w:pPr>
            <w:r>
              <w:t xml:space="preserve">$8–9M valuation impact</w:t>
            </w:r>
          </w:p>
        </w:tc>
      </w:tr>
      <w:tr>
        <w:tc>
          <w:tcPr/>
          <w:p>
            <w:pPr>
              <w:pStyle w:val="Compact"/>
              <w:jc w:val="left"/>
            </w:pPr>
            <w:r>
              <w:t xml:space="preserve">RF-02</w:t>
            </w:r>
          </w:p>
        </w:tc>
        <w:tc>
          <w:tcPr/>
          <w:p>
            <w:pPr>
              <w:pStyle w:val="Compact"/>
              <w:jc w:val="left"/>
            </w:pPr>
            <w:r>
              <w:t xml:space="preserve">Aggressive / questionable add-backs</w:t>
            </w:r>
          </w:p>
        </w:tc>
        <w:tc>
          <w:tcPr/>
          <w:p>
            <w:pPr>
              <w:pStyle w:val="Compact"/>
              <w:jc w:val="left"/>
            </w:pPr>
            <w:r>
              <w:t xml:space="preserve">Financial / QoE</w:t>
            </w:r>
          </w:p>
        </w:tc>
        <w:tc>
          <w:tcPr/>
          <w:p>
            <w:pPr>
              <w:pStyle w:val="Compact"/>
              <w:jc w:val="left"/>
            </w:pPr>
            <w:r>
              <w:rPr>
                <w:b/>
                <w:bCs/>
              </w:rPr>
              <w:t xml:space="preserve">High</w:t>
            </w:r>
          </w:p>
        </w:tc>
        <w:tc>
          <w:tcPr/>
          <w:p>
            <w:pPr>
              <w:pStyle w:val="Compact"/>
              <w:jc w:val="left"/>
            </w:pPr>
            <w:r>
              <w:t xml:space="preserve">$1.2–2.5M EBITDA overstatement</w:t>
            </w:r>
          </w:p>
        </w:tc>
      </w:tr>
      <w:tr>
        <w:tc>
          <w:tcPr/>
          <w:p>
            <w:pPr>
              <w:pStyle w:val="Compact"/>
              <w:jc w:val="left"/>
            </w:pPr>
            <w:r>
              <w:t xml:space="preserve">RF-03</w:t>
            </w:r>
          </w:p>
        </w:tc>
        <w:tc>
          <w:tcPr/>
          <w:p>
            <w:pPr>
              <w:pStyle w:val="Compact"/>
              <w:jc w:val="left"/>
            </w:pPr>
            <w:r>
              <w:t xml:space="preserve">DOE IDIQ ceiling exhaustion</w:t>
            </w:r>
          </w:p>
        </w:tc>
        <w:tc>
          <w:tcPr/>
          <w:p>
            <w:pPr>
              <w:pStyle w:val="Compact"/>
              <w:jc w:val="left"/>
            </w:pPr>
            <w:r>
              <w:t xml:space="preserve">Commercial</w:t>
            </w:r>
          </w:p>
        </w:tc>
        <w:tc>
          <w:tcPr/>
          <w:p>
            <w:pPr>
              <w:pStyle w:val="Compact"/>
              <w:jc w:val="left"/>
            </w:pPr>
            <w:r>
              <w:rPr>
                <w:b/>
                <w:bCs/>
              </w:rPr>
              <w:t xml:space="preserve">Critical</w:t>
            </w:r>
          </w:p>
        </w:tc>
        <w:tc>
          <w:tcPr/>
          <w:p>
            <w:pPr>
              <w:pStyle w:val="Compact"/>
              <w:jc w:val="left"/>
            </w:pPr>
            <w:r>
              <w:t xml:space="preserve">~$12.1M FY2025 revenue headwind</w:t>
            </w:r>
          </w:p>
        </w:tc>
      </w:tr>
      <w:tr>
        <w:tc>
          <w:tcPr/>
          <w:p>
            <w:pPr>
              <w:pStyle w:val="Compact"/>
              <w:jc w:val="left"/>
            </w:pPr>
            <w:r>
              <w:t xml:space="preserve">RF-04</w:t>
            </w:r>
          </w:p>
        </w:tc>
        <w:tc>
          <w:tcPr/>
          <w:p>
            <w:pPr>
              <w:pStyle w:val="Compact"/>
              <w:jc w:val="left"/>
            </w:pPr>
            <w:r>
              <w:t xml:space="preserve">Fleet aging / capex understatement</w:t>
            </w:r>
          </w:p>
        </w:tc>
        <w:tc>
          <w:tcPr/>
          <w:p>
            <w:pPr>
              <w:pStyle w:val="Compact"/>
              <w:jc w:val="left"/>
            </w:pPr>
            <w:r>
              <w:t xml:space="preserve">Financial / QoE</w:t>
            </w:r>
          </w:p>
        </w:tc>
        <w:tc>
          <w:tcPr/>
          <w:p>
            <w:pPr>
              <w:pStyle w:val="Compact"/>
              <w:jc w:val="left"/>
            </w:pPr>
            <w:r>
              <w:rPr>
                <w:b/>
                <w:bCs/>
              </w:rPr>
              <w:t xml:space="preserve">High</w:t>
            </w:r>
          </w:p>
        </w:tc>
        <w:tc>
          <w:tcPr/>
          <w:p>
            <w:pPr>
              <w:pStyle w:val="Compact"/>
              <w:jc w:val="left"/>
            </w:pPr>
            <w:r>
              <w:t xml:space="preserve">$2.5–3.5M/yr capex gap</w:t>
            </w:r>
          </w:p>
        </w:tc>
      </w:tr>
      <w:tr>
        <w:tc>
          <w:tcPr/>
          <w:p>
            <w:pPr>
              <w:pStyle w:val="Compact"/>
              <w:jc w:val="left"/>
            </w:pPr>
            <w:r>
              <w:t xml:space="preserve">RF-05</w:t>
            </w:r>
          </w:p>
        </w:tc>
        <w:tc>
          <w:tcPr/>
          <w:p>
            <w:pPr>
              <w:pStyle w:val="Compact"/>
              <w:jc w:val="left"/>
            </w:pPr>
            <w:r>
              <w:t xml:space="preserve">Reported EBITDA down 27% YoY</w:t>
            </w:r>
          </w:p>
        </w:tc>
        <w:tc>
          <w:tcPr/>
          <w:p>
            <w:pPr>
              <w:pStyle w:val="Compact"/>
              <w:jc w:val="left"/>
            </w:pPr>
            <w:r>
              <w:t xml:space="preserve">Financial / QoE</w:t>
            </w:r>
          </w:p>
        </w:tc>
        <w:tc>
          <w:tcPr/>
          <w:p>
            <w:pPr>
              <w:pStyle w:val="Compact"/>
              <w:jc w:val="left"/>
            </w:pPr>
            <w:r>
              <w:rPr>
                <w:b/>
                <w:bCs/>
              </w:rPr>
              <w:t xml:space="preserve">High</w:t>
            </w:r>
          </w:p>
        </w:tc>
        <w:tc>
          <w:tcPr/>
          <w:p>
            <w:pPr>
              <w:pStyle w:val="Compact"/>
              <w:jc w:val="left"/>
            </w:pPr>
            <w:r>
              <w:t xml:space="preserve">Earnings quality concern</w:t>
            </w:r>
          </w:p>
        </w:tc>
      </w:tr>
      <w:tr>
        <w:tc>
          <w:tcPr/>
          <w:p>
            <w:pPr>
              <w:pStyle w:val="Compact"/>
              <w:jc w:val="left"/>
            </w:pPr>
            <w:r>
              <w:t xml:space="preserve">RF-06</w:t>
            </w:r>
          </w:p>
        </w:tc>
        <w:tc>
          <w:tcPr/>
          <w:p>
            <w:pPr>
              <w:pStyle w:val="Compact"/>
              <w:jc w:val="left"/>
            </w:pPr>
            <w:r>
              <w:t xml:space="preserve">Stale Phase II ESA / vapor intrusion</w:t>
            </w:r>
          </w:p>
        </w:tc>
        <w:tc>
          <w:tcPr/>
          <w:p>
            <w:pPr>
              <w:pStyle w:val="Compact"/>
              <w:jc w:val="left"/>
            </w:pPr>
            <w:r>
              <w:t xml:space="preserve">Environmental</w:t>
            </w:r>
          </w:p>
        </w:tc>
        <w:tc>
          <w:tcPr/>
          <w:p>
            <w:pPr>
              <w:pStyle w:val="Compact"/>
              <w:jc w:val="left"/>
            </w:pPr>
            <w:r>
              <w:rPr>
                <w:b/>
                <w:bCs/>
              </w:rPr>
              <w:t xml:space="preserve">Critical</w:t>
            </w:r>
          </w:p>
        </w:tc>
        <w:tc>
          <w:tcPr/>
          <w:p>
            <w:pPr>
              <w:pStyle w:val="Compact"/>
              <w:jc w:val="left"/>
            </w:pPr>
            <w:r>
              <w:t xml:space="preserve">$2.3M–$5M+ remediation exposure</w:t>
            </w:r>
          </w:p>
        </w:tc>
      </w:tr>
      <w:tr>
        <w:tc>
          <w:tcPr/>
          <w:p>
            <w:pPr>
              <w:pStyle w:val="Compact"/>
              <w:jc w:val="left"/>
            </w:pPr>
            <w:r>
              <w:t xml:space="preserve">RF-07</w:t>
            </w:r>
          </w:p>
        </w:tc>
        <w:tc>
          <w:tcPr/>
          <w:p>
            <w:pPr>
              <w:pStyle w:val="Compact"/>
              <w:jc w:val="left"/>
            </w:pPr>
            <w:r>
              <w:t xml:space="preserve">CDPHE enforcement action, no accrual</w:t>
            </w:r>
          </w:p>
        </w:tc>
        <w:tc>
          <w:tcPr/>
          <w:p>
            <w:pPr>
              <w:pStyle w:val="Compact"/>
              <w:jc w:val="left"/>
            </w:pPr>
            <w:r>
              <w:t xml:space="preserve">Environmental</w:t>
            </w:r>
          </w:p>
        </w:tc>
        <w:tc>
          <w:tcPr/>
          <w:p>
            <w:pPr>
              <w:pStyle w:val="Compact"/>
              <w:jc w:val="left"/>
            </w:pPr>
            <w:r>
              <w:rPr>
                <w:b/>
                <w:bCs/>
              </w:rPr>
              <w:t xml:space="preserve">High</w:t>
            </w:r>
          </w:p>
        </w:tc>
        <w:tc>
          <w:tcPr/>
          <w:p>
            <w:pPr>
              <w:pStyle w:val="Compact"/>
              <w:jc w:val="left"/>
            </w:pPr>
            <w:r>
              <w:t xml:space="preserve">$200K–$1.16M penalty</w:t>
            </w:r>
          </w:p>
        </w:tc>
      </w:tr>
      <w:tr>
        <w:tc>
          <w:tcPr/>
          <w:p>
            <w:pPr>
              <w:pStyle w:val="Compact"/>
              <w:jc w:val="left"/>
            </w:pPr>
            <w:r>
              <w:t xml:space="preserve">RF-08</w:t>
            </w:r>
          </w:p>
        </w:tc>
        <w:tc>
          <w:tcPr/>
          <w:p>
            <w:pPr>
              <w:pStyle w:val="Compact"/>
              <w:jc w:val="left"/>
            </w:pPr>
            <w:r>
              <w:t xml:space="preserve">Wyoming permit expired</w:t>
            </w:r>
          </w:p>
        </w:tc>
        <w:tc>
          <w:tcPr/>
          <w:p>
            <w:pPr>
              <w:pStyle w:val="Compact"/>
              <w:jc w:val="left"/>
            </w:pPr>
            <w:r>
              <w:t xml:space="preserve">Regulatory</w:t>
            </w:r>
          </w:p>
        </w:tc>
        <w:tc>
          <w:tcPr/>
          <w:p>
            <w:pPr>
              <w:pStyle w:val="Compact"/>
              <w:jc w:val="left"/>
            </w:pPr>
            <w:r>
              <w:rPr>
                <w:b/>
                <w:bCs/>
              </w:rPr>
              <w:t xml:space="preserve">Medium</w:t>
            </w:r>
          </w:p>
        </w:tc>
        <w:tc>
          <w:tcPr/>
          <w:p>
            <w:pPr>
              <w:pStyle w:val="Compact"/>
              <w:jc w:val="left"/>
            </w:pPr>
            <w:r>
              <w:t xml:space="preserve">Potential credit default trigger</w:t>
            </w:r>
          </w:p>
        </w:tc>
      </w:tr>
      <w:tr>
        <w:tc>
          <w:tcPr/>
          <w:p>
            <w:pPr>
              <w:pStyle w:val="Compact"/>
              <w:jc w:val="left"/>
            </w:pPr>
            <w:r>
              <w:t xml:space="preserve">RF-09</w:t>
            </w:r>
          </w:p>
        </w:tc>
        <w:tc>
          <w:tcPr/>
          <w:p>
            <w:pPr>
              <w:pStyle w:val="Compact"/>
              <w:jc w:val="left"/>
            </w:pPr>
            <w:r>
              <w:t xml:space="preserve">DOE contract novation risk</w:t>
            </w:r>
          </w:p>
        </w:tc>
        <w:tc>
          <w:tcPr/>
          <w:p>
            <w:pPr>
              <w:pStyle w:val="Compact"/>
              <w:jc w:val="left"/>
            </w:pPr>
            <w:r>
              <w:t xml:space="preserve">Commercial</w:t>
            </w:r>
          </w:p>
        </w:tc>
        <w:tc>
          <w:tcPr/>
          <w:p>
            <w:pPr>
              <w:pStyle w:val="Compact"/>
              <w:jc w:val="left"/>
            </w:pPr>
            <w:r>
              <w:rPr>
                <w:b/>
                <w:bCs/>
              </w:rPr>
              <w:t xml:space="preserve">High</w:t>
            </w:r>
          </w:p>
        </w:tc>
        <w:tc>
          <w:tcPr/>
          <w:p>
            <w:pPr>
              <w:pStyle w:val="Compact"/>
              <w:jc w:val="left"/>
            </w:pPr>
            <w:r>
              <w:t xml:space="preserve">$24.4M revenue at risk</w:t>
            </w:r>
          </w:p>
        </w:tc>
      </w:tr>
      <w:tr>
        <w:tc>
          <w:tcPr/>
          <w:p>
            <w:pPr>
              <w:pStyle w:val="Compact"/>
              <w:jc w:val="left"/>
            </w:pPr>
            <w:r>
              <w:t xml:space="preserve">RF-10</w:t>
            </w:r>
          </w:p>
        </w:tc>
        <w:tc>
          <w:tcPr/>
          <w:p>
            <w:pPr>
              <w:pStyle w:val="Compact"/>
              <w:jc w:val="left"/>
            </w:pPr>
            <w:r>
              <w:t xml:space="preserve">SLC lease / permit cascade failure</w:t>
            </w:r>
          </w:p>
        </w:tc>
        <w:tc>
          <w:tcPr/>
          <w:p>
            <w:pPr>
              <w:pStyle w:val="Compact"/>
              <w:jc w:val="left"/>
            </w:pPr>
            <w:r>
              <w:t xml:space="preserve">Real Property</w:t>
            </w:r>
          </w:p>
        </w:tc>
        <w:tc>
          <w:tcPr/>
          <w:p>
            <w:pPr>
              <w:pStyle w:val="Compact"/>
              <w:jc w:val="left"/>
            </w:pPr>
            <w:r>
              <w:rPr>
                <w:b/>
                <w:bCs/>
              </w:rPr>
              <w:t xml:space="preserve">Critical</w:t>
            </w:r>
          </w:p>
        </w:tc>
        <w:tc>
          <w:tcPr/>
          <w:p>
            <w:pPr>
              <w:pStyle w:val="Compact"/>
              <w:jc w:val="left"/>
            </w:pPr>
            <w:r>
              <w:t xml:space="preserve">$16.2M revenue at risk</w:t>
            </w:r>
          </w:p>
        </w:tc>
      </w:tr>
      <w:tr>
        <w:tc>
          <w:tcPr/>
          <w:p>
            <w:pPr>
              <w:pStyle w:val="Compact"/>
              <w:jc w:val="left"/>
            </w:pPr>
            <w:r>
              <w:t xml:space="preserve">RF-11</w:t>
            </w:r>
          </w:p>
        </w:tc>
        <w:tc>
          <w:tcPr/>
          <w:p>
            <w:pPr>
              <w:pStyle w:val="Compact"/>
              <w:jc w:val="left"/>
            </w:pPr>
            <w:r>
              <w:t xml:space="preserve">Customer concentration / T4C clauses</w:t>
            </w:r>
          </w:p>
        </w:tc>
        <w:tc>
          <w:tcPr/>
          <w:p>
            <w:pPr>
              <w:pStyle w:val="Compact"/>
              <w:jc w:val="left"/>
            </w:pPr>
            <w:r>
              <w:t xml:space="preserve">Commercial</w:t>
            </w:r>
          </w:p>
        </w:tc>
        <w:tc>
          <w:tcPr/>
          <w:p>
            <w:pPr>
              <w:pStyle w:val="Compact"/>
              <w:jc w:val="left"/>
            </w:pPr>
            <w:r>
              <w:rPr>
                <w:b/>
                <w:bCs/>
              </w:rPr>
              <w:t xml:space="preserve">High</w:t>
            </w:r>
          </w:p>
        </w:tc>
        <w:tc>
          <w:tcPr/>
          <w:p>
            <w:pPr>
              <w:pStyle w:val="Compact"/>
              <w:jc w:val="left"/>
            </w:pPr>
            <w:r>
              <w:t xml:space="preserve">$64.1M revenue (top 5)</w:t>
            </w:r>
          </w:p>
        </w:tc>
      </w:tr>
      <w:tr>
        <w:tc>
          <w:tcPr/>
          <w:p>
            <w:pPr>
              <w:pStyle w:val="Compact"/>
              <w:jc w:val="left"/>
            </w:pPr>
            <w:r>
              <w:t xml:space="preserve">RF-12</w:t>
            </w:r>
          </w:p>
        </w:tc>
        <w:tc>
          <w:tcPr/>
          <w:p>
            <w:pPr>
              <w:pStyle w:val="Compact"/>
              <w:jc w:val="left"/>
            </w:pPr>
            <w:r>
              <w:t xml:space="preserve">Lease consent requirements (7 leases)</w:t>
            </w:r>
          </w:p>
        </w:tc>
        <w:tc>
          <w:tcPr/>
          <w:p>
            <w:pPr>
              <w:pStyle w:val="Compact"/>
              <w:jc w:val="left"/>
            </w:pPr>
            <w:r>
              <w:t xml:space="preserve">Real Property</w:t>
            </w:r>
          </w:p>
        </w:tc>
        <w:tc>
          <w:tcPr/>
          <w:p>
            <w:pPr>
              <w:pStyle w:val="Compact"/>
              <w:jc w:val="left"/>
            </w:pPr>
            <w:r>
              <w:rPr>
                <w:b/>
                <w:bCs/>
              </w:rPr>
              <w:t xml:space="preserve">High</w:t>
            </w:r>
          </w:p>
        </w:tc>
        <w:tc>
          <w:tcPr/>
          <w:p>
            <w:pPr>
              <w:pStyle w:val="Compact"/>
              <w:jc w:val="left"/>
            </w:pPr>
            <w:r>
              <w:t xml:space="preserve">Closing condition risk</w:t>
            </w:r>
          </w:p>
        </w:tc>
      </w:tr>
      <w:tr>
        <w:tc>
          <w:tcPr/>
          <w:p>
            <w:pPr>
              <w:pStyle w:val="Compact"/>
              <w:jc w:val="left"/>
            </w:pPr>
            <w:r>
              <w:t xml:space="preserve">RF-13</w:t>
            </w:r>
          </w:p>
        </w:tc>
        <w:tc>
          <w:tcPr/>
          <w:p>
            <w:pPr>
              <w:pStyle w:val="Compact"/>
              <w:jc w:val="left"/>
            </w:pPr>
            <w:r>
              <w:t xml:space="preserve">Ramirez claim / coverage uncertainty</w:t>
            </w:r>
          </w:p>
        </w:tc>
        <w:tc>
          <w:tcPr/>
          <w:p>
            <w:pPr>
              <w:pStyle w:val="Compact"/>
              <w:jc w:val="left"/>
            </w:pPr>
            <w:r>
              <w:t xml:space="preserve">Legal</w:t>
            </w:r>
          </w:p>
        </w:tc>
        <w:tc>
          <w:tcPr/>
          <w:p>
            <w:pPr>
              <w:pStyle w:val="Compact"/>
              <w:jc w:val="left"/>
            </w:pPr>
            <w:r>
              <w:rPr>
                <w:b/>
                <w:bCs/>
              </w:rPr>
              <w:t xml:space="preserve">High</w:t>
            </w:r>
          </w:p>
        </w:tc>
        <w:tc>
          <w:tcPr/>
          <w:p>
            <w:pPr>
              <w:pStyle w:val="Compact"/>
              <w:jc w:val="left"/>
            </w:pPr>
            <w:r>
              <w:t xml:space="preserve">Up to $4.8M uninsured</w:t>
            </w:r>
          </w:p>
        </w:tc>
      </w:tr>
      <w:tr>
        <w:tc>
          <w:tcPr/>
          <w:p>
            <w:pPr>
              <w:pStyle w:val="Compact"/>
              <w:jc w:val="left"/>
            </w:pPr>
            <w:r>
              <w:t xml:space="preserve">RF-14</w:t>
            </w:r>
          </w:p>
        </w:tc>
        <w:tc>
          <w:tcPr/>
          <w:p>
            <w:pPr>
              <w:pStyle w:val="Compact"/>
              <w:jc w:val="left"/>
            </w:pPr>
            <w:r>
              <w:t xml:space="preserve">Asbestos long-tail / coverage gap</w:t>
            </w:r>
          </w:p>
        </w:tc>
        <w:tc>
          <w:tcPr/>
          <w:p>
            <w:pPr>
              <w:pStyle w:val="Compact"/>
              <w:jc w:val="left"/>
            </w:pPr>
            <w:r>
              <w:t xml:space="preserve">Legal</w:t>
            </w:r>
          </w:p>
        </w:tc>
        <w:tc>
          <w:tcPr/>
          <w:p>
            <w:pPr>
              <w:pStyle w:val="Compact"/>
              <w:jc w:val="left"/>
            </w:pPr>
            <w:r>
              <w:rPr>
                <w:b/>
                <w:bCs/>
              </w:rPr>
              <w:t xml:space="preserve">High</w:t>
            </w:r>
          </w:p>
        </w:tc>
        <w:tc>
          <w:tcPr/>
          <w:p>
            <w:pPr>
              <w:pStyle w:val="Compact"/>
              <w:jc w:val="left"/>
            </w:pPr>
            <w:r>
              <w:t xml:space="preserve">Unquantified (2012–2014)</w:t>
            </w:r>
          </w:p>
        </w:tc>
      </w:tr>
      <w:tr>
        <w:tc>
          <w:tcPr/>
          <w:p>
            <w:pPr>
              <w:pStyle w:val="Compact"/>
              <w:jc w:val="left"/>
            </w:pPr>
            <w:r>
              <w:t xml:space="preserve">RF-15</w:t>
            </w:r>
          </w:p>
        </w:tc>
        <w:tc>
          <w:tcPr/>
          <w:p>
            <w:pPr>
              <w:pStyle w:val="Compact"/>
              <w:jc w:val="left"/>
            </w:pPr>
            <w:r>
              <w:t xml:space="preserve">CoC severance / NLRB petition</w:t>
            </w:r>
          </w:p>
        </w:tc>
        <w:tc>
          <w:tcPr/>
          <w:p>
            <w:pPr>
              <w:pStyle w:val="Compact"/>
              <w:jc w:val="left"/>
            </w:pPr>
            <w:r>
              <w:t xml:space="preserve">Human Capital</w:t>
            </w:r>
          </w:p>
        </w:tc>
        <w:tc>
          <w:tcPr/>
          <w:p>
            <w:pPr>
              <w:pStyle w:val="Compact"/>
              <w:jc w:val="left"/>
            </w:pPr>
            <w:r>
              <w:rPr>
                <w:b/>
                <w:bCs/>
              </w:rPr>
              <w:t xml:space="preserve">High</w:t>
            </w:r>
          </w:p>
        </w:tc>
        <w:tc>
          <w:tcPr/>
          <w:p>
            <w:pPr>
              <w:pStyle w:val="Compact"/>
              <w:jc w:val="left"/>
            </w:pPr>
            <w:r>
              <w:t xml:space="preserve">$3.775M + unionization risk</w:t>
            </w:r>
          </w:p>
        </w:tc>
      </w:tr>
    </w:tbl>
    <w:p>
      <w:r>
        <w:pict>
          <v:rect style="width:0;height:1.5pt" o:hralign="center" o:hrstd="t" o:hr="t"/>
        </w:pict>
      </w:r>
    </w:p>
    <w:bookmarkEnd w:id="43"/>
    <w:bookmarkStart w:id="44" w:name="ix.-recommended-pre-signing-actions"/>
    <w:p>
      <w:pPr>
        <w:pStyle w:val="Heading2"/>
      </w:pPr>
      <w:r>
        <w:t xml:space="preserve">IX. Recommended Pre-Signing Actions</w:t>
      </w:r>
    </w:p>
    <w:p>
      <w:pPr>
        <w:pStyle w:val="Compact"/>
        <w:numPr>
          <w:ilvl w:val="0"/>
          <w:numId w:val="1004"/>
        </w:numPr>
      </w:pPr>
      <w:r>
        <w:rPr>
          <w:b/>
          <w:bCs/>
        </w:rPr>
        <w:t xml:space="preserve">Demand reconciled EBITDA bridge</w:t>
      </w:r>
      <w:r>
        <w:t xml:space="preserve"> </w:t>
      </w:r>
      <w:r>
        <w:t xml:space="preserve">signed by CFO and QoE firm before any further negotiation.</w:t>
      </w:r>
    </w:p>
    <w:p>
      <w:pPr>
        <w:pStyle w:val="Compact"/>
        <w:numPr>
          <w:ilvl w:val="0"/>
          <w:numId w:val="1004"/>
        </w:numPr>
      </w:pPr>
      <w:r>
        <w:rPr>
          <w:b/>
          <w:bCs/>
        </w:rPr>
        <w:t xml:space="preserve">Commission updated Phase II ESA</w:t>
      </w:r>
      <w:r>
        <w:t xml:space="preserve"> </w:t>
      </w:r>
      <w:r>
        <w:t xml:space="preserve">including vapor intrusion assessment and off-site monitoring wells.</w:t>
      </w:r>
    </w:p>
    <w:p>
      <w:pPr>
        <w:pStyle w:val="Compact"/>
        <w:numPr>
          <w:ilvl w:val="0"/>
          <w:numId w:val="1004"/>
        </w:numPr>
      </w:pPr>
      <w:r>
        <w:rPr>
          <w:b/>
          <w:bCs/>
        </w:rPr>
        <w:t xml:space="preserve">Contact DOE Contracting Officer</w:t>
      </w:r>
      <w:r>
        <w:t xml:space="preserve"> </w:t>
      </w:r>
      <w:r>
        <w:t xml:space="preserve">to confirm novation requirements and ceiling modification prospects.</w:t>
      </w:r>
    </w:p>
    <w:p>
      <w:pPr>
        <w:pStyle w:val="Compact"/>
        <w:numPr>
          <w:ilvl w:val="0"/>
          <w:numId w:val="1004"/>
        </w:numPr>
      </w:pPr>
      <w:r>
        <w:rPr>
          <w:b/>
          <w:bCs/>
        </w:rPr>
        <w:t xml:space="preserve">Initiate Salt Lake City landlord consent process</w:t>
      </w:r>
      <w:r>
        <w:t xml:space="preserve"> </w:t>
      </w:r>
      <w:r>
        <w:t xml:space="preserve">and Utah permit transfer immediately.</w:t>
      </w:r>
    </w:p>
    <w:p>
      <w:pPr>
        <w:pStyle w:val="Compact"/>
        <w:numPr>
          <w:ilvl w:val="0"/>
          <w:numId w:val="1004"/>
        </w:numPr>
      </w:pPr>
      <w:r>
        <w:rPr>
          <w:b/>
          <w:bCs/>
        </w:rPr>
        <w:t xml:space="preserve">Obtain NLRB petition details</w:t>
      </w:r>
      <w:r>
        <w:t xml:space="preserve"> </w:t>
      </w:r>
      <w:r>
        <w:t xml:space="preserve">and assess unionization risk; confirm whether this is a required disclosure under the LOI.</w:t>
      </w:r>
    </w:p>
    <w:p>
      <w:pPr>
        <w:pStyle w:val="Compact"/>
        <w:numPr>
          <w:ilvl w:val="0"/>
          <w:numId w:val="1004"/>
        </w:numPr>
      </w:pPr>
      <w:r>
        <w:rPr>
          <w:b/>
          <w:bCs/>
        </w:rPr>
        <w:t xml:space="preserve">Require seller to accrue</w:t>
      </w:r>
      <w:r>
        <w:t xml:space="preserve"> </w:t>
      </w:r>
      <w:r>
        <w:t xml:space="preserve">CDPHE penalty exposure and Ramirez claim at midpoint estimates.</w:t>
      </w:r>
    </w:p>
    <w:p>
      <w:pPr>
        <w:pStyle w:val="Compact"/>
        <w:numPr>
          <w:ilvl w:val="0"/>
          <w:numId w:val="1004"/>
        </w:numPr>
      </w:pPr>
      <w:r>
        <w:rPr>
          <w:b/>
          <w:bCs/>
        </w:rPr>
        <w:t xml:space="preserve">Confirm $2.625M single-trigger severance</w:t>
      </w:r>
      <w:r>
        <w:t xml:space="preserve"> </w:t>
      </w:r>
      <w:r>
        <w:t xml:space="preserve">is treated as a seller transaction expense in the purchase price mechanism.</w:t>
      </w:r>
    </w:p>
    <w:p>
      <w:pPr>
        <w:pStyle w:val="Compact"/>
        <w:numPr>
          <w:ilvl w:val="0"/>
          <w:numId w:val="1004"/>
        </w:numPr>
      </w:pPr>
      <w:r>
        <w:rPr>
          <w:b/>
          <w:bCs/>
        </w:rPr>
        <w:t xml:space="preserve">Commission independent fleet appraisal</w:t>
      </w:r>
      <w:r>
        <w:t xml:space="preserve"> </w:t>
      </w:r>
      <w:r>
        <w:t xml:space="preserve">and recast FCF model with realistic maintenance capex.</w:t>
      </w:r>
    </w:p>
    <w:p>
      <w:pPr>
        <w:pStyle w:val="Compact"/>
        <w:numPr>
          <w:ilvl w:val="0"/>
          <w:numId w:val="1004"/>
        </w:numPr>
      </w:pPr>
      <w:r>
        <w:rPr>
          <w:b/>
          <w:bCs/>
        </w:rPr>
        <w:t xml:space="preserve">Stress-test valuation</w:t>
      </w:r>
      <w:r>
        <w:t xml:space="preserve"> </w:t>
      </w:r>
      <w:r>
        <w:t xml:space="preserve">at bank-definition EBITDA ($18.4M) and with DOE revenue headwind scenario.</w:t>
      </w:r>
    </w:p>
    <w:p>
      <w:pPr>
        <w:pStyle w:val="Compact"/>
        <w:numPr>
          <w:ilvl w:val="0"/>
          <w:numId w:val="1004"/>
        </w:numPr>
      </w:pPr>
      <w:r>
        <w:rPr>
          <w:b/>
          <w:bCs/>
        </w:rPr>
        <w:t xml:space="preserve">Negotiate specific environmental indemnification</w:t>
      </w:r>
      <w:r>
        <w:t xml:space="preserve"> </w:t>
      </w:r>
      <w:r>
        <w:t xml:space="preserve">with separate escrow and 6-year survival for RF-06, RF-07, and RF-14.</w:t>
      </w:r>
    </w:p>
    <w:p>
      <w:r>
        <w:pict>
          <v:rect style="width:0;height:1.5pt" o:hralign="center" o:hrstd="t" o:hr="t"/>
        </w:pict>
      </w:r>
    </w:p>
    <w:p>
      <w:pPr>
        <w:pStyle w:val="FirstParagraph"/>
      </w:pPr>
      <w:r>
        <w:rPr>
          <w:i/>
          <w:iCs/>
        </w:rPr>
        <w:t xml:space="preserve">This memorandum is prepared for internal use by Sycamore Capital Partners, LP and its advisors in connection with Project Ridgeline. It is subject to attorney-client privilege and work product protection. It does not constitute a legal opinion and should not be relied upon as such. All findings are based on data room materials as of December 2024 and are subject to revision as additional information becomes available.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2026-08-25T11:02:07Z</dcterms:created>
  <dcterms:modified xsi:type="dcterms:W3CDTF">2026-08-25T11:02:07Z</dcterms:modified>
</cp:coreProperties>
</file>

<file path=docProps/custom.xml><?xml version="1.0" encoding="utf-8"?>
<Properties xmlns="http://schemas.openxmlformats.org/officeDocument/2006/custom-properties" xmlns:vt="http://schemas.openxmlformats.org/officeDocument/2006/docPropsVTypes"/>
</file>