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6c0783ff2418acefecaf246d4dddd68ffcf2dc"/>
    <w:p>
      <w:pPr>
        <w:pStyle w:val="Heading1"/>
      </w:pPr>
      <w:r>
        <w:t xml:space="preserve">PRIVILEGED AND CONFIDENTIAL — ATTORNEY-CLIENT COMMUNICATION</w:t>
      </w:r>
    </w:p>
    <w:p>
      <w:pPr>
        <w:pStyle w:val="FirstParagraph"/>
      </w:pPr>
      <w:r>
        <w:rPr>
          <w:b/>
          <w:bCs/>
        </w:rPr>
        <w:t xml:space="preserve">DILIGENCE RED FLAG MEMORANDUM</w:t>
      </w:r>
    </w:p>
    <w:p>
      <w:pPr>
        <w:pStyle w:val="BodyText"/>
      </w:pPr>
      <w:r>
        <w:rPr>
          <w:b/>
          <w:bCs/>
        </w:rPr>
        <w:t xml:space="preserve">Project Ridgeline — Acquisition of Ridgeline Environmental Services, Inc.</w:t>
      </w:r>
    </w:p>
    <w:p>
      <w:pPr>
        <w:pStyle w:val="BodyText"/>
      </w:pPr>
      <w:r>
        <w:rPr>
          <w:b/>
          <w:bCs/>
        </w:rPr>
        <w:t xml:space="preserve">Engagement Firm:</w:t>
      </w:r>
      <w:r>
        <w:t xml:space="preserve"> </w:t>
      </w:r>
      <w:r>
        <w:t xml:space="preserve">Bridgewater Forsyth Group, Transaction Advisory Practice</w:t>
      </w:r>
      <w:r>
        <w:br/>
      </w:r>
      <w:r>
        <w:rPr>
          <w:b/>
          <w:bCs/>
        </w:rPr>
        <w:t xml:space="preserve">Engagement Partner:</w:t>
      </w:r>
      <w:r>
        <w:t xml:space="preserve"> </w:t>
      </w:r>
      <w:r>
        <w:t xml:space="preserve">Catherine Cho, CFA</w:t>
      </w:r>
      <w:r>
        <w:br/>
      </w:r>
      <w:r>
        <w:rPr>
          <w:b/>
          <w:bCs/>
        </w:rPr>
        <w:t xml:space="preserve">To:</w:t>
      </w:r>
      <w:r>
        <w:t xml:space="preserve"> </w:t>
      </w:r>
      <w:r>
        <w:t xml:space="preserve">Sycamore Capital Partners, LP Deal Team</w:t>
      </w:r>
      <w:r>
        <w:br/>
      </w:r>
      <w:r>
        <w:rPr>
          <w:b/>
          <w:bCs/>
        </w:rPr>
        <w:t xml:space="preserve">Date:</w:t>
      </w:r>
      <w:r>
        <w:t xml:space="preserve"> </w:t>
      </w:r>
      <w:r>
        <w:t xml:space="preserve">December 2024</w:t>
      </w:r>
      <w:r>
        <w:br/>
      </w:r>
      <w:r>
        <w:rPr>
          <w:b/>
          <w:bCs/>
        </w:rPr>
        <w:t xml:space="preserve">Re:</w:t>
      </w:r>
      <w:r>
        <w:t xml:space="preserve"> </w:t>
      </w:r>
      <w:r>
        <w:t xml:space="preserve">Red Flag Analysis — Project Ridgeline Data Room Review</w:t>
      </w:r>
      <w:r>
        <w:br/>
      </w:r>
      <w:r>
        <w:rPr>
          <w:b/>
          <w:bCs/>
        </w:rPr>
        <w:t xml:space="preserve">Classification:</w:t>
      </w:r>
      <w:r>
        <w:t xml:space="preserve"> </w:t>
      </w:r>
      <w:r>
        <w:t xml:space="preserve">Privileged &amp; Confidential — Attorney-Client Communication</w:t>
      </w:r>
    </w:p>
    <w:p>
      <w:r>
        <w:pict>
          <v:rect style="width:0;height:1.5pt" o:hralign="center" o:hrstd="t" o:hr="t"/>
        </w:pict>
      </w:r>
    </w:p>
    <w:bookmarkStart w:id="20" w:name="Xba58b62f80977e0026ba987c48ed1c06ae8efc3"/>
    <w:p>
      <w:pPr>
        <w:pStyle w:val="Heading2"/>
      </w:pPr>
      <w:r>
        <w:t xml:space="preserve">SECTION I: SCOPE OF REVIEW AND ITEMS CLEARED</w:t>
      </w:r>
    </w:p>
    <w:p>
      <w:pPr>
        <w:pStyle w:val="FirstParagraph"/>
      </w:pPr>
      <w:r>
        <w:t xml:space="preserve">This memorandum has been prepared by Bridgewater Forsyth Group (</w:t>
      </w:r>
      <w:r>
        <w:t xml:space="preserve">“</w:t>
      </w:r>
      <w:r>
        <w:t xml:space="preserve">BFG</w:t>
      </w:r>
      <w:r>
        <w:t xml:space="preserve">”</w:t>
      </w:r>
      <w:r>
        <w:t xml:space="preserve">) at the direction of Sycamore Capital Partners, LP (</w:t>
      </w:r>
      <w:r>
        <w:t xml:space="preserve">“</w:t>
      </w:r>
      <w:r>
        <w:t xml:space="preserve">Buyer</w:t>
      </w:r>
      <w:r>
        <w:t xml:space="preserve">”</w:t>
      </w:r>
      <w:r>
        <w:t xml:space="preserve">) in connection with Buyer’s proposed acquisition of 100% of the outstanding capital stock of Ridgeline Environmental Services, Inc. (</w:t>
      </w:r>
      <w:r>
        <w:t xml:space="preserve">“</w:t>
      </w:r>
      <w:r>
        <w:t xml:space="preserve">RES</w:t>
      </w:r>
      <w:r>
        <w:t xml:space="preserve">”</w:t>
      </w:r>
      <w:r>
        <w:t xml:space="preserve"> </w:t>
      </w:r>
      <w:r>
        <w:t xml:space="preserve">or the</w:t>
      </w:r>
      <w:r>
        <w:t xml:space="preserve"> </w:t>
      </w:r>
      <w:r>
        <w:t xml:space="preserve">“</w:t>
      </w:r>
      <w:r>
        <w:t xml:space="preserve">Company</w:t>
      </w:r>
      <w:r>
        <w:t xml:space="preserve">”</w:t>
      </w:r>
      <w:r>
        <w:t xml:space="preserve">) pursuant to the Non-Binding Letter of Intent dated October 28, 2024.</w:t>
      </w:r>
    </w:p>
    <w:p>
      <w:pPr>
        <w:pStyle w:val="BodyText"/>
      </w:pPr>
      <w:r>
        <w:rPr>
          <w:b/>
          <w:bCs/>
        </w:rPr>
        <w:t xml:space="preserve">Documents Reviewed:</w:t>
      </w:r>
    </w:p>
    <w:p>
      <w:pPr>
        <w:pStyle w:val="Compact"/>
        <w:numPr>
          <w:ilvl w:val="0"/>
          <w:numId w:val="1001"/>
        </w:numPr>
      </w:pPr>
      <w:r>
        <w:t xml:space="preserve">Confidential Information Memorandum (</w:t>
      </w:r>
      <w:r>
        <w:t xml:space="preserve">“</w:t>
      </w:r>
      <w:r>
        <w:t xml:space="preserve">CIM</w:t>
      </w:r>
      <w:r>
        <w:t xml:space="preserve">”</w:t>
      </w:r>
      <w:r>
        <w:t xml:space="preserve">) — October 2024</w:t>
      </w:r>
      <w:r>
        <w:br/>
      </w:r>
    </w:p>
    <w:p>
      <w:pPr>
        <w:pStyle w:val="Compact"/>
        <w:numPr>
          <w:ilvl w:val="0"/>
          <w:numId w:val="1001"/>
        </w:numPr>
      </w:pPr>
      <w:r>
        <w:t xml:space="preserve">Quality of Earnings Data Request Response — December 10, 2024 (Patricia Engel, CFO)</w:t>
      </w:r>
      <w:r>
        <w:br/>
      </w:r>
    </w:p>
    <w:p>
      <w:pPr>
        <w:pStyle w:val="Compact"/>
        <w:numPr>
          <w:ilvl w:val="0"/>
          <w:numId w:val="1001"/>
        </w:numPr>
      </w:pPr>
      <w:r>
        <w:t xml:space="preserve">Litigation and Regulatory Summary — December 12, 2024 (Greylock Merritt LLP)</w:t>
      </w:r>
      <w:r>
        <w:br/>
      </w:r>
    </w:p>
    <w:p>
      <w:pPr>
        <w:pStyle w:val="Compact"/>
        <w:numPr>
          <w:ilvl w:val="0"/>
          <w:numId w:val="1001"/>
        </w:numPr>
      </w:pPr>
      <w:r>
        <w:t xml:space="preserve">Real Property and Lease Schedule — December 12, 2024</w:t>
      </w:r>
      <w:r>
        <w:br/>
      </w:r>
    </w:p>
    <w:p>
      <w:pPr>
        <w:pStyle w:val="Compact"/>
        <w:numPr>
          <w:ilvl w:val="0"/>
          <w:numId w:val="1001"/>
        </w:numPr>
      </w:pPr>
      <w:r>
        <w:t xml:space="preserve">Phase II Environmental Site Assessment, Executive Summary — June 14, 2019 (Elkhorn Environmental Consultants, Inc.)</w:t>
      </w:r>
      <w:r>
        <w:br/>
      </w:r>
    </w:p>
    <w:p>
      <w:pPr>
        <w:pStyle w:val="Compact"/>
        <w:numPr>
          <w:ilvl w:val="0"/>
          <w:numId w:val="1001"/>
        </w:numPr>
      </w:pPr>
      <w:r>
        <w:t xml:space="preserve">Credit Agreement Summary — December 12, 2024 (Patricia Engel, CFO)</w:t>
      </w:r>
      <w:r>
        <w:br/>
      </w:r>
    </w:p>
    <w:p>
      <w:pPr>
        <w:pStyle w:val="Compact"/>
        <w:numPr>
          <w:ilvl w:val="0"/>
          <w:numId w:val="1001"/>
        </w:numPr>
      </w:pPr>
      <w:r>
        <w:t xml:space="preserve">Executed Letter of Intent — October 28, 2024</w:t>
      </w:r>
      <w:r>
        <w:br/>
      </w:r>
    </w:p>
    <w:p>
      <w:pPr>
        <w:pStyle w:val="Compact"/>
        <w:numPr>
          <w:ilvl w:val="0"/>
          <w:numId w:val="1001"/>
        </w:numPr>
      </w:pPr>
      <w:r>
        <w:t xml:space="preserve">Employment Agreements Summary — December 2024</w:t>
      </w:r>
      <w:r>
        <w:br/>
      </w:r>
    </w:p>
    <w:p>
      <w:pPr>
        <w:pStyle w:val="Compact"/>
        <w:numPr>
          <w:ilvl w:val="0"/>
          <w:numId w:val="1001"/>
        </w:numPr>
      </w:pPr>
      <w:r>
        <w:t xml:space="preserve">Organizational Chart and Equity Structure — December 15, 2024</w:t>
      </w:r>
      <w:r>
        <w:br/>
      </w:r>
    </w:p>
    <w:p>
      <w:pPr>
        <w:pStyle w:val="Compact"/>
        <w:numPr>
          <w:ilvl w:val="0"/>
          <w:numId w:val="1001"/>
        </w:numPr>
      </w:pPr>
      <w:r>
        <w:t xml:space="preserve">Customer Contract Summary — December 2024</w:t>
      </w:r>
      <w:r>
        <w:br/>
      </w:r>
    </w:p>
    <w:p>
      <w:pPr>
        <w:pStyle w:val="Compact"/>
        <w:numPr>
          <w:ilvl w:val="0"/>
          <w:numId w:val="1001"/>
        </w:numPr>
      </w:pPr>
      <w:r>
        <w:t xml:space="preserve">Insurance Program Summary — December 10, 2024 (Frontier Specialty Insurance Group)</w:t>
      </w:r>
      <w:r>
        <w:br/>
      </w:r>
    </w:p>
    <w:p>
      <w:pPr>
        <w:pStyle w:val="Compact"/>
        <w:numPr>
          <w:ilvl w:val="0"/>
          <w:numId w:val="1001"/>
        </w:numPr>
      </w:pPr>
      <w:r>
        <w:t xml:space="preserve">Environmental Permit Schedule — December 10, 2024</w:t>
      </w:r>
      <w:r>
        <w:br/>
      </w:r>
    </w:p>
    <w:p>
      <w:pPr>
        <w:pStyle w:val="Compact"/>
        <w:numPr>
          <w:ilvl w:val="0"/>
          <w:numId w:val="1001"/>
        </w:numPr>
      </w:pPr>
      <w:r>
        <w:t xml:space="preserve">Employee Census and Benefits Summary — December 10, 2024</w:t>
      </w:r>
    </w:p>
    <w:p>
      <w:pPr>
        <w:pStyle w:val="FirstParagraph"/>
      </w:pPr>
      <w:r>
        <w:rPr>
          <w:b/>
          <w:bCs/>
        </w:rPr>
        <w:t xml:space="preserve">Items Reviewed and Cleared (No Material Red Flags Identified):</w:t>
      </w:r>
    </w:p>
    <w:p>
      <w:pPr>
        <w:pStyle w:val="BodyText"/>
      </w:pPr>
      <w:r>
        <w:t xml:space="preserve">The following areas were reviewed and did not produce findings rising to the level of a red flag:</w:t>
      </w:r>
    </w:p>
    <w:p>
      <w:pPr>
        <w:pStyle w:val="Compact"/>
        <w:numPr>
          <w:ilvl w:val="0"/>
          <w:numId w:val="1002"/>
        </w:numPr>
      </w:pPr>
      <w:r>
        <w:rPr>
          <w:b/>
          <w:bCs/>
        </w:rPr>
        <w:t xml:space="preserve">Corporate organization and good standing:</w:t>
      </w:r>
      <w:r>
        <w:t xml:space="preserve"> </w:t>
      </w:r>
      <w:r>
        <w:t xml:space="preserve">RES is a validly existing Colorado C-corporation in good standing in all five operating states. Pinnacle Waste Solutions, LLC is a validly existing Utah LLC and wholly-owned subsidiary. No unauthorized subsidiaries, joint ventures, or minority interests were identified.</w:t>
      </w:r>
    </w:p>
    <w:p>
      <w:pPr>
        <w:pStyle w:val="Compact"/>
        <w:numPr>
          <w:ilvl w:val="0"/>
          <w:numId w:val="1002"/>
        </w:numPr>
      </w:pPr>
      <w:r>
        <w:rPr>
          <w:b/>
          <w:bCs/>
        </w:rPr>
        <w:t xml:space="preserve">Intellectual property:</w:t>
      </w:r>
      <w:r>
        <w:t xml:space="preserve"> </w:t>
      </w:r>
      <w:r>
        <w:t xml:space="preserve">U.S. Patent Nos. 10,843,117 and 11,205,662 are confirmed as issued and assigned to RES. The RidgeTrack software platform is internally developed and subject to employee confidentiality agreements. No third-party infringement claims were identified.</w:t>
      </w:r>
    </w:p>
    <w:p>
      <w:pPr>
        <w:pStyle w:val="Compact"/>
        <w:numPr>
          <w:ilvl w:val="0"/>
          <w:numId w:val="1002"/>
        </w:numPr>
      </w:pPr>
      <w:r>
        <w:rPr>
          <w:b/>
          <w:bCs/>
        </w:rPr>
        <w:t xml:space="preserve">Montana and Ogden permits:</w:t>
      </w:r>
      <w:r>
        <w:t xml:space="preserve"> </w:t>
      </w:r>
      <w:r>
        <w:t xml:space="preserve">Montana Permit MT-HW-2022-011 (Billings) is current through March 2027. Utah Permit UTH-0587 (Ogden) was successfully transferred to RES in June 2022. Both are in good standing with no compliance issues.</w:t>
      </w:r>
    </w:p>
    <w:p>
      <w:pPr>
        <w:pStyle w:val="Compact"/>
        <w:numPr>
          <w:ilvl w:val="0"/>
          <w:numId w:val="1002"/>
        </w:numPr>
      </w:pPr>
      <w:r>
        <w:rPr>
          <w:b/>
          <w:bCs/>
        </w:rPr>
        <w:t xml:space="preserve">Boise and Idaho operations:</w:t>
      </w:r>
      <w:r>
        <w:t xml:space="preserve"> </w:t>
      </w:r>
      <w:r>
        <w:t xml:space="preserve">Idaho emergency response operations do not require a standalone hazardous waste permit. Idaho DEQ confirmed in writing (August 14, 2022) that no separate state permit is required. The Boise lease contains no assignment restriction.</w:t>
      </w:r>
    </w:p>
    <w:p>
      <w:pPr>
        <w:pStyle w:val="Compact"/>
        <w:numPr>
          <w:ilvl w:val="0"/>
          <w:numId w:val="1002"/>
        </w:numPr>
      </w:pPr>
      <w:r>
        <w:rPr>
          <w:b/>
          <w:bCs/>
        </w:rPr>
        <w:t xml:space="preserve">Workers’ compensation insurance:</w:t>
      </w:r>
      <w:r>
        <w:t xml:space="preserve"> </w:t>
      </w:r>
      <w:r>
        <w:t xml:space="preserve">The Company’s EMR of 0.91 is below the industry average of 1.00, reflecting favorable loss experience. Workers’ compensation coverage is maintained at statutory limits in all five operating states.</w:t>
      </w:r>
    </w:p>
    <w:p>
      <w:pPr>
        <w:pStyle w:val="Compact"/>
        <w:numPr>
          <w:ilvl w:val="0"/>
          <w:numId w:val="1002"/>
        </w:numPr>
      </w:pPr>
      <w:r>
        <w:rPr>
          <w:b/>
          <w:bCs/>
        </w:rPr>
        <w:t xml:space="preserve">Non-compete enforceability (threshold):</w:t>
      </w:r>
      <w:r>
        <w:t xml:space="preserve"> </w:t>
      </w:r>
      <w:r>
        <w:t xml:space="preserve">All five named executives significantly exceed Colorado’s statutory compensation threshold for non-compete enforceability (approximately $112,500 for 2024). Geographic scope and duration are consistent with enforceability standards for senior executives in Colorado.</w:t>
      </w:r>
    </w:p>
    <w:p>
      <w:pPr>
        <w:pStyle w:val="Compact"/>
        <w:numPr>
          <w:ilvl w:val="0"/>
          <w:numId w:val="1002"/>
        </w:numPr>
      </w:pPr>
      <w:r>
        <w:rPr>
          <w:b/>
          <w:bCs/>
        </w:rPr>
        <w:t xml:space="preserve">Hazardous waste transporter registrations:</w:t>
      </w:r>
      <w:r>
        <w:t xml:space="preserve"> </w:t>
      </w:r>
      <w:r>
        <w:t xml:space="preserve">All transporter registrations and DOT hazardous materials transportation registrations are current and held in the name of RES. Pinnacle’s EPA transporter ID was properly deactivated in 2022.</w:t>
      </w:r>
    </w:p>
    <w:p>
      <w:pPr>
        <w:pStyle w:val="Compact"/>
        <w:numPr>
          <w:ilvl w:val="0"/>
          <w:numId w:val="1002"/>
        </w:numPr>
      </w:pPr>
      <w:r>
        <w:rPr>
          <w:b/>
          <w:bCs/>
        </w:rPr>
        <w:t xml:space="preserve">Ogden lease:</w:t>
      </w:r>
      <w:r>
        <w:t xml:space="preserve"> </w:t>
      </w:r>
      <w:r>
        <w:t xml:space="preserve">The Ogden transfer station lease was properly assigned from Pinnacle to RES with landlord consent obtained May 15, 2022. No outstanding issues.</w:t>
      </w:r>
    </w:p>
    <w:p>
      <w:pPr>
        <w:pStyle w:val="Compact"/>
        <w:numPr>
          <w:ilvl w:val="0"/>
          <w:numId w:val="1002"/>
        </w:numPr>
      </w:pPr>
      <w:r>
        <w:rPr>
          <w:b/>
          <w:bCs/>
        </w:rPr>
        <w:t xml:space="preserve">Closed litigation matters:</w:t>
      </w:r>
      <w:r>
        <w:t xml:space="preserve"> </w:t>
      </w:r>
      <w:r>
        <w:t xml:space="preserve">The Clearwater Logistics settlement (resolved March 2024, $1.2M net receipt), the Idaho DEQ informal inquiry (closed August 2022), and the 2022 Grand Junction workers’ compensation claim (resolved, $87K) are all closed with no ongoing exposure.</w:t>
      </w:r>
    </w:p>
    <w:p>
      <w:pPr>
        <w:pStyle w:val="Compact"/>
        <w:numPr>
          <w:ilvl w:val="0"/>
          <w:numId w:val="1002"/>
        </w:numPr>
      </w:pPr>
      <w:r>
        <w:rPr>
          <w:b/>
          <w:bCs/>
        </w:rPr>
        <w:t xml:space="preserve">OSHA recordkeeping citations:</w:t>
      </w:r>
      <w:r>
        <w:t xml:space="preserve"> </w:t>
      </w:r>
      <w:r>
        <w:t xml:space="preserve">The March 2024 OSHA citations ($4,580 total penalties) are paid and closed. No abatement actions were required beyond correction of log entries.</w:t>
      </w:r>
    </w:p>
    <w:p>
      <w:r>
        <w:pict>
          <v:rect style="width:0;height:1.5pt" o:hralign="center" o:hrstd="t" o:hr="t"/>
        </w:pict>
      </w:r>
    </w:p>
    <w:bookmarkEnd w:id="20"/>
    <w:bookmarkStart w:id="21" w:name="section-ii-executive-summary"/>
    <w:p>
      <w:pPr>
        <w:pStyle w:val="Heading2"/>
      </w:pPr>
      <w:r>
        <w:t xml:space="preserve">SECTION II: EXECUTIVE SUMMARY</w:t>
      </w:r>
    </w:p>
    <w:p>
      <w:pPr>
        <w:pStyle w:val="FirstParagraph"/>
      </w:pPr>
      <w:r>
        <w:t xml:space="preserve">This memorandum summarizes</w:t>
      </w:r>
      <w:r>
        <w:t xml:space="preserve"> </w:t>
      </w:r>
      <w:r>
        <w:rPr>
          <w:b/>
          <w:bCs/>
        </w:rPr>
        <w:t xml:space="preserve">twenty-two (22) material red flags</w:t>
      </w:r>
      <w:r>
        <w:t xml:space="preserve"> </w:t>
      </w:r>
      <w:r>
        <w:t xml:space="preserve">identified across seven risk categories. Several findings are individually material and, in combination, raise significant questions about the reliability of the Company’s reported Adjusted EBITDA, the sustainability of its largest revenue relationship, the integrity of its Salt Lake City operations, and the adequacy of its environmental liability reserves.</w:t>
      </w:r>
    </w:p>
    <w:p>
      <w:r>
        <w:pict>
          <v:rect style="width:0;height:1.5pt" o:hralign="center" o:hrstd="t" o:hr="t"/>
        </w:pict>
      </w:r>
    </w:p>
    <w:bookmarkEnd w:id="21"/>
    <w:bookmarkStart w:id="29" w:name="section-iii-red-flag-findings"/>
    <w:p>
      <w:pPr>
        <w:pStyle w:val="Heading2"/>
      </w:pPr>
      <w:r>
        <w:t xml:space="preserve">SECTION III: RED FLAG FINDINGS</w:t>
      </w:r>
    </w:p>
    <w:bookmarkStart w:id="22" w:name="X92a9bcdd817566b54672bbfa46f02cebf5d818d"/>
    <w:p>
      <w:pPr>
        <w:pStyle w:val="Heading3"/>
      </w:pPr>
      <w:r>
        <w:t xml:space="preserve">RISK CATEGORY 1: FINANCIAL QUALITY AND EBITDA INTEGRITY</w:t>
      </w:r>
    </w:p>
    <w:p>
      <w:pPr>
        <w:pStyle w:val="FirstParagraph"/>
      </w:pPr>
      <w:r>
        <w:rPr>
          <w:b/>
          <w:bCs/>
        </w:rPr>
        <w:t xml:space="preserve">RF-01 | CRITICAL | Unreconciled $1.0M Discrepancy in Adjusted EBITDA</w:t>
      </w:r>
    </w:p>
    <w:p>
      <w:pPr>
        <w:pStyle w:val="BodyText"/>
      </w:pPr>
      <w:r>
        <w:t xml:space="preserve">The CIM presents Adjusted EBITDA of</w:t>
      </w:r>
      <w:r>
        <w:t xml:space="preserve"> </w:t>
      </w:r>
      <w:r>
        <w:rPr>
          <w:b/>
          <w:bCs/>
        </w:rPr>
        <w:t xml:space="preserve">$22.8 million</w:t>
      </w:r>
      <w:r>
        <w:t xml:space="preserve">, while the detailed QofE data response calculates Adjusted EBITDA of</w:t>
      </w:r>
      <w:r>
        <w:t xml:space="preserve"> </w:t>
      </w:r>
      <w:r>
        <w:rPr>
          <w:b/>
          <w:bCs/>
        </w:rPr>
        <w:t xml:space="preserve">$23.8 million</w:t>
      </w:r>
      <w:r>
        <w:t xml:space="preserve"> </w:t>
      </w:r>
      <w:r>
        <w:t xml:space="preserve">— a $1.0 million discrepancy. The QofE data package acknowledges this gap and states that</w:t>
      </w:r>
      <w:r>
        <w:t xml:space="preserve"> </w:t>
      </w:r>
      <w:r>
        <w:t xml:space="preserve">“</w:t>
      </w:r>
      <w:r>
        <w:t xml:space="preserve">management intends to reconcile the difference</w:t>
      </w:r>
      <w:r>
        <w:t xml:space="preserve">”</w:t>
      </w:r>
      <w:r>
        <w:t xml:space="preserve"> </w:t>
      </w:r>
      <w:r>
        <w:t xml:space="preserve">but has not yet identified the specific adjustment category causing it. The entire LOI enterprise value range of $182M–$205M is anchored to the $22.8M figure, implying an 8.0x–9.0x multiple.</w:t>
      </w:r>
    </w:p>
    <w:p>
      <w:pPr>
        <w:pStyle w:val="BodyText"/>
      </w:pPr>
      <w:r>
        <w:rPr>
          <w:i/>
          <w:iCs/>
        </w:rPr>
        <w:t xml:space="preserve">Action Required:</w:t>
      </w:r>
      <w:r>
        <w:t xml:space="preserve"> </w:t>
      </w:r>
      <w:r>
        <w:t xml:space="preserve">Demand a fully reconciled, line-item EBITDA bridge signed by the CFO before proceeding. Confirm which figure will govern the purchase price formula in the SPA.</w:t>
      </w:r>
    </w:p>
    <w:p>
      <w:r>
        <w:pict>
          <v:rect style="width:0;height:1.5pt" o:hralign="center" o:hrstd="t" o:hr="t"/>
        </w:pict>
      </w:r>
    </w:p>
    <w:p>
      <w:pPr>
        <w:pStyle w:val="FirstParagraph"/>
      </w:pPr>
      <w:r>
        <w:rPr>
          <w:b/>
          <w:bCs/>
        </w:rPr>
        <w:t xml:space="preserve">RF-02 | HIGH | Aggressive and Potentially Non-Recurring EBITDA Add-Backs Totaling $5.4M</w:t>
      </w:r>
    </w:p>
    <w:p>
      <w:pPr>
        <w:pStyle w:val="BodyText"/>
      </w:pPr>
      <w:r>
        <w:t xml:space="preserve">Management’s $5.4 million in total add-backs include several items that warrant scrutiny: (a) Pinnacle acquisition integration costs of $800K in FY2024, over two and a half years after the March 2022 close; (b) asbestos abatement wind-down costs of $1.8M with two open workers’ compensation claims suggesting tail costs may not be fully captured; (c) owner compensation normalization of $950K that normalizes base salary only, not total compensation including the 50% bonus target — understating the adjustment by approximately $1.0M; and (d) ERP implementation costs of $650K for a</w:t>
      </w:r>
      <w:r>
        <w:t xml:space="preserve"> </w:t>
      </w:r>
      <w:r>
        <w:t xml:space="preserve">“</w:t>
      </w:r>
      <w:r>
        <w:t xml:space="preserve">Phase 2 upgrade</w:t>
      </w:r>
      <w:r>
        <w:t xml:space="preserve">”</w:t>
      </w:r>
      <w:r>
        <w:t xml:space="preserve"> </w:t>
      </w:r>
      <w:r>
        <w:t xml:space="preserve">expected to be completed in Q2 FY2025, suggesting further post-closing costs.</w:t>
      </w:r>
    </w:p>
    <w:p>
      <w:pPr>
        <w:pStyle w:val="BodyText"/>
      </w:pPr>
      <w:r>
        <w:rPr>
          <w:i/>
          <w:iCs/>
        </w:rPr>
        <w:t xml:space="preserve">Action Required:</w:t>
      </w:r>
      <w:r>
        <w:t xml:space="preserve"> </w:t>
      </w:r>
      <w:r>
        <w:t xml:space="preserve">Independently validate each add-back. Reassess the owner compensation normalization using total compensation (base + target bonus) rather than base salary only.</w:t>
      </w:r>
    </w:p>
    <w:p>
      <w:r>
        <w:pict>
          <v:rect style="width:0;height:1.5pt" o:hralign="center" o:hrstd="t" o:hr="t"/>
        </w:pict>
      </w:r>
    </w:p>
    <w:p>
      <w:pPr>
        <w:pStyle w:val="FirstParagraph"/>
      </w:pPr>
      <w:r>
        <w:rPr>
          <w:b/>
          <w:bCs/>
        </w:rPr>
        <w:t xml:space="preserve">RF-03 | HIGH | Bank EBITDA vs. Management EBITDA: $4.4M Gap with Covenant Implications</w:t>
      </w:r>
    </w:p>
    <w:p>
      <w:pPr>
        <w:pStyle w:val="BodyText"/>
      </w:pPr>
      <w:r>
        <w:t xml:space="preserve">The credit agreement summary states that the bank’s definition of Consolidated EBITDA produces approximately</w:t>
      </w:r>
      <w:r>
        <w:t xml:space="preserve"> </w:t>
      </w:r>
      <w:r>
        <w:rPr>
          <w:b/>
          <w:bCs/>
        </w:rPr>
        <w:t xml:space="preserve">$18.4 million</w:t>
      </w:r>
      <w:r>
        <w:t xml:space="preserve"> </w:t>
      </w:r>
      <w:r>
        <w:t xml:space="preserve">for the TTM period. The bank expressly excludes all $5.4M in management add-backs (only up to $500K of non-recurring charges are permitted). The resulting bank leverage ratio is</w:t>
      </w:r>
      <w:r>
        <w:t xml:space="preserve"> </w:t>
      </w:r>
      <w:r>
        <w:rPr>
          <w:b/>
          <w:bCs/>
        </w:rPr>
        <w:t xml:space="preserve">2.10x</w:t>
      </w:r>
      <w:r>
        <w:t xml:space="preserve"> </w:t>
      </w:r>
      <w:r>
        <w:t xml:space="preserve">($38.7M / $18.4M), not the 1.70x implied by management’s adjusted figure. While 2.10x is within the 3.50x covenant maximum, the gap signals that the business’s true normalized earnings power may be materially lower than presented.</w:t>
      </w:r>
    </w:p>
    <w:p>
      <w:pPr>
        <w:pStyle w:val="BodyText"/>
      </w:pPr>
      <w:r>
        <w:rPr>
          <w:i/>
          <w:iCs/>
        </w:rPr>
        <w:t xml:space="preserve">Action Required:</w:t>
      </w:r>
      <w:r>
        <w:t xml:space="preserve"> </w:t>
      </w:r>
      <w:r>
        <w:t xml:space="preserve">Model covenant compliance using bank-definition EBITDA under downside scenarios, particularly given the DOE revenue cliff risk identified in RF-05.</w:t>
      </w:r>
    </w:p>
    <w:p>
      <w:r>
        <w:pict>
          <v:rect style="width:0;height:1.5pt" o:hralign="center" o:hrstd="t" o:hr="t"/>
        </w:pict>
      </w:r>
    </w:p>
    <w:p>
      <w:pPr>
        <w:pStyle w:val="FirstParagraph"/>
      </w:pPr>
      <w:r>
        <w:rPr>
          <w:b/>
          <w:bCs/>
        </w:rPr>
        <w:t xml:space="preserve">RF-04 | MEDIUM | Reported EBITDA Declined 27% Year-Over-Year Despite Revenue Growth</w:t>
      </w:r>
    </w:p>
    <w:p>
      <w:pPr>
        <w:pStyle w:val="BodyText"/>
      </w:pPr>
      <w:r>
        <w:t xml:space="preserve">The historical P&amp;L shows that reported EBITDA declined from</w:t>
      </w:r>
      <w:r>
        <w:t xml:space="preserve"> </w:t>
      </w:r>
      <w:r>
        <w:rPr>
          <w:b/>
          <w:bCs/>
        </w:rPr>
        <w:t xml:space="preserve">$25.2M in FY2023 to $18.4M in FY2024</w:t>
      </w:r>
      <w:r>
        <w:t xml:space="preserve"> </w:t>
      </w:r>
      <w:r>
        <w:t xml:space="preserve">— a 27% decline — while revenue grew 11.1%. EBITDA margins on a reported basis compressed from 22.0% (FY2023) to 14.5% (FY2024).</w:t>
      </w:r>
    </w:p>
    <w:p>
      <w:pPr>
        <w:pStyle w:val="BodyText"/>
      </w:pPr>
      <w:r>
        <w:rPr>
          <w:i/>
          <w:iCs/>
        </w:rPr>
        <w:t xml:space="preserve">Action Required:</w:t>
      </w:r>
      <w:r>
        <w:t xml:space="preserve"> </w:t>
      </w:r>
      <w:r>
        <w:t xml:space="preserve">Obtain a detailed bridge from FY2023 to FY2024 reported EBITDA, identifying each driver of the decline. Confirm that no recurring cost increases are embedded in the</w:t>
      </w:r>
      <w:r>
        <w:t xml:space="preserve"> </w:t>
      </w:r>
      <w:r>
        <w:t xml:space="preserve">“</w:t>
      </w:r>
      <w:r>
        <w:t xml:space="preserve">non-recurring</w:t>
      </w:r>
      <w:r>
        <w:t xml:space="preserve">”</w:t>
      </w:r>
      <w:r>
        <w:t xml:space="preserve"> </w:t>
      </w:r>
      <w:r>
        <w:t xml:space="preserve">categories.</w:t>
      </w:r>
    </w:p>
    <w:p>
      <w:r>
        <w:pict>
          <v:rect style="width:0;height:1.5pt" o:hralign="center" o:hrstd="t" o:hr="t"/>
        </w:pict>
      </w:r>
    </w:p>
    <w:bookmarkEnd w:id="22"/>
    <w:bookmarkStart w:id="23" w:name="X1be54f78d9dc88de59e8353a00dcd35394a2681"/>
    <w:p>
      <w:pPr>
        <w:pStyle w:val="Heading3"/>
      </w:pPr>
      <w:r>
        <w:t xml:space="preserve">RISK CATEGORY 2: REVENUE SUSTAINABILITY AND CUSTOMER CONCENTRATION</w:t>
      </w:r>
    </w:p>
    <w:p>
      <w:pPr>
        <w:pStyle w:val="FirstParagraph"/>
      </w:pPr>
      <w:r>
        <w:rPr>
          <w:b/>
          <w:bCs/>
        </w:rPr>
        <w:t xml:space="preserve">RF-05 | CRITICAL | DOE IDIQ Contract Ceiling Near Exhaustion — $12.1M+ Revenue Cliff in FY2025</w:t>
      </w:r>
    </w:p>
    <w:p>
      <w:pPr>
        <w:pStyle w:val="BodyText"/>
      </w:pPr>
      <w:r>
        <w:t xml:space="preserve">The DOE IDIQ contract (Contract No. DE-EM-0005523) is the Company’s largest customer at</w:t>
      </w:r>
      <w:r>
        <w:t xml:space="preserve"> </w:t>
      </w:r>
      <w:r>
        <w:rPr>
          <w:b/>
          <w:bCs/>
        </w:rPr>
        <w:t xml:space="preserve">$24.4M (19.2% of TTM revenue)</w:t>
      </w:r>
      <w:r>
        <w:t xml:space="preserve">. The DOE IDIQ Utilization Analysis reveals that</w:t>
      </w:r>
      <w:r>
        <w:t xml:space="preserve"> </w:t>
      </w:r>
      <w:r>
        <w:rPr>
          <w:b/>
          <w:bCs/>
        </w:rPr>
        <w:t xml:space="preserve">72.7% of the $45M ceiling has been consumed</w:t>
      </w:r>
      <w:r>
        <w:t xml:space="preserve"> </w:t>
      </w:r>
      <w:r>
        <w:t xml:space="preserve">($32.7M obligated) in only</w:t>
      </w:r>
      <w:r>
        <w:t xml:space="preserve"> </w:t>
      </w:r>
      <w:r>
        <w:rPr>
          <w:b/>
          <w:bCs/>
        </w:rPr>
        <w:t xml:space="preserve">61.7% of the contract period</w:t>
      </w:r>
      <w:r>
        <w:t xml:space="preserve">. At the current run rate of approximately $2.03M per month, the remaining $12.3M ceiling will be exhausted by approximately</w:t>
      </w:r>
      <w:r>
        <w:t xml:space="preserve"> </w:t>
      </w:r>
      <w:r>
        <w:rPr>
          <w:b/>
          <w:bCs/>
        </w:rPr>
        <w:t xml:space="preserve">April–May 2025</w:t>
      </w:r>
      <w:r>
        <w:t xml:space="preserve"> </w:t>
      </w:r>
      <w:r>
        <w:t xml:space="preserve">— coinciding with the target closing date. The contract does not expire until August 31, 2026, leaving approximately 16 months of unfunded contract period. Unless the DOE issues a ceiling modification or a new contract is awarded, FY2025 DOE revenue could decline from $24.4M to $12.3M or less — a</w:t>
      </w:r>
      <w:r>
        <w:t xml:space="preserve"> </w:t>
      </w:r>
      <w:r>
        <w:rPr>
          <w:b/>
          <w:bCs/>
        </w:rPr>
        <w:t xml:space="preserve">$12.1M revenue headwind representing 9.5% of current total revenue</w:t>
      </w:r>
      <w:r>
        <w:t xml:space="preserve">.</w:t>
      </w:r>
    </w:p>
    <w:p>
      <w:pPr>
        <w:pStyle w:val="BodyText"/>
      </w:pPr>
      <w:r>
        <w:rPr>
          <w:i/>
          <w:iCs/>
        </w:rPr>
        <w:t xml:space="preserve">Action Required:</w:t>
      </w:r>
      <w:r>
        <w:t xml:space="preserve"> </w:t>
      </w:r>
      <w:r>
        <w:t xml:space="preserve">Require management to provide written confirmation of the status of any pending ceiling modification request. Model the acquisition at a DOE revenue run rate of $12.3M (ceiling-constrained) rather than $24.4M. Consider a purchase price adjustment mechanism or earnout tied to DOE revenue performance.</w:t>
      </w:r>
    </w:p>
    <w:p>
      <w:r>
        <w:pict>
          <v:rect style="width:0;height:1.5pt" o:hralign="center" o:hrstd="t" o:hr="t"/>
        </w:pict>
      </w:r>
    </w:p>
    <w:p>
      <w:pPr>
        <w:pStyle w:val="FirstParagraph"/>
      </w:pPr>
      <w:r>
        <w:rPr>
          <w:b/>
          <w:bCs/>
        </w:rPr>
        <w:t xml:space="preserve">RF-06 | HIGH | DOE Contract Non-Assignability and Novation Risk</w:t>
      </w:r>
    </w:p>
    <w:p>
      <w:pPr>
        <w:pStyle w:val="BodyText"/>
      </w:pPr>
      <w:r>
        <w:t xml:space="preserve">The DOE IDIQ contract is subject to the Anti-Assignment Act (41 U.S.C. § 6305) and FAR 42.12. The contract’s Section H, Clause H-12 requires written notification to the Contracting Officer within 30 days of any change in ownership exceeding 50%. Failure to notify may be grounds for termination for default. The DOE has not been contacted regarding the proposed transaction.</w:t>
      </w:r>
    </w:p>
    <w:p>
      <w:pPr>
        <w:pStyle w:val="BodyText"/>
      </w:pPr>
      <w:r>
        <w:rPr>
          <w:i/>
          <w:iCs/>
        </w:rPr>
        <w:t xml:space="preserve">Action Required:</w:t>
      </w:r>
      <w:r>
        <w:t xml:space="preserve"> </w:t>
      </w:r>
      <w:r>
        <w:t xml:space="preserve">Engage DOE Contracting Officer pre-signing to initiate the novation process. Make receipt of a satisfactory novation agreement a condition to closing.</w:t>
      </w:r>
    </w:p>
    <w:p>
      <w:r>
        <w:pict>
          <v:rect style="width:0;height:1.5pt" o:hralign="center" o:hrstd="t" o:hr="t"/>
        </w:pict>
      </w:r>
    </w:p>
    <w:p>
      <w:pPr>
        <w:pStyle w:val="FirstParagraph"/>
      </w:pPr>
      <w:r>
        <w:rPr>
          <w:b/>
          <w:bCs/>
        </w:rPr>
        <w:t xml:space="preserve">RF-07 | HIGH | Customer Concentration — Top 5 Customers = 50.4% of Revenue; Multiple Short-Notice Termination Rights</w:t>
      </w:r>
    </w:p>
    <w:p>
      <w:pPr>
        <w:pStyle w:val="BodyText"/>
      </w:pPr>
      <w:r>
        <w:t xml:space="preserve">The top 5 customers account for 50.4% of TTM revenue ($64.1M). Twelve of the top 20 contracts include termination for convenience clauses with notice periods of 60 days or less. The Intermountain Health Systems contract ($7.1M, 5.6% of revenue) expires June 30, 2025 — within the expected closing window — and the renewal option has not yet been exercised.</w:t>
      </w:r>
    </w:p>
    <w:p>
      <w:pPr>
        <w:pStyle w:val="BodyText"/>
      </w:pPr>
      <w:r>
        <w:rPr>
          <w:i/>
          <w:iCs/>
        </w:rPr>
        <w:t xml:space="preserve">Action Required:</w:t>
      </w:r>
      <w:r>
        <w:t xml:space="preserve"> </w:t>
      </w:r>
      <w:r>
        <w:t xml:space="preserve">Obtain written confirmation from CMMC and Intermountain Health Systems of their intent to continue the relationship post-closing. Confirm Intermountain renewal status before signing.</w:t>
      </w:r>
    </w:p>
    <w:p>
      <w:r>
        <w:pict>
          <v:rect style="width:0;height:1.5pt" o:hralign="center" o:hrstd="t" o:hr="t"/>
        </w:pict>
      </w:r>
    </w:p>
    <w:p>
      <w:pPr>
        <w:pStyle w:val="FirstParagraph"/>
      </w:pPr>
      <w:r>
        <w:rPr>
          <w:b/>
          <w:bCs/>
        </w:rPr>
        <w:t xml:space="preserve">RF-08 | HIGH | Salt Lake City Facility Serves ~$16.2M of Revenue Under Unresolved Lease and Permit</w:t>
      </w:r>
    </w:p>
    <w:p>
      <w:pPr>
        <w:pStyle w:val="BodyText"/>
      </w:pPr>
      <w:r>
        <w:t xml:space="preserve">Approximately</w:t>
      </w:r>
      <w:r>
        <w:t xml:space="preserve"> </w:t>
      </w:r>
      <w:r>
        <w:rPr>
          <w:b/>
          <w:bCs/>
        </w:rPr>
        <w:t xml:space="preserve">$16.2M (12.7%) of annual revenue</w:t>
      </w:r>
      <w:r>
        <w:t xml:space="preserve"> </w:t>
      </w:r>
      <w:r>
        <w:t xml:space="preserve">is served from the Salt Lake City transfer station. This facility operates under (a) a lease that remains in the name of Pinnacle Waste Solutions, LLC with a landlord consent-to-assignment pending since April 2022 and never formally granted, and (b) a hazardous waste permit (UTH-0441) that remains in Pinnacle’s name and has not been transferred to RES. The proposed Sycamore acquisition would layer a second change-of-control event on top of the unresolved prior assignment. The landlord sent a lease compliance inquiry in November 2024 specifically referencing the consent-to-assignment clause.</w:t>
      </w:r>
    </w:p>
    <w:p>
      <w:pPr>
        <w:pStyle w:val="BodyText"/>
      </w:pPr>
      <w:r>
        <w:rPr>
          <w:i/>
          <w:iCs/>
        </w:rPr>
        <w:t xml:space="preserve">Action Required:</w:t>
      </w:r>
      <w:r>
        <w:t xml:space="preserve"> </w:t>
      </w:r>
      <w:r>
        <w:t xml:space="preserve">Obtain landlord consent to the Pinnacle-to-RES assignment and the Sycamore acquisition as a condition to closing. Confirm Utah DEQ permit transfer status and timeline. Do not close without resolution of both the lease and permit issues.</w:t>
      </w:r>
    </w:p>
    <w:p>
      <w:r>
        <w:pict>
          <v:rect style="width:0;height:1.5pt" o:hralign="center" o:hrstd="t" o:hr="t"/>
        </w:pict>
      </w:r>
    </w:p>
    <w:bookmarkEnd w:id="23"/>
    <w:bookmarkStart w:id="24" w:name="Xa0b60e84246238812eead0d40ed4aadfab3ea33"/>
    <w:p>
      <w:pPr>
        <w:pStyle w:val="Heading3"/>
      </w:pPr>
      <w:r>
        <w:t xml:space="preserve">RISK CATEGORY 3: ENVIRONMENTAL AND REGULATORY</w:t>
      </w:r>
    </w:p>
    <w:p>
      <w:pPr>
        <w:pStyle w:val="FirstParagraph"/>
      </w:pPr>
      <w:r>
        <w:rPr>
          <w:b/>
          <w:bCs/>
        </w:rPr>
        <w:t xml:space="preserve">RF-09 | CRITICAL | Grand Junction Phase II ESA Is Five Years Stale — Contamination Scope Unknown</w:t>
      </w:r>
    </w:p>
    <w:p>
      <w:pPr>
        <w:pStyle w:val="BodyText"/>
      </w:pPr>
      <w:r>
        <w:t xml:space="preserve">The Phase II ESA for the Company’s owned Grand Junction headquarters was completed in</w:t>
      </w:r>
      <w:r>
        <w:t xml:space="preserve"> </w:t>
      </w:r>
      <w:r>
        <w:rPr>
          <w:b/>
          <w:bCs/>
        </w:rPr>
        <w:t xml:space="preserve">June 2019</w:t>
      </w:r>
      <w:r>
        <w:t xml:space="preserve"> </w:t>
      </w:r>
      <w:r>
        <w:t xml:space="preserve">— over five years ago. The ESA identified significant soil and groundwater contamination: PCE at 18 mg/kg (5.3x the CDPHE cleanup level), TCE at 6.8 mg/kg (3.0x the cleanup level), and benzene in groundwater at 12 µg/L (2.4x the Colorado Basic Standard). The ESA explicitly recommended: (1) installation of off-site downgradient monitoring wells to confirm plume containment, (2) a vapor intrusion assessment for the occupied vehicle maintenance building, and (3) periodic re-assessment before any property transaction.</w:t>
      </w:r>
      <w:r>
        <w:t xml:space="preserve"> </w:t>
      </w:r>
      <w:r>
        <w:rPr>
          <w:b/>
          <w:bCs/>
        </w:rPr>
        <w:t xml:space="preserve">None of these recommendations have been implemented.</w:t>
      </w:r>
      <w:r>
        <w:t xml:space="preserve"> </w:t>
      </w:r>
      <w:r>
        <w:t xml:space="preserve">The contamination involves DNAPLs (PCE/TCE) that can migrate vertically through the aquifer — meaning the plume may have expanded materially since 2019.</w:t>
      </w:r>
    </w:p>
    <w:p>
      <w:pPr>
        <w:pStyle w:val="BodyText"/>
      </w:pPr>
      <w:r>
        <w:rPr>
          <w:i/>
          <w:iCs/>
        </w:rPr>
        <w:t xml:space="preserve">Action Required:</w:t>
      </w:r>
      <w:r>
        <w:t xml:space="preserve"> </w:t>
      </w:r>
      <w:r>
        <w:t xml:space="preserve">Commission an updated Phase II ESA and vapor intrusion assessment immediately, with results available before signing. Negotiate a specific environmental indemnity with a cap above the general indemnity cap. Consider a separate environmental escrow.</w:t>
      </w:r>
    </w:p>
    <w:p>
      <w:r>
        <w:pict>
          <v:rect style="width:0;height:1.5pt" o:hralign="center" o:hrstd="t" o:hr="t"/>
        </w:pict>
      </w:r>
    </w:p>
    <w:p>
      <w:pPr>
        <w:pStyle w:val="FirstParagraph"/>
      </w:pPr>
      <w:r>
        <w:rPr>
          <w:b/>
          <w:bCs/>
        </w:rPr>
        <w:t xml:space="preserve">RF-10 | HIGH | CDPHE Enforcement Action — Penalty Exposure Up to $1.16M; No Accrual Recorded</w:t>
      </w:r>
    </w:p>
    <w:p>
      <w:pPr>
        <w:pStyle w:val="BodyText"/>
      </w:pPr>
      <w:r>
        <w:t xml:space="preserve">CDPHE issued a Notice of Violation (Docket No. CDPHE-HW-2024-0093) on July 18, 2024, alleging improper storage of approximately 14,000 gallons of F001/F002 listed hazardous waste at the Grand Junction facility. The Company asserts a 12-day violation period (maximum penalty: $450,000); CDPHE asserts a 31-day violation period (maximum penalty: $1,162,500).</w:t>
      </w:r>
      <w:r>
        <w:t xml:space="preserve"> </w:t>
      </w:r>
      <w:r>
        <w:rPr>
          <w:b/>
          <w:bCs/>
        </w:rPr>
        <w:t xml:space="preserve">No accrual has been recorded</w:t>
      </w:r>
      <w:r>
        <w:t xml:space="preserve"> </w:t>
      </w:r>
      <w:r>
        <w:t xml:space="preserve">on the Company’s balance sheet as of September 30, 2024.</w:t>
      </w:r>
    </w:p>
    <w:p>
      <w:pPr>
        <w:pStyle w:val="BodyText"/>
      </w:pPr>
      <w:r>
        <w:rPr>
          <w:i/>
          <w:iCs/>
        </w:rPr>
        <w:t xml:space="preserve">Action Required:</w:t>
      </w:r>
      <w:r>
        <w:t xml:space="preserve"> </w:t>
      </w:r>
      <w:r>
        <w:t xml:space="preserve">Require the Company to accrue the low end of the estimated settlement range ($200K) before closing. Negotiate a specific indemnification provision covering the full CDPHE penalty exposure, with survival through final resolution.</w:t>
      </w:r>
    </w:p>
    <w:p>
      <w:r>
        <w:pict>
          <v:rect style="width:0;height:1.5pt" o:hralign="center" o:hrstd="t" o:hr="t"/>
        </w:pict>
      </w:r>
    </w:p>
    <w:p>
      <w:pPr>
        <w:pStyle w:val="FirstParagraph"/>
      </w:pPr>
      <w:r>
        <w:rPr>
          <w:b/>
          <w:bCs/>
        </w:rPr>
        <w:t xml:space="preserve">RF-11 | HIGH | Wyoming Casper Permit Expired November 30, 2024 — Operating on Timely Renewal Provisions</w:t>
      </w:r>
    </w:p>
    <w:p>
      <w:pPr>
        <w:pStyle w:val="BodyText"/>
      </w:pPr>
      <w:r>
        <w:t xml:space="preserve">The Wyoming hazardous waste permit (WY-HW-2019-033) for the Casper facility</w:t>
      </w:r>
      <w:r>
        <w:t xml:space="preserve"> </w:t>
      </w:r>
      <w:r>
        <w:rPr>
          <w:b/>
          <w:bCs/>
        </w:rPr>
        <w:t xml:space="preserve">expired November 30, 2024</w:t>
      </w:r>
      <w:r>
        <w:t xml:space="preserve">. The Company is currently operating under</w:t>
      </w:r>
      <w:r>
        <w:t xml:space="preserve"> </w:t>
      </w:r>
      <w:r>
        <w:t xml:space="preserve">“</w:t>
      </w:r>
      <w:r>
        <w:t xml:space="preserve">timely renewal provisions.</w:t>
      </w:r>
      <w:r>
        <w:t xml:space="preserve">”</w:t>
      </w:r>
      <w:r>
        <w:t xml:space="preserve"> </w:t>
      </w:r>
      <w:r>
        <w:t xml:space="preserve">The credit agreement identifies permit revocation or non-renewal as an Event of Default.</w:t>
      </w:r>
    </w:p>
    <w:p>
      <w:pPr>
        <w:pStyle w:val="BodyText"/>
      </w:pPr>
      <w:r>
        <w:rPr>
          <w:i/>
          <w:iCs/>
        </w:rPr>
        <w:t xml:space="preserve">Action Required:</w:t>
      </w:r>
      <w:r>
        <w:t xml:space="preserve"> </w:t>
      </w:r>
      <w:r>
        <w:t xml:space="preserve">Obtain written confirmation from Wyoming DEQ of the renewal application’s completeness and expected timeline. Make receipt of the renewed permit a condition to closing. Confirm that the lender has been notified of the permit expiration.</w:t>
      </w:r>
    </w:p>
    <w:p>
      <w:r>
        <w:pict>
          <v:rect style="width:0;height:1.5pt" o:hralign="center" o:hrstd="t" o:hr="t"/>
        </w:pict>
      </w:r>
    </w:p>
    <w:p>
      <w:pPr>
        <w:pStyle w:val="FirstParagraph"/>
      </w:pPr>
      <w:r>
        <w:rPr>
          <w:b/>
          <w:bCs/>
        </w:rPr>
        <w:t xml:space="preserve">RF-12 | HIGH | Asbestos Abatement Long-Tail Liability — Pre-2015 Work Not Covered by Insurance</w:t>
      </w:r>
    </w:p>
    <w:p>
      <w:pPr>
        <w:pStyle w:val="BodyText"/>
      </w:pPr>
      <w:r>
        <w:t xml:space="preserve">RES operated an asbestos abatement service line from 2012 through September 30, 2023, performing work at approximately 145 commercial and industrial sites. The current Pollution Legal Liability policy has a</w:t>
      </w:r>
      <w:r>
        <w:t xml:space="preserve"> </w:t>
      </w:r>
      <w:r>
        <w:rPr>
          <w:b/>
          <w:bCs/>
        </w:rPr>
        <w:t xml:space="preserve">retroactive date of January 1, 2015</w:t>
      </w:r>
      <w:r>
        <w:t xml:space="preserve">, meaning that claims arising from work performed during</w:t>
      </w:r>
      <w:r>
        <w:t xml:space="preserve"> </w:t>
      </w:r>
      <w:r>
        <w:rPr>
          <w:b/>
          <w:bCs/>
        </w:rPr>
        <w:t xml:space="preserve">2012–2014 are not covered</w:t>
      </w:r>
      <w:r>
        <w:t xml:space="preserve">. Two workers’ compensation claims from former asbestos employees remain open. The CGL policy contains a blanket asbestos exclusion. No tail coverage has been procured.</w:t>
      </w:r>
    </w:p>
    <w:p>
      <w:pPr>
        <w:pStyle w:val="BodyText"/>
      </w:pPr>
      <w:r>
        <w:rPr>
          <w:i/>
          <w:iCs/>
        </w:rPr>
        <w:t xml:space="preserve">Action Required:</w:t>
      </w:r>
      <w:r>
        <w:t xml:space="preserve"> </w:t>
      </w:r>
      <w:r>
        <w:t xml:space="preserve">Require the Company to procure an asbestos completed operations tail policy covering the 2012–2014 period before closing, or negotiate a specific indemnification provision with an extended survival period (minimum 10 years) and a dedicated escrow.</w:t>
      </w:r>
    </w:p>
    <w:p>
      <w:r>
        <w:pict>
          <v:rect style="width:0;height:1.5pt" o:hralign="center" o:hrstd="t" o:hr="t"/>
        </w:pict>
      </w:r>
    </w:p>
    <w:p>
      <w:pPr>
        <w:pStyle w:val="FirstParagraph"/>
      </w:pPr>
      <w:r>
        <w:rPr>
          <w:b/>
          <w:bCs/>
        </w:rPr>
        <w:t xml:space="preserve">RF-13 | MEDIUM | Grand Junction Remediation Accrual Based on 2019 Estimates — Likely Understated</w:t>
      </w:r>
    </w:p>
    <w:p>
      <w:pPr>
        <w:pStyle w:val="BodyText"/>
      </w:pPr>
      <w:r>
        <w:t xml:space="preserve">The Company’s $2.2M Grand Junction remediation accrual is based on the 2019 Phase II ESA cost estimate of $1.8M–$2.6M in 2019 dollars. This estimate does not include costs for vapor intrusion assessment or mitigation, off-site remediation if plume migration is confirmed, or potential natural resource damage claims.</w:t>
      </w:r>
    </w:p>
    <w:p>
      <w:pPr>
        <w:pStyle w:val="BodyText"/>
      </w:pPr>
      <w:r>
        <w:rPr>
          <w:i/>
          <w:iCs/>
        </w:rPr>
        <w:t xml:space="preserve">Action Required:</w:t>
      </w:r>
      <w:r>
        <w:t xml:space="preserve"> </w:t>
      </w:r>
      <w:r>
        <w:t xml:space="preserve">Obtain an updated independent remediation cost estimate as part of the updated Phase II ESA recommended in RF-09. Adjust the purchase price or escrow to reflect the updated estimate.</w:t>
      </w:r>
    </w:p>
    <w:p>
      <w:r>
        <w:pict>
          <v:rect style="width:0;height:1.5pt" o:hralign="center" o:hrstd="t" o:hr="t"/>
        </w:pict>
      </w:r>
    </w:p>
    <w:bookmarkEnd w:id="24"/>
    <w:bookmarkStart w:id="25" w:name="Xe2b82855512eb9fdec19fda053532e957da277d"/>
    <w:p>
      <w:pPr>
        <w:pStyle w:val="Heading3"/>
      </w:pPr>
      <w:r>
        <w:t xml:space="preserve">RISK CATEGORY 4: LEGAL AND REGULATORY PROCEEDINGS</w:t>
      </w:r>
    </w:p>
    <w:p>
      <w:pPr>
        <w:pStyle w:val="FirstParagraph"/>
      </w:pPr>
      <w:r>
        <w:rPr>
          <w:b/>
          <w:bCs/>
        </w:rPr>
        <w:t xml:space="preserve">RF-14 | HIGH | Ramirez Personal Injury Lawsuit — Insurance Coverage Uncertain; $4.8M Claimed</w:t>
      </w:r>
    </w:p>
    <w:p>
      <w:pPr>
        <w:pStyle w:val="BodyText"/>
      </w:pPr>
      <w:r>
        <w:t xml:space="preserve">Miguel Ramirez, a former field technician, filed a personal injury action (Case No. 2:24-cv-00187, D. Wyo.) on August 12, 2024, alleging VOC and heavy metal exposure at a Sheridan, Wyoming remediation site. Plaintiff seeks</w:t>
      </w:r>
      <w:r>
        <w:t xml:space="preserve"> </w:t>
      </w:r>
      <w:r>
        <w:rPr>
          <w:b/>
          <w:bCs/>
        </w:rPr>
        <w:t xml:space="preserve">$4.8M</w:t>
      </w:r>
      <w:r>
        <w:t xml:space="preserve"> </w:t>
      </w:r>
      <w:r>
        <w:t xml:space="preserve">including punitive damages. The insurer has issued a</w:t>
      </w:r>
      <w:r>
        <w:t xml:space="preserve"> </w:t>
      </w:r>
      <w:r>
        <w:rPr>
          <w:b/>
          <w:bCs/>
        </w:rPr>
        <w:t xml:space="preserve">reservation of rights letter</w:t>
      </w:r>
      <w:r>
        <w:t xml:space="preserve"> </w:t>
      </w:r>
      <w:r>
        <w:t xml:space="preserve">dated September 19, 2024, and coverage determination remains pending. The credit agreement’s Events of Default include entry of a judgment in excess of $1.0M not covered by insurance.</w:t>
      </w:r>
    </w:p>
    <w:p>
      <w:pPr>
        <w:pStyle w:val="BodyText"/>
      </w:pPr>
      <w:r>
        <w:rPr>
          <w:i/>
          <w:iCs/>
        </w:rPr>
        <w:t xml:space="preserve">Action Required:</w:t>
      </w:r>
      <w:r>
        <w:t xml:space="preserve"> </w:t>
      </w:r>
      <w:r>
        <w:t xml:space="preserve">Obtain a copy of the reservation of rights letter and all insurer correspondence. Negotiate a specific indemnification provision covering this matter with survival through final resolution.</w:t>
      </w:r>
    </w:p>
    <w:p>
      <w:r>
        <w:pict>
          <v:rect style="width:0;height:1.5pt" o:hralign="center" o:hrstd="t" o:hr="t"/>
        </w:pict>
      </w:r>
    </w:p>
    <w:p>
      <w:pPr>
        <w:pStyle w:val="FirstParagraph"/>
      </w:pPr>
      <w:r>
        <w:rPr>
          <w:b/>
          <w:bCs/>
        </w:rPr>
        <w:t xml:space="preserve">RF-15 | MEDIUM | Former Employee Wage Claim — FLSA Overtime Exposure; No Accrual</w:t>
      </w:r>
    </w:p>
    <w:p>
      <w:pPr>
        <w:pStyle w:val="BodyText"/>
      </w:pPr>
      <w:r>
        <w:t xml:space="preserve">In October 2024, RES received a demand letter from counsel representing approximately 8 former asbestos abatement employees alleging unpaid overtime under the FLSA and Colorado COMPS Order. Total claimed exposure is approximately</w:t>
      </w:r>
      <w:r>
        <w:t xml:space="preserve"> </w:t>
      </w:r>
      <w:r>
        <w:rPr>
          <w:b/>
          <w:bCs/>
        </w:rPr>
        <w:t xml:space="preserve">$330,000</w:t>
      </w:r>
      <w:r>
        <w:t xml:space="preserve"> </w:t>
      </w:r>
      <w:r>
        <w:t xml:space="preserve">(including FLSA double damages). No lawsuit has been filed and no accrual has been recorded.</w:t>
      </w:r>
    </w:p>
    <w:p>
      <w:pPr>
        <w:pStyle w:val="BodyText"/>
      </w:pPr>
      <w:r>
        <w:rPr>
          <w:i/>
          <w:iCs/>
        </w:rPr>
        <w:t xml:space="preserve">Action Required:</w:t>
      </w:r>
      <w:r>
        <w:t xml:space="preserve"> </w:t>
      </w:r>
      <w:r>
        <w:t xml:space="preserve">Obtain the demand letter and the Company’s employment counsel analysis. Require accrual of the estimated exposure before closing.</w:t>
      </w:r>
    </w:p>
    <w:p>
      <w:r>
        <w:pict>
          <v:rect style="width:0;height:1.5pt" o:hralign="center" o:hrstd="t" o:hr="t"/>
        </w:pict>
      </w:r>
    </w:p>
    <w:p>
      <w:pPr>
        <w:pStyle w:val="FirstParagraph"/>
      </w:pPr>
      <w:r>
        <w:rPr>
          <w:b/>
          <w:bCs/>
        </w:rPr>
        <w:t xml:space="preserve">RF-16 | MEDIUM | OSHA Recordkeeping Violations — TRIR Reliability Questioned</w:t>
      </w:r>
    </w:p>
    <w:p>
      <w:pPr>
        <w:pStyle w:val="BodyText"/>
      </w:pPr>
      <w:r>
        <w:t xml:space="preserve">In March 2024, OSHA Region VIII cited the Grand Junction and Casper facilities for failure to timely record three recordable injuries on OSHA Form 300 logs during calendar year 2023. The failure raises questions about the accuracy of the Company’s reported TRIR (2.8 for FY2024) and the reliability of its safety metrics, which are used as a basis for executive bonus calculations and cited as a competitive differentiator in the CIM.</w:t>
      </w:r>
    </w:p>
    <w:p>
      <w:pPr>
        <w:pStyle w:val="BodyText"/>
      </w:pPr>
      <w:r>
        <w:rPr>
          <w:i/>
          <w:iCs/>
        </w:rPr>
        <w:t xml:space="preserve">Action Required:</w:t>
      </w:r>
      <w:r>
        <w:t xml:space="preserve"> </w:t>
      </w:r>
      <w:r>
        <w:t xml:space="preserve">Obtain the OSHA citations and the corrected Form 300 logs. Recalculate the TRIR using corrected data.</w:t>
      </w:r>
    </w:p>
    <w:p>
      <w:r>
        <w:pict>
          <v:rect style="width:0;height:1.5pt" o:hralign="center" o:hrstd="t" o:hr="t"/>
        </w:pict>
      </w:r>
    </w:p>
    <w:bookmarkEnd w:id="25"/>
    <w:bookmarkStart w:id="26" w:name="Xdaa921aec8eff14c8275471eccac8cc1516ce1a"/>
    <w:p>
      <w:pPr>
        <w:pStyle w:val="Heading3"/>
      </w:pPr>
      <w:r>
        <w:t xml:space="preserve">RISK CATEGORY 5: TRANSACTION STRUCTURE AND CLOSING MECHANICS</w:t>
      </w:r>
    </w:p>
    <w:p>
      <w:pPr>
        <w:pStyle w:val="FirstParagraph"/>
      </w:pPr>
      <w:r>
        <w:rPr>
          <w:b/>
          <w:bCs/>
        </w:rPr>
        <w:t xml:space="preserve">RF-17 | CRITICAL | $38.7M Credit Facility Requires Mandatory Prepayment at Closing — $263K Prepayment Premium</w:t>
      </w:r>
    </w:p>
    <w:p>
      <w:pPr>
        <w:pStyle w:val="BodyText"/>
      </w:pPr>
      <w:r>
        <w:t xml:space="preserve">The High Plains National Bank credit agreement defines</w:t>
      </w:r>
      <w:r>
        <w:t xml:space="preserve"> </w:t>
      </w:r>
      <w:r>
        <w:t xml:space="preserve">“</w:t>
      </w:r>
      <w:r>
        <w:t xml:space="preserve">Change of Control</w:t>
      </w:r>
      <w:r>
        <w:t xml:space="preserve">”</w:t>
      </w:r>
      <w:r>
        <w:t xml:space="preserve"> </w:t>
      </w:r>
      <w:r>
        <w:t xml:space="preserve">to include any acquisition of 50% or more of the Company’s equity — which the proposed 100% stock acquisition clearly triggers. Upon a Change of Control,</w:t>
      </w:r>
      <w:r>
        <w:t xml:space="preserve"> </w:t>
      </w:r>
      <w:r>
        <w:rPr>
          <w:b/>
          <w:bCs/>
        </w:rPr>
        <w:t xml:space="preserve">all outstanding obligations ($38.7M principal plus accrued interest and fees) must be prepaid within five business days</w:t>
      </w:r>
      <w:r>
        <w:t xml:space="preserve">. A prepayment premium of</w:t>
      </w:r>
      <w:r>
        <w:t xml:space="preserve"> </w:t>
      </w:r>
      <w:r>
        <w:rPr>
          <w:b/>
          <w:bCs/>
        </w:rPr>
        <w:t xml:space="preserve">1.00% × $26.3M term loan = $263,000</w:t>
      </w:r>
      <w:r>
        <w:t xml:space="preserve"> </w:t>
      </w:r>
      <w:r>
        <w:t xml:space="preserve">applies if closing occurs before January 16, 2026. The credit agreement provides no waiver or consent mechanism.</w:t>
      </w:r>
    </w:p>
    <w:p>
      <w:pPr>
        <w:pStyle w:val="BodyText"/>
      </w:pPr>
      <w:r>
        <w:rPr>
          <w:i/>
          <w:iCs/>
        </w:rPr>
        <w:t xml:space="preserve">Action Required:</w:t>
      </w:r>
      <w:r>
        <w:t xml:space="preserve"> </w:t>
      </w:r>
      <w:r>
        <w:t xml:space="preserve">Confirm that Buyer’s acquisition financing includes sufficient proceeds to repay the full credit facility at closing. Obtain a payoff letter from High Plains National Bank. Ensure the prepayment premium ($263K) and accrued interest are included in the Net Debt calculation or Transaction Expenses.</w:t>
      </w:r>
    </w:p>
    <w:p>
      <w:r>
        <w:pict>
          <v:rect style="width:0;height:1.5pt" o:hralign="center" o:hrstd="t" o:hr="t"/>
        </w:pict>
      </w:r>
    </w:p>
    <w:p>
      <w:pPr>
        <w:pStyle w:val="FirstParagraph"/>
      </w:pPr>
      <w:r>
        <w:rPr>
          <w:b/>
          <w:bCs/>
        </w:rPr>
        <w:t xml:space="preserve">RF-18 | HIGH | $2.625M Single-Trigger Change-of-Control Severance Payable at Closing — Treatment Unresolved</w:t>
      </w:r>
    </w:p>
    <w:p>
      <w:pPr>
        <w:pStyle w:val="BodyText"/>
      </w:pPr>
      <w:r>
        <w:t xml:space="preserve">The employment agreements for Derek Calloway (CEO) and Jason Calloway (COO) each contain</w:t>
      </w:r>
      <w:r>
        <w:t xml:space="preserve"> </w:t>
      </w:r>
      <w:r>
        <w:rPr>
          <w:b/>
          <w:bCs/>
        </w:rPr>
        <w:t xml:space="preserve">single-trigger</w:t>
      </w:r>
      <w:r>
        <w:t xml:space="preserve"> </w:t>
      </w:r>
      <w:r>
        <w:t xml:space="preserve">change-of-control severance provisions entitling each to</w:t>
      </w:r>
      <w:r>
        <w:t xml:space="preserve"> </w:t>
      </w:r>
      <w:r>
        <w:rPr>
          <w:b/>
          <w:bCs/>
        </w:rPr>
        <w:t xml:space="preserve">$1,312,500</w:t>
      </w:r>
      <w:r>
        <w:t xml:space="preserve"> </w:t>
      </w:r>
      <w:r>
        <w:t xml:space="preserve">(18 months’ base salary) payable within 30 days of closing, regardless of whether their employment continues. The aggregate single-trigger obligation is</w:t>
      </w:r>
      <w:r>
        <w:t xml:space="preserve"> </w:t>
      </w:r>
      <w:r>
        <w:rPr>
          <w:b/>
          <w:bCs/>
        </w:rPr>
        <w:t xml:space="preserve">$2,625,000</w:t>
      </w:r>
      <w:r>
        <w:t xml:space="preserve">. The LOI’s definition of</w:t>
      </w:r>
      <w:r>
        <w:t xml:space="preserve"> </w:t>
      </w:r>
      <w:r>
        <w:t xml:space="preserve">“</w:t>
      </w:r>
      <w:r>
        <w:t xml:space="preserve">Transaction Expenses</w:t>
      </w:r>
      <w:r>
        <w:t xml:space="preserve">”</w:t>
      </w:r>
      <w:r>
        <w:t xml:space="preserve"> </w:t>
      </w:r>
      <w:r>
        <w:t xml:space="preserve">does not explicitly address whether these payments are seller-borne or buyer-borne. The employment agreements summary notes this classification</w:t>
      </w:r>
      <w:r>
        <w:t xml:space="preserve"> </w:t>
      </w:r>
      <w:r>
        <w:t xml:space="preserve">“</w:t>
      </w:r>
      <w:r>
        <w:t xml:space="preserve">has not been addressed in the LOI or this data package.</w:t>
      </w:r>
      <w:r>
        <w:t xml:space="preserve">”</w:t>
      </w:r>
    </w:p>
    <w:p>
      <w:pPr>
        <w:pStyle w:val="BodyText"/>
      </w:pPr>
      <w:r>
        <w:rPr>
          <w:i/>
          <w:iCs/>
        </w:rPr>
        <w:t xml:space="preserve">Action Required:</w:t>
      </w:r>
      <w:r>
        <w:t xml:space="preserve"> </w:t>
      </w:r>
      <w:r>
        <w:t xml:space="preserve">Resolve the classification of single-trigger severance as Transaction Expenses (seller-borne) in the SPA. Negotiate post-closing employment arrangements that supersede or offset the single-trigger severance.</w:t>
      </w:r>
    </w:p>
    <w:p>
      <w:r>
        <w:pict>
          <v:rect style="width:0;height:1.5pt" o:hralign="center" o:hrstd="t" o:hr="t"/>
        </w:pict>
      </w:r>
    </w:p>
    <w:p>
      <w:pPr>
        <w:pStyle w:val="FirstParagraph"/>
      </w:pPr>
      <w:r>
        <w:rPr>
          <w:b/>
          <w:bCs/>
        </w:rPr>
        <w:t xml:space="preserve">RF-19 | HIGH | Multiple Lease Consent Requirements — Salt Lake City Presents Dual Consent Problem</w:t>
      </w:r>
    </w:p>
    <w:p>
      <w:pPr>
        <w:pStyle w:val="BodyText"/>
      </w:pPr>
      <w:r>
        <w:t xml:space="preserve">Seven of 10 leased facilities require landlord consent for assignment or change of control. The Salt Lake City transfer station presents a compounded problem: (1) the Pinnacle-to-RES assignment from 2022 was never formally consented to by the landlord, creating a pre-existing potential default; and (2) the proposed Sycamore acquisition constitutes a second change-of-control event requiring a separate consent.</w:t>
      </w:r>
    </w:p>
    <w:p>
      <w:pPr>
        <w:pStyle w:val="BodyText"/>
      </w:pPr>
      <w:r>
        <w:rPr>
          <w:i/>
          <w:iCs/>
        </w:rPr>
        <w:t xml:space="preserve">Action Required:</w:t>
      </w:r>
      <w:r>
        <w:t xml:space="preserve"> </w:t>
      </w:r>
      <w:r>
        <w:t xml:space="preserve">Obtain landlord consents for all 7 facilities with consent requirements as a condition to closing. Prioritize the Salt Lake City dual consent issue.</w:t>
      </w:r>
    </w:p>
    <w:p>
      <w:r>
        <w:pict>
          <v:rect style="width:0;height:1.5pt" o:hralign="center" o:hrstd="t" o:hr="t"/>
        </w:pict>
      </w:r>
    </w:p>
    <w:p>
      <w:pPr>
        <w:pStyle w:val="FirstParagraph"/>
      </w:pPr>
      <w:r>
        <w:rPr>
          <w:b/>
          <w:bCs/>
        </w:rPr>
        <w:t xml:space="preserve">RF-20 | MEDIUM | Audited Financial Statements Required as Closing Condition — FY2024 Unaudited; Auditor Change Unexplained</w:t>
      </w:r>
    </w:p>
    <w:p>
      <w:pPr>
        <w:pStyle w:val="BodyText"/>
      </w:pPr>
      <w:r>
        <w:t xml:space="preserve">The LOI requires audited financial statements for FY2022, FY2023, and FY2024 as a condition to closing. FY2024 financials are currently</w:t>
      </w:r>
      <w:r>
        <w:t xml:space="preserve"> </w:t>
      </w:r>
      <w:r>
        <w:t xml:space="preserve">“</w:t>
      </w:r>
      <w:r>
        <w:t xml:space="preserve">reviewed (unaudited).</w:t>
      </w:r>
      <w:r>
        <w:t xml:space="preserve">”</w:t>
      </w:r>
      <w:r>
        <w:t xml:space="preserve"> </w:t>
      </w:r>
      <w:r>
        <w:t xml:space="preserve">The CIM references</w:t>
      </w:r>
      <w:r>
        <w:t xml:space="preserve"> </w:t>
      </w:r>
      <w:r>
        <w:t xml:space="preserve">“</w:t>
      </w:r>
      <w:r>
        <w:t xml:space="preserve">Hansen &amp; Whitfield, CPAs</w:t>
      </w:r>
      <w:r>
        <w:t xml:space="preserve">”</w:t>
      </w:r>
      <w:r>
        <w:t xml:space="preserve"> </w:t>
      </w:r>
      <w:r>
        <w:t xml:space="preserve">as the Company’s independent accountants — a different, smaller firm than Plante Moran PLLC, which audited FY2020–FY2023. The auditor change is unexplained.</w:t>
      </w:r>
    </w:p>
    <w:p>
      <w:pPr>
        <w:pStyle w:val="BodyText"/>
      </w:pPr>
      <w:r>
        <w:rPr>
          <w:i/>
          <w:iCs/>
        </w:rPr>
        <w:t xml:space="preserve">Action Required:</w:t>
      </w:r>
      <w:r>
        <w:t xml:space="preserve"> </w:t>
      </w:r>
      <w:r>
        <w:t xml:space="preserve">Confirm the reason for the auditor change from Plante Moran to Hansen &amp; Whitfield. Engage a PCAOB-registered audit firm acceptable to Buyer to complete the FY2024 audit on an expedited basis.</w:t>
      </w:r>
    </w:p>
    <w:p>
      <w:r>
        <w:pict>
          <v:rect style="width:0;height:1.5pt" o:hralign="center" o:hrstd="t" o:hr="t"/>
        </w:pict>
      </w:r>
    </w:p>
    <w:bookmarkEnd w:id="26"/>
    <w:bookmarkStart w:id="27" w:name="X764dbc3f4e69bde7e93471ddde33b5b8a26fbea"/>
    <w:p>
      <w:pPr>
        <w:pStyle w:val="Heading3"/>
      </w:pPr>
      <w:r>
        <w:t xml:space="preserve">RISK CATEGORY 6: FLEET AND CAPITAL EXPENDITURE</w:t>
      </w:r>
    </w:p>
    <w:p>
      <w:pPr>
        <w:pStyle w:val="FirstParagraph"/>
      </w:pPr>
      <w:r>
        <w:rPr>
          <w:b/>
          <w:bCs/>
        </w:rPr>
        <w:t xml:space="preserve">RF-21 | HIGH | 44.7% of Fleet Assets Are At or Past Stated Useful Life — $9.8M Replacement Backlog</w:t>
      </w:r>
    </w:p>
    <w:p>
      <w:pPr>
        <w:pStyle w:val="BodyText"/>
      </w:pPr>
      <w:r>
        <w:t xml:space="preserve">The fleet and equipment schedule discloses that</w:t>
      </w:r>
      <w:r>
        <w:t xml:space="preserve"> </w:t>
      </w:r>
      <w:r>
        <w:rPr>
          <w:b/>
          <w:bCs/>
        </w:rPr>
        <w:t xml:space="preserve">38 of 85 assets (44.7%) are at or past their stated useful life</w:t>
      </w:r>
      <w:r>
        <w:t xml:space="preserve">, with many marked</w:t>
      </w:r>
      <w:r>
        <w:t xml:space="preserve"> </w:t>
      </w:r>
      <w:r>
        <w:t xml:space="preserve">“</w:t>
      </w:r>
      <w:r>
        <w:t xml:space="preserve">Replacement Deferred.</w:t>
      </w:r>
      <w:r>
        <w:t xml:space="preserve">”</w:t>
      </w:r>
      <w:r>
        <w:t xml:space="preserve"> </w:t>
      </w:r>
      <w:r>
        <w:t xml:space="preserve">The average fleet age is</w:t>
      </w:r>
      <w:r>
        <w:t xml:space="preserve"> </w:t>
      </w:r>
      <w:r>
        <w:rPr>
          <w:b/>
          <w:bCs/>
        </w:rPr>
        <w:t xml:space="preserve">8.2 years</w:t>
      </w:r>
      <w:r>
        <w:t xml:space="preserve"> </w:t>
      </w:r>
      <w:r>
        <w:t xml:space="preserve">against a weighted average useful life of 7.0 years. The estimated replacement cost for past-useful-life units is</w:t>
      </w:r>
      <w:r>
        <w:t xml:space="preserve"> </w:t>
      </w:r>
      <w:r>
        <w:rPr>
          <w:b/>
          <w:bCs/>
        </w:rPr>
        <w:t xml:space="preserve">$9.8M</w:t>
      </w:r>
      <w:r>
        <w:t xml:space="preserve">. Management’s normalized maintenance capex estimate of $4.0M–$4.5M per year does not include a catch-up component for the deferred replacement backlog. Spreading the $9.8M backlog over 3 years implies approximately</w:t>
      </w:r>
      <w:r>
        <w:t xml:space="preserve"> </w:t>
      </w:r>
      <w:r>
        <w:rPr>
          <w:b/>
          <w:bCs/>
        </w:rPr>
        <w:t xml:space="preserve">$3.3M per year in catch-up capex</w:t>
      </w:r>
      <w:r>
        <w:t xml:space="preserve"> </w:t>
      </w:r>
      <w:r>
        <w:t xml:space="preserve">above the stated maintenance run rate.</w:t>
      </w:r>
    </w:p>
    <w:p>
      <w:pPr>
        <w:pStyle w:val="BodyText"/>
      </w:pPr>
      <w:r>
        <w:rPr>
          <w:i/>
          <w:iCs/>
        </w:rPr>
        <w:t xml:space="preserve">Action Required:</w:t>
      </w:r>
      <w:r>
        <w:t xml:space="preserve"> </w:t>
      </w:r>
      <w:r>
        <w:t xml:space="preserve">Obtain an independent fleet condition assessment. Recast normalized maintenance capex to include the deferred replacement backlog. Confirm that all fleet vehicles pass current DOT inspection requirements.</w:t>
      </w:r>
    </w:p>
    <w:p>
      <w:r>
        <w:pict>
          <v:rect style="width:0;height:1.5pt" o:hralign="center" o:hrstd="t" o:hr="t"/>
        </w:pict>
      </w:r>
    </w:p>
    <w:bookmarkEnd w:id="27"/>
    <w:bookmarkStart w:id="28" w:name="Xda860957f22f477dc407bde91d36cc21a40bcb7"/>
    <w:p>
      <w:pPr>
        <w:pStyle w:val="Heading3"/>
      </w:pPr>
      <w:r>
        <w:t xml:space="preserve">RISK CATEGORY 7: HUMAN CAPITAL AND GOVERNANCE</w:t>
      </w:r>
    </w:p>
    <w:p>
      <w:pPr>
        <w:pStyle w:val="FirstParagraph"/>
      </w:pPr>
      <w:r>
        <w:rPr>
          <w:b/>
          <w:bCs/>
        </w:rPr>
        <w:t xml:space="preserve">RF-22 | HIGH | NLRB Unionization Petition Filed November 2024 — 62 Employees; Not Disclosed in CIM</w:t>
      </w:r>
    </w:p>
    <w:p>
      <w:pPr>
        <w:pStyle w:val="BodyText"/>
      </w:pPr>
      <w:r>
        <w:t xml:space="preserve">A footnote in the employee benefits summary discloses that on</w:t>
      </w:r>
      <w:r>
        <w:t xml:space="preserve"> </w:t>
      </w:r>
      <w:r>
        <w:rPr>
          <w:b/>
          <w:bCs/>
        </w:rPr>
        <w:t xml:space="preserve">November 4, 2024</w:t>
      </w:r>
      <w:r>
        <w:t xml:space="preserve">, the International Brotherhood of Teamsters Local 455 filed an NLRB election petition covering</w:t>
      </w:r>
      <w:r>
        <w:t xml:space="preserve"> </w:t>
      </w:r>
      <w:r>
        <w:rPr>
          <w:b/>
          <w:bCs/>
        </w:rPr>
        <w:t xml:space="preserve">62 field technicians at the Grand Junction and Casper facilities</w:t>
      </w:r>
      <w:r>
        <w:t xml:space="preserve">. This was not disclosed in the CIM, the litigation and regulatory summary, or any other primary data room document — it appears only in a footnote to the benefits summary. Grand Junction and Casper are the Company’s two largest facilities, collectively employing approximately 210 field personnel.</w:t>
      </w:r>
    </w:p>
    <w:p>
      <w:pPr>
        <w:pStyle w:val="BodyText"/>
      </w:pPr>
      <w:r>
        <w:rPr>
          <w:i/>
          <w:iCs/>
        </w:rPr>
        <w:t xml:space="preserve">Action Required:</w:t>
      </w:r>
      <w:r>
        <w:t xml:space="preserve"> </w:t>
      </w:r>
      <w:r>
        <w:t xml:space="preserve">Require full disclosure of the NLRB petition, including the petition filing, any NLRB correspondence, and the Company’s response strategy. Assess the likelihood of a successful election and the potential financial impact of a collective bargaining agreement. Consider whether this constitutes a Material Adverse Change under the LOI.</w:t>
      </w:r>
    </w:p>
    <w:p>
      <w:r>
        <w:pict>
          <v:rect style="width:0;height:1.5pt" o:hralign="center" o:hrstd="t" o:hr="t"/>
        </w:pict>
      </w:r>
    </w:p>
    <w:bookmarkEnd w:id="28"/>
    <w:bookmarkEnd w:id="29"/>
    <w:bookmarkStart w:id="30" w:name="section-iv-summary-table-of-red-flags"/>
    <w:p>
      <w:pPr>
        <w:pStyle w:val="Heading2"/>
      </w:pPr>
      <w:r>
        <w:t xml:space="preserve">SECTION IV: SUMMARY TABLE OF RED FLAGS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Est. Financial Impact</w:t>
            </w:r>
          </w:p>
        </w:tc>
      </w:tr>
      <w:tr>
        <w:tc>
          <w:tcPr/>
          <w:p>
            <w:pPr>
              <w:pStyle w:val="Compact"/>
              <w:jc w:val="left"/>
            </w:pPr>
            <w:r>
              <w:t xml:space="preserve">RF-01</w:t>
            </w:r>
          </w:p>
        </w:tc>
        <w:tc>
          <w:tcPr/>
          <w:p>
            <w:pPr>
              <w:pStyle w:val="Compact"/>
              <w:jc w:val="left"/>
            </w:pPr>
            <w:r>
              <w:t xml:space="preserve">Financial</w:t>
            </w:r>
          </w:p>
        </w:tc>
        <w:tc>
          <w:tcPr/>
          <w:p>
            <w:pPr>
              <w:pStyle w:val="Compact"/>
              <w:jc w:val="left"/>
            </w:pPr>
            <w:r>
              <w:t xml:space="preserve">CRITICAL</w:t>
            </w:r>
          </w:p>
        </w:tc>
        <w:tc>
          <w:tcPr/>
          <w:p>
            <w:pPr>
              <w:pStyle w:val="Compact"/>
              <w:jc w:val="left"/>
            </w:pPr>
            <w:r>
              <w:t xml:space="preserve">$1.0M unreconciled EBITDA discrepancy</w:t>
            </w:r>
          </w:p>
        </w:tc>
        <w:tc>
          <w:tcPr/>
          <w:p>
            <w:pPr>
              <w:pStyle w:val="Compact"/>
              <w:jc w:val="left"/>
            </w:pPr>
            <w:r>
              <w:t xml:space="preserve">$8M–$9M EV impact at 8–9x</w:t>
            </w:r>
          </w:p>
        </w:tc>
      </w:tr>
      <w:tr>
        <w:tc>
          <w:tcPr/>
          <w:p>
            <w:pPr>
              <w:pStyle w:val="Compact"/>
              <w:jc w:val="left"/>
            </w:pPr>
            <w:r>
              <w:t xml:space="preserve">RF-02</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Aggressive/recurring add-backs ($5.4M)</w:t>
            </w:r>
          </w:p>
        </w:tc>
        <w:tc>
          <w:tcPr/>
          <w:p>
            <w:pPr>
              <w:pStyle w:val="Compact"/>
              <w:jc w:val="left"/>
            </w:pPr>
            <w:r>
              <w:t xml:space="preserve">$2M–$5M EV impact</w:t>
            </w:r>
          </w:p>
        </w:tc>
      </w:tr>
      <w:tr>
        <w:tc>
          <w:tcPr/>
          <w:p>
            <w:pPr>
              <w:pStyle w:val="Compact"/>
              <w:jc w:val="left"/>
            </w:pPr>
            <w:r>
              <w:t xml:space="preserve">RF-03</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Bank EBITDA $4.4M below management EBITDA</w:t>
            </w:r>
          </w:p>
        </w:tc>
        <w:tc>
          <w:tcPr/>
          <w:p>
            <w:pPr>
              <w:pStyle w:val="Compact"/>
              <w:jc w:val="left"/>
            </w:pPr>
            <w:r>
              <w:t xml:space="preserve">Covenant risk</w:t>
            </w:r>
          </w:p>
        </w:tc>
      </w:tr>
      <w:tr>
        <w:tc>
          <w:tcPr/>
          <w:p>
            <w:pPr>
              <w:pStyle w:val="Compact"/>
              <w:jc w:val="left"/>
            </w:pPr>
            <w:r>
              <w:t xml:space="preserve">RF-04</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27% reported EBITDA decline YoY</w:t>
            </w:r>
          </w:p>
        </w:tc>
        <w:tc>
          <w:tcPr/>
          <w:p>
            <w:pPr>
              <w:pStyle w:val="Compact"/>
              <w:jc w:val="left"/>
            </w:pPr>
            <w:r>
              <w:t xml:space="preserve">Margin quality concern</w:t>
            </w:r>
          </w:p>
        </w:tc>
      </w:tr>
      <w:tr>
        <w:tc>
          <w:tcPr/>
          <w:p>
            <w:pPr>
              <w:pStyle w:val="Compact"/>
              <w:jc w:val="left"/>
            </w:pPr>
            <w:r>
              <w:t xml:space="preserve">RF-05</w:t>
            </w:r>
          </w:p>
        </w:tc>
        <w:tc>
          <w:tcPr/>
          <w:p>
            <w:pPr>
              <w:pStyle w:val="Compact"/>
              <w:jc w:val="left"/>
            </w:pPr>
            <w:r>
              <w:t xml:space="preserve">Revenue</w:t>
            </w:r>
          </w:p>
        </w:tc>
        <w:tc>
          <w:tcPr/>
          <w:p>
            <w:pPr>
              <w:pStyle w:val="Compact"/>
              <w:jc w:val="left"/>
            </w:pPr>
            <w:r>
              <w:t xml:space="preserve">CRITICAL</w:t>
            </w:r>
          </w:p>
        </w:tc>
        <w:tc>
          <w:tcPr/>
          <w:p>
            <w:pPr>
              <w:pStyle w:val="Compact"/>
              <w:jc w:val="left"/>
            </w:pPr>
            <w:r>
              <w:t xml:space="preserve">DOE IDIQ ceiling exhaustion — $12.1M revenue cliff</w:t>
            </w:r>
          </w:p>
        </w:tc>
        <w:tc>
          <w:tcPr/>
          <w:p>
            <w:pPr>
              <w:pStyle w:val="Compact"/>
              <w:jc w:val="left"/>
            </w:pPr>
            <w:r>
              <w:t xml:space="preserve">$12.1M revenue; $2M+ EBITDA</w:t>
            </w:r>
          </w:p>
        </w:tc>
      </w:tr>
      <w:tr>
        <w:tc>
          <w:tcPr/>
          <w:p>
            <w:pPr>
              <w:pStyle w:val="Compact"/>
              <w:jc w:val="left"/>
            </w:pPr>
            <w:r>
              <w:t xml:space="preserve">RF-06</w:t>
            </w:r>
          </w:p>
        </w:tc>
        <w:tc>
          <w:tcPr/>
          <w:p>
            <w:pPr>
              <w:pStyle w:val="Compact"/>
              <w:jc w:val="left"/>
            </w:pPr>
            <w:r>
              <w:t xml:space="preserve">Revenue</w:t>
            </w:r>
          </w:p>
        </w:tc>
        <w:tc>
          <w:tcPr/>
          <w:p>
            <w:pPr>
              <w:pStyle w:val="Compact"/>
              <w:jc w:val="left"/>
            </w:pPr>
            <w:r>
              <w:t xml:space="preserve">HIGH</w:t>
            </w:r>
          </w:p>
        </w:tc>
        <w:tc>
          <w:tcPr/>
          <w:p>
            <w:pPr>
              <w:pStyle w:val="Compact"/>
              <w:jc w:val="left"/>
            </w:pPr>
            <w:r>
              <w:t xml:space="preserve">DOE contract non-assignability / novation risk</w:t>
            </w:r>
          </w:p>
        </w:tc>
        <w:tc>
          <w:tcPr/>
          <w:p>
            <w:pPr>
              <w:pStyle w:val="Compact"/>
              <w:jc w:val="left"/>
            </w:pPr>
            <w:r>
              <w:t xml:space="preserve">Loss of $24.4M relationship</w:t>
            </w:r>
          </w:p>
        </w:tc>
      </w:tr>
      <w:tr>
        <w:tc>
          <w:tcPr/>
          <w:p>
            <w:pPr>
              <w:pStyle w:val="Compact"/>
              <w:jc w:val="left"/>
            </w:pPr>
            <w:r>
              <w:t xml:space="preserve">RF-07</w:t>
            </w:r>
          </w:p>
        </w:tc>
        <w:tc>
          <w:tcPr/>
          <w:p>
            <w:pPr>
              <w:pStyle w:val="Compact"/>
              <w:jc w:val="left"/>
            </w:pPr>
            <w:r>
              <w:t xml:space="preserve">Revenue</w:t>
            </w:r>
          </w:p>
        </w:tc>
        <w:tc>
          <w:tcPr/>
          <w:p>
            <w:pPr>
              <w:pStyle w:val="Compact"/>
              <w:jc w:val="left"/>
            </w:pPr>
            <w:r>
              <w:t xml:space="preserve">HIGH</w:t>
            </w:r>
          </w:p>
        </w:tc>
        <w:tc>
          <w:tcPr/>
          <w:p>
            <w:pPr>
              <w:pStyle w:val="Compact"/>
              <w:jc w:val="left"/>
            </w:pPr>
            <w:r>
              <w:t xml:space="preserve">Customer concentration; short-notice termination rights</w:t>
            </w:r>
          </w:p>
        </w:tc>
        <w:tc>
          <w:tcPr/>
          <w:p>
            <w:pPr>
              <w:pStyle w:val="Compact"/>
              <w:jc w:val="left"/>
            </w:pPr>
            <w:r>
              <w:t xml:space="preserve">Revenue volatility</w:t>
            </w:r>
          </w:p>
        </w:tc>
      </w:tr>
      <w:tr>
        <w:tc>
          <w:tcPr/>
          <w:p>
            <w:pPr>
              <w:pStyle w:val="Compact"/>
              <w:jc w:val="left"/>
            </w:pPr>
            <w:r>
              <w:t xml:space="preserve">RF-08</w:t>
            </w:r>
          </w:p>
        </w:tc>
        <w:tc>
          <w:tcPr/>
          <w:p>
            <w:pPr>
              <w:pStyle w:val="Compact"/>
              <w:jc w:val="left"/>
            </w:pPr>
            <w:r>
              <w:t xml:space="preserve">Revenue</w:t>
            </w:r>
          </w:p>
        </w:tc>
        <w:tc>
          <w:tcPr/>
          <w:p>
            <w:pPr>
              <w:pStyle w:val="Compact"/>
              <w:jc w:val="left"/>
            </w:pPr>
            <w:r>
              <w:t xml:space="preserve">HIGH</w:t>
            </w:r>
          </w:p>
        </w:tc>
        <w:tc>
          <w:tcPr/>
          <w:p>
            <w:pPr>
              <w:pStyle w:val="Compact"/>
              <w:jc w:val="left"/>
            </w:pPr>
            <w:r>
              <w:t xml:space="preserve">SLC facility — $16.2M revenue at risk from lease/permit</w:t>
            </w:r>
          </w:p>
        </w:tc>
        <w:tc>
          <w:tcPr/>
          <w:p>
            <w:pPr>
              <w:pStyle w:val="Compact"/>
              <w:jc w:val="left"/>
            </w:pPr>
            <w:r>
              <w:t xml:space="preserve">$16.2M revenue disruption</w:t>
            </w:r>
          </w:p>
        </w:tc>
      </w:tr>
      <w:tr>
        <w:tc>
          <w:tcPr/>
          <w:p>
            <w:pPr>
              <w:pStyle w:val="Compact"/>
              <w:jc w:val="left"/>
            </w:pPr>
            <w:r>
              <w:t xml:space="preserve">RF-09</w:t>
            </w:r>
          </w:p>
        </w:tc>
        <w:tc>
          <w:tcPr/>
          <w:p>
            <w:pPr>
              <w:pStyle w:val="Compact"/>
              <w:jc w:val="left"/>
            </w:pPr>
            <w:r>
              <w:t xml:space="preserve">Environmental</w:t>
            </w:r>
          </w:p>
        </w:tc>
        <w:tc>
          <w:tcPr/>
          <w:p>
            <w:pPr>
              <w:pStyle w:val="Compact"/>
              <w:jc w:val="left"/>
            </w:pPr>
            <w:r>
              <w:t xml:space="preserve">CRITICAL</w:t>
            </w:r>
          </w:p>
        </w:tc>
        <w:tc>
          <w:tcPr/>
          <w:p>
            <w:pPr>
              <w:pStyle w:val="Compact"/>
              <w:jc w:val="left"/>
            </w:pPr>
            <w:r>
              <w:t xml:space="preserve">Stale Phase II ESA — contamination scope unknown</w:t>
            </w:r>
          </w:p>
        </w:tc>
        <w:tc>
          <w:tcPr/>
          <w:p>
            <w:pPr>
              <w:pStyle w:val="Compact"/>
              <w:jc w:val="left"/>
            </w:pPr>
            <w:r>
              <w:t xml:space="preserve">$2M–$10M+ remediation</w:t>
            </w:r>
          </w:p>
        </w:tc>
      </w:tr>
      <w:tr>
        <w:tc>
          <w:tcPr/>
          <w:p>
            <w:pPr>
              <w:pStyle w:val="Compact"/>
              <w:jc w:val="left"/>
            </w:pPr>
            <w:r>
              <w:t xml:space="preserve">RF-10</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CDPHE enforcement — $200K–$1.16M unaccrued penalty</w:t>
            </w:r>
          </w:p>
        </w:tc>
        <w:tc>
          <w:tcPr/>
          <w:p>
            <w:pPr>
              <w:pStyle w:val="Compact"/>
              <w:jc w:val="left"/>
            </w:pPr>
            <w:r>
              <w:t xml:space="preserve">$200K–$1.16M</w:t>
            </w:r>
          </w:p>
        </w:tc>
      </w:tr>
      <w:tr>
        <w:tc>
          <w:tcPr/>
          <w:p>
            <w:pPr>
              <w:pStyle w:val="Compact"/>
              <w:jc w:val="left"/>
            </w:pPr>
            <w:r>
              <w:t xml:space="preserve">RF-11</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Wyoming permit expired — operating on timely renewal</w:t>
            </w:r>
          </w:p>
        </w:tc>
        <w:tc>
          <w:tcPr/>
          <w:p>
            <w:pPr>
              <w:pStyle w:val="Compact"/>
              <w:jc w:val="left"/>
            </w:pPr>
            <w:r>
              <w:t xml:space="preserve">Operational disruption</w:t>
            </w:r>
          </w:p>
        </w:tc>
      </w:tr>
      <w:tr>
        <w:tc>
          <w:tcPr/>
          <w:p>
            <w:pPr>
              <w:pStyle w:val="Compact"/>
              <w:jc w:val="left"/>
            </w:pPr>
            <w:r>
              <w:t xml:space="preserve">RF-12</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Asbestos tail liability — pre-2015 work uninsured</w:t>
            </w:r>
          </w:p>
        </w:tc>
        <w:tc>
          <w:tcPr/>
          <w:p>
            <w:pPr>
              <w:pStyle w:val="Compact"/>
              <w:jc w:val="left"/>
            </w:pPr>
            <w:r>
              <w:t xml:space="preserve">Unquantifiable</w:t>
            </w:r>
          </w:p>
        </w:tc>
      </w:tr>
      <w:tr>
        <w:tc>
          <w:tcPr/>
          <w:p>
            <w:pPr>
              <w:pStyle w:val="Compact"/>
              <w:jc w:val="left"/>
            </w:pPr>
            <w:r>
              <w:t xml:space="preserve">RF-13</w:t>
            </w:r>
          </w:p>
        </w:tc>
        <w:tc>
          <w:tcPr/>
          <w:p>
            <w:pPr>
              <w:pStyle w:val="Compact"/>
              <w:jc w:val="left"/>
            </w:pPr>
            <w:r>
              <w:t xml:space="preserve">Environmental</w:t>
            </w:r>
          </w:p>
        </w:tc>
        <w:tc>
          <w:tcPr/>
          <w:p>
            <w:pPr>
              <w:pStyle w:val="Compact"/>
              <w:jc w:val="left"/>
            </w:pPr>
            <w:r>
              <w:t xml:space="preserve">MEDIUM</w:t>
            </w:r>
          </w:p>
        </w:tc>
        <w:tc>
          <w:tcPr/>
          <w:p>
            <w:pPr>
              <w:pStyle w:val="Compact"/>
              <w:jc w:val="left"/>
            </w:pPr>
            <w:r>
              <w:t xml:space="preserve">Remediation accrual understated (2019 estimates)</w:t>
            </w:r>
          </w:p>
        </w:tc>
        <w:tc>
          <w:tcPr/>
          <w:p>
            <w:pPr>
              <w:pStyle w:val="Compact"/>
              <w:jc w:val="left"/>
            </w:pPr>
            <w:r>
              <w:t xml:space="preserve">$1M–$5M+ understatement</w:t>
            </w:r>
          </w:p>
        </w:tc>
      </w:tr>
      <w:tr>
        <w:tc>
          <w:tcPr/>
          <w:p>
            <w:pPr>
              <w:pStyle w:val="Compact"/>
              <w:jc w:val="left"/>
            </w:pPr>
            <w:r>
              <w:t xml:space="preserve">RF-14</w:t>
            </w:r>
          </w:p>
        </w:tc>
        <w:tc>
          <w:tcPr/>
          <w:p>
            <w:pPr>
              <w:pStyle w:val="Compact"/>
              <w:jc w:val="left"/>
            </w:pPr>
            <w:r>
              <w:t xml:space="preserve">Legal</w:t>
            </w:r>
          </w:p>
        </w:tc>
        <w:tc>
          <w:tcPr/>
          <w:p>
            <w:pPr>
              <w:pStyle w:val="Compact"/>
              <w:jc w:val="left"/>
            </w:pPr>
            <w:r>
              <w:t xml:space="preserve">HIGH</w:t>
            </w:r>
          </w:p>
        </w:tc>
        <w:tc>
          <w:tcPr/>
          <w:p>
            <w:pPr>
              <w:pStyle w:val="Compact"/>
              <w:jc w:val="left"/>
            </w:pPr>
            <w:r>
              <w:t xml:space="preserve">Ramirez lawsuit — $4.8M claimed; coverage uncertain</w:t>
            </w:r>
          </w:p>
        </w:tc>
        <w:tc>
          <w:tcPr/>
          <w:p>
            <w:pPr>
              <w:pStyle w:val="Compact"/>
              <w:jc w:val="left"/>
            </w:pPr>
            <w:r>
              <w:t xml:space="preserve">Up to $4.8M uninsured</w:t>
            </w:r>
          </w:p>
        </w:tc>
      </w:tr>
      <w:tr>
        <w:tc>
          <w:tcPr/>
          <w:p>
            <w:pPr>
              <w:pStyle w:val="Compact"/>
              <w:jc w:val="left"/>
            </w:pPr>
            <w:r>
              <w:t xml:space="preserve">RF-15</w:t>
            </w:r>
          </w:p>
        </w:tc>
        <w:tc>
          <w:tcPr/>
          <w:p>
            <w:pPr>
              <w:pStyle w:val="Compact"/>
              <w:jc w:val="left"/>
            </w:pPr>
            <w:r>
              <w:t xml:space="preserve">Legal</w:t>
            </w:r>
          </w:p>
        </w:tc>
        <w:tc>
          <w:tcPr/>
          <w:p>
            <w:pPr>
              <w:pStyle w:val="Compact"/>
              <w:jc w:val="left"/>
            </w:pPr>
            <w:r>
              <w:t xml:space="preserve">MEDIUM</w:t>
            </w:r>
          </w:p>
        </w:tc>
        <w:tc>
          <w:tcPr/>
          <w:p>
            <w:pPr>
              <w:pStyle w:val="Compact"/>
              <w:jc w:val="left"/>
            </w:pPr>
            <w:r>
              <w:t xml:space="preserve">FLSA wage claim — $330K unaccrued</w:t>
            </w:r>
          </w:p>
        </w:tc>
        <w:tc>
          <w:tcPr/>
          <w:p>
            <w:pPr>
              <w:pStyle w:val="Compact"/>
              <w:jc w:val="left"/>
            </w:pPr>
            <w:r>
              <w:t xml:space="preserve">$100K–$330K</w:t>
            </w:r>
          </w:p>
        </w:tc>
      </w:tr>
      <w:tr>
        <w:tc>
          <w:tcPr/>
          <w:p>
            <w:pPr>
              <w:pStyle w:val="Compact"/>
              <w:jc w:val="left"/>
            </w:pPr>
            <w:r>
              <w:t xml:space="preserve">RF-16</w:t>
            </w:r>
          </w:p>
        </w:tc>
        <w:tc>
          <w:tcPr/>
          <w:p>
            <w:pPr>
              <w:pStyle w:val="Compact"/>
              <w:jc w:val="left"/>
            </w:pPr>
            <w:r>
              <w:t xml:space="preserve">Legal</w:t>
            </w:r>
          </w:p>
        </w:tc>
        <w:tc>
          <w:tcPr/>
          <w:p>
            <w:pPr>
              <w:pStyle w:val="Compact"/>
              <w:jc w:val="left"/>
            </w:pPr>
            <w:r>
              <w:t xml:space="preserve">MEDIUM</w:t>
            </w:r>
          </w:p>
        </w:tc>
        <w:tc>
          <w:tcPr/>
          <w:p>
            <w:pPr>
              <w:pStyle w:val="Compact"/>
              <w:jc w:val="left"/>
            </w:pPr>
            <w:r>
              <w:t xml:space="preserve">OSHA recordkeeping violations — TRIR reliability</w:t>
            </w:r>
          </w:p>
        </w:tc>
        <w:tc>
          <w:tcPr/>
          <w:p>
            <w:pPr>
              <w:pStyle w:val="Compact"/>
              <w:jc w:val="left"/>
            </w:pPr>
            <w:r>
              <w:t xml:space="preserve">Safety metric integrity</w:t>
            </w:r>
          </w:p>
        </w:tc>
      </w:tr>
      <w:tr>
        <w:tc>
          <w:tcPr/>
          <w:p>
            <w:pPr>
              <w:pStyle w:val="Compact"/>
              <w:jc w:val="left"/>
            </w:pPr>
            <w:r>
              <w:t xml:space="preserve">RF-17</w:t>
            </w:r>
          </w:p>
        </w:tc>
        <w:tc>
          <w:tcPr/>
          <w:p>
            <w:pPr>
              <w:pStyle w:val="Compact"/>
              <w:jc w:val="left"/>
            </w:pPr>
            <w:r>
              <w:t xml:space="preserve">Transaction</w:t>
            </w:r>
          </w:p>
        </w:tc>
        <w:tc>
          <w:tcPr/>
          <w:p>
            <w:pPr>
              <w:pStyle w:val="Compact"/>
              <w:jc w:val="left"/>
            </w:pPr>
            <w:r>
              <w:t xml:space="preserve">CRITICAL</w:t>
            </w:r>
          </w:p>
        </w:tc>
        <w:tc>
          <w:tcPr/>
          <w:p>
            <w:pPr>
              <w:pStyle w:val="Compact"/>
              <w:jc w:val="left"/>
            </w:pPr>
            <w:r>
              <w:t xml:space="preserve">$38.7M credit facility mandatory prepayment at closing</w:t>
            </w:r>
          </w:p>
        </w:tc>
        <w:tc>
          <w:tcPr/>
          <w:p>
            <w:pPr>
              <w:pStyle w:val="Compact"/>
              <w:jc w:val="left"/>
            </w:pPr>
            <w:r>
              <w:t xml:space="preserve">$39.2M+ cash requirement</w:t>
            </w:r>
          </w:p>
        </w:tc>
      </w:tr>
      <w:tr>
        <w:tc>
          <w:tcPr/>
          <w:p>
            <w:pPr>
              <w:pStyle w:val="Compact"/>
              <w:jc w:val="left"/>
            </w:pPr>
            <w:r>
              <w:t xml:space="preserve">RF-18</w:t>
            </w:r>
          </w:p>
        </w:tc>
        <w:tc>
          <w:tcPr/>
          <w:p>
            <w:pPr>
              <w:pStyle w:val="Compact"/>
              <w:jc w:val="left"/>
            </w:pPr>
            <w:r>
              <w:t xml:space="preserve">Transaction</w:t>
            </w:r>
          </w:p>
        </w:tc>
        <w:tc>
          <w:tcPr/>
          <w:p>
            <w:pPr>
              <w:pStyle w:val="Compact"/>
              <w:jc w:val="left"/>
            </w:pPr>
            <w:r>
              <w:t xml:space="preserve">HIGH</w:t>
            </w:r>
          </w:p>
        </w:tc>
        <w:tc>
          <w:tcPr/>
          <w:p>
            <w:pPr>
              <w:pStyle w:val="Compact"/>
              <w:jc w:val="left"/>
            </w:pPr>
            <w:r>
              <w:t xml:space="preserve">$2.625M single-trigger severance — treatment unresolved</w:t>
            </w:r>
          </w:p>
        </w:tc>
        <w:tc>
          <w:tcPr/>
          <w:p>
            <w:pPr>
              <w:pStyle w:val="Compact"/>
              <w:jc w:val="left"/>
            </w:pPr>
            <w:r>
              <w:t xml:space="preserve">$2.625M unallocated cost</w:t>
            </w:r>
          </w:p>
        </w:tc>
      </w:tr>
      <w:tr>
        <w:tc>
          <w:tcPr/>
          <w:p>
            <w:pPr>
              <w:pStyle w:val="Compact"/>
              <w:jc w:val="left"/>
            </w:pPr>
            <w:r>
              <w:t xml:space="preserve">RF-19</w:t>
            </w:r>
          </w:p>
        </w:tc>
        <w:tc>
          <w:tcPr/>
          <w:p>
            <w:pPr>
              <w:pStyle w:val="Compact"/>
              <w:jc w:val="left"/>
            </w:pPr>
            <w:r>
              <w:t xml:space="preserve">Transaction</w:t>
            </w:r>
          </w:p>
        </w:tc>
        <w:tc>
          <w:tcPr/>
          <w:p>
            <w:pPr>
              <w:pStyle w:val="Compact"/>
              <w:jc w:val="left"/>
            </w:pPr>
            <w:r>
              <w:t xml:space="preserve">HIGH</w:t>
            </w:r>
          </w:p>
        </w:tc>
        <w:tc>
          <w:tcPr/>
          <w:p>
            <w:pPr>
              <w:pStyle w:val="Compact"/>
              <w:jc w:val="left"/>
            </w:pPr>
            <w:r>
              <w:t xml:space="preserve">7 leases require consent; SLC dual consent problem</w:t>
            </w:r>
          </w:p>
        </w:tc>
        <w:tc>
          <w:tcPr/>
          <w:p>
            <w:pPr>
              <w:pStyle w:val="Compact"/>
              <w:jc w:val="left"/>
            </w:pPr>
            <w:r>
              <w:t xml:space="preserve">Closing risk</w:t>
            </w:r>
          </w:p>
        </w:tc>
      </w:tr>
      <w:tr>
        <w:tc>
          <w:tcPr/>
          <w:p>
            <w:pPr>
              <w:pStyle w:val="Compact"/>
              <w:jc w:val="left"/>
            </w:pPr>
            <w:r>
              <w:t xml:space="preserve">RF-20</w:t>
            </w:r>
          </w:p>
        </w:tc>
        <w:tc>
          <w:tcPr/>
          <w:p>
            <w:pPr>
              <w:pStyle w:val="Compact"/>
              <w:jc w:val="left"/>
            </w:pPr>
            <w:r>
              <w:t xml:space="preserve">Transaction</w:t>
            </w:r>
          </w:p>
        </w:tc>
        <w:tc>
          <w:tcPr/>
          <w:p>
            <w:pPr>
              <w:pStyle w:val="Compact"/>
              <w:jc w:val="left"/>
            </w:pPr>
            <w:r>
              <w:t xml:space="preserve">MEDIUM</w:t>
            </w:r>
          </w:p>
        </w:tc>
        <w:tc>
          <w:tcPr/>
          <w:p>
            <w:pPr>
              <w:pStyle w:val="Compact"/>
              <w:jc w:val="left"/>
            </w:pPr>
            <w:r>
              <w:t xml:space="preserve">FY2024 financials unaudited; auditor change unexplained</w:t>
            </w:r>
          </w:p>
        </w:tc>
        <w:tc>
          <w:tcPr/>
          <w:p>
            <w:pPr>
              <w:pStyle w:val="Compact"/>
              <w:jc w:val="left"/>
            </w:pPr>
            <w:r>
              <w:t xml:space="preserve">Closing delay risk</w:t>
            </w:r>
          </w:p>
        </w:tc>
      </w:tr>
      <w:tr>
        <w:tc>
          <w:tcPr/>
          <w:p>
            <w:pPr>
              <w:pStyle w:val="Compact"/>
              <w:jc w:val="left"/>
            </w:pPr>
            <w:r>
              <w:t xml:space="preserve">RF-21</w:t>
            </w:r>
          </w:p>
        </w:tc>
        <w:tc>
          <w:tcPr/>
          <w:p>
            <w:pPr>
              <w:pStyle w:val="Compact"/>
              <w:jc w:val="left"/>
            </w:pPr>
            <w:r>
              <w:t xml:space="preserve">Fleet/Capex</w:t>
            </w:r>
          </w:p>
        </w:tc>
        <w:tc>
          <w:tcPr/>
          <w:p>
            <w:pPr>
              <w:pStyle w:val="Compact"/>
              <w:jc w:val="left"/>
            </w:pPr>
            <w:r>
              <w:t xml:space="preserve">HIGH</w:t>
            </w:r>
          </w:p>
        </w:tc>
        <w:tc>
          <w:tcPr/>
          <w:p>
            <w:pPr>
              <w:pStyle w:val="Compact"/>
              <w:jc w:val="left"/>
            </w:pPr>
            <w:r>
              <w:t xml:space="preserve">44.7% fleet past useful life — $9.8M replacement backlog</w:t>
            </w:r>
          </w:p>
        </w:tc>
        <w:tc>
          <w:tcPr/>
          <w:p>
            <w:pPr>
              <w:pStyle w:val="Compact"/>
              <w:jc w:val="left"/>
            </w:pPr>
            <w:r>
              <w:t xml:space="preserve">$3.3M/yr capex understatement</w:t>
            </w:r>
          </w:p>
        </w:tc>
      </w:tr>
      <w:tr>
        <w:tc>
          <w:tcPr/>
          <w:p>
            <w:pPr>
              <w:pStyle w:val="Compact"/>
              <w:jc w:val="left"/>
            </w:pPr>
            <w:r>
              <w:t xml:space="preserve">RF-22</w:t>
            </w:r>
          </w:p>
        </w:tc>
        <w:tc>
          <w:tcPr/>
          <w:p>
            <w:pPr>
              <w:pStyle w:val="Compact"/>
              <w:jc w:val="left"/>
            </w:pPr>
            <w:r>
              <w:t xml:space="preserve">Human Capital</w:t>
            </w:r>
          </w:p>
        </w:tc>
        <w:tc>
          <w:tcPr/>
          <w:p>
            <w:pPr>
              <w:pStyle w:val="Compact"/>
              <w:jc w:val="left"/>
            </w:pPr>
            <w:r>
              <w:t xml:space="preserve">HIGH</w:t>
            </w:r>
          </w:p>
        </w:tc>
        <w:tc>
          <w:tcPr/>
          <w:p>
            <w:pPr>
              <w:pStyle w:val="Compact"/>
              <w:jc w:val="left"/>
            </w:pPr>
            <w:r>
              <w:t xml:space="preserve">NLRB petition (62 employees) — undisclosed in CIM</w:t>
            </w:r>
          </w:p>
        </w:tc>
        <w:tc>
          <w:tcPr/>
          <w:p>
            <w:pPr>
              <w:pStyle w:val="Compact"/>
              <w:jc w:val="left"/>
            </w:pPr>
            <w:r>
              <w:t xml:space="preserve">Labor cost increase; MAC risk</w:t>
            </w:r>
          </w:p>
        </w:tc>
      </w:tr>
    </w:tbl>
    <w:p>
      <w:r>
        <w:pict>
          <v:rect style="width:0;height:1.5pt" o:hralign="center" o:hrstd="t" o:hr="t"/>
        </w:pict>
      </w:r>
    </w:p>
    <w:bookmarkEnd w:id="30"/>
    <w:bookmarkStart w:id="31" w:name="section-v-recommended-next-steps"/>
    <w:p>
      <w:pPr>
        <w:pStyle w:val="Heading2"/>
      </w:pPr>
      <w:r>
        <w:t xml:space="preserve">SECTION V: RECOMMENDED NEXT STEPS</w:t>
      </w:r>
    </w:p>
    <w:p>
      <w:pPr>
        <w:pStyle w:val="FirstParagraph"/>
      </w:pPr>
      <w:r>
        <w:rPr>
          <w:b/>
          <w:bCs/>
        </w:rPr>
        <w:t xml:space="preserve">Immediate (Before Signing):</w:t>
      </w:r>
      <w:r>
        <w:t xml:space="preserve"> </w:t>
      </w:r>
      <w:r>
        <w:t xml:space="preserve">1. Demand reconciled EBITDA bridge resolving the $1.0M discrepancy (RF-01)</w:t>
      </w:r>
      <w:r>
        <w:t xml:space="preserve"> </w:t>
      </w:r>
      <w:r>
        <w:t xml:space="preserve">2. Commission updated Phase II ESA and vapor intrusion assessment at Grand Junction (RF-09)</w:t>
      </w:r>
      <w:r>
        <w:t xml:space="preserve"> </w:t>
      </w:r>
      <w:r>
        <w:t xml:space="preserve">3. Engage DOE Contracting Officer regarding novation and ceiling modification (RF-05, RF-06)</w:t>
      </w:r>
      <w:r>
        <w:t xml:space="preserve"> </w:t>
      </w:r>
      <w:r>
        <w:t xml:space="preserve">4. Obtain landlord consent for Salt Lake City lease assignment (RF-08, RF-19)</w:t>
      </w:r>
      <w:r>
        <w:t xml:space="preserve"> </w:t>
      </w:r>
      <w:r>
        <w:t xml:space="preserve">5. Confirm Utah DEQ permit transfer status and timeline (RF-08)</w:t>
      </w:r>
      <w:r>
        <w:t xml:space="preserve"> </w:t>
      </w:r>
      <w:r>
        <w:t xml:space="preserve">6. Obtain full disclosure and legal assessment of NLRB petition (RF-22)</w:t>
      </w:r>
      <w:r>
        <w:t xml:space="preserve"> </w:t>
      </w:r>
      <w:r>
        <w:t xml:space="preserve">7. Confirm Intermountain Health Systems contract renewal status (RF-07)</w:t>
      </w:r>
    </w:p>
    <w:p>
      <w:pPr>
        <w:pStyle w:val="BodyText"/>
      </w:pPr>
      <w:r>
        <w:rPr>
          <w:b/>
          <w:bCs/>
        </w:rPr>
        <w:t xml:space="preserve">Before Closing:</w:t>
      </w:r>
      <w:r>
        <w:t xml:space="preserve"> </w:t>
      </w:r>
      <w:r>
        <w:t xml:space="preserve">8. Arrange refinancing of $38.7M credit facility (RF-17)</w:t>
      </w:r>
      <w:r>
        <w:t xml:space="preserve"> </w:t>
      </w:r>
      <w:r>
        <w:t xml:space="preserve">9. Obtain Wyoming permit renewal or written DEQ confirmation (RF-11)</w:t>
      </w:r>
      <w:r>
        <w:t xml:space="preserve"> </w:t>
      </w:r>
      <w:r>
        <w:t xml:space="preserve">10. Resolve CDPHE enforcement action or establish specific escrow (RF-10)</w:t>
      </w:r>
      <w:r>
        <w:t xml:space="preserve"> </w:t>
      </w:r>
      <w:r>
        <w:t xml:space="preserve">11. Obtain all required landlord consents (RF-19)</w:t>
      </w:r>
      <w:r>
        <w:t xml:space="preserve"> </w:t>
      </w:r>
      <w:r>
        <w:t xml:space="preserve">12. Deliver FY2024 audited financial statements (RF-20)</w:t>
      </w:r>
      <w:r>
        <w:t xml:space="preserve"> </w:t>
      </w:r>
      <w:r>
        <w:t xml:space="preserve">13. Resolve single-trigger severance classification in SPA (RF-18)</w:t>
      </w:r>
    </w:p>
    <w:p>
      <w:pPr>
        <w:pStyle w:val="BodyText"/>
      </w:pPr>
      <w:r>
        <w:rPr>
          <w:b/>
          <w:bCs/>
        </w:rPr>
        <w:t xml:space="preserve">SPA Structural Recommendations:</w:t>
      </w:r>
      <w:r>
        <w:t xml:space="preserve"> </w:t>
      </w:r>
      <w:r>
        <w:t xml:space="preserve">- Increase general indemnification cap above 10% holdback for environmental and labor matters</w:t>
      </w:r>
      <w:r>
        <w:t xml:space="preserve"> </w:t>
      </w:r>
      <w:r>
        <w:t xml:space="preserve">- Negotiate separate environmental escrow funded at updated remediation cost estimate</w:t>
      </w:r>
      <w:r>
        <w:t xml:space="preserve"> </w:t>
      </w:r>
      <w:r>
        <w:t xml:space="preserve">- Include specific indemnification provisions for CDPHE enforcement, Ramirez litigation, asbestos tail, and NLRB matter</w:t>
      </w:r>
      <w:r>
        <w:t xml:space="preserve"> </w:t>
      </w:r>
      <w:r>
        <w:t xml:space="preserve">- Include DOE revenue earnout or purchase price adjustment mechanism</w:t>
      </w:r>
      <w:r>
        <w:t xml:space="preserve"> </w:t>
      </w:r>
      <w:r>
        <w:t xml:space="preserve">- Extend environmental and asbestos indemnification survival to 10 years minimum</w:t>
      </w:r>
      <w:r>
        <w:t xml:space="preserve"> </w:t>
      </w:r>
      <w:r>
        <w:t xml:space="preserve">- Define MAC to include NLRB election outcome and DOE ceiling exhaustion</w:t>
      </w:r>
    </w:p>
    <w:p>
      <w:r>
        <w:pict>
          <v:rect style="width:0;height:1.5pt" o:hralign="center" o:hrstd="t" o:hr="t"/>
        </w:pict>
      </w:r>
    </w:p>
    <w:p>
      <w:pPr>
        <w:pStyle w:val="FirstParagraph"/>
      </w:pPr>
      <w:r>
        <w:rPr>
          <w:i/>
          <w:iCs/>
        </w:rPr>
        <w:t xml:space="preserve">This memorandum is based solely on a review of documents provided in the Project Ridgeline data room as of December 2024. It does not constitute legal advice and should not be relied upon as a substitute for independent legal, financial, environmental, or other professional advice. All findings are subject to revision based on additional information obtained during confirmatory diligence.</w:t>
      </w:r>
    </w:p>
    <w:p>
      <w:pPr>
        <w:pStyle w:val="BodyText"/>
      </w:pPr>
      <w:r>
        <w:rPr>
          <w:i/>
          <w:iCs/>
        </w:rPr>
        <w:t xml:space="preserve">Prepared by Bridgewater Forsyth Group, Transaction Advisory Practice, for the exclusive use of Sycamore Capital Partners, LP.</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2026-08-24T23:02:25Z</dcterms:created>
  <dcterms:modified xsi:type="dcterms:W3CDTF">2026-08-24T23:02:25Z</dcterms:modified>
</cp:coreProperties>
</file>

<file path=docProps/custom.xml><?xml version="1.0" encoding="utf-8"?>
<Properties xmlns="http://schemas.openxmlformats.org/officeDocument/2006/custom-properties" xmlns:vt="http://schemas.openxmlformats.org/officeDocument/2006/docPropsVTypes"/>
</file>