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7" w:name="red-flag-diligence-memorandum"/>
    <w:p>
      <w:pPr>
        <w:pStyle w:val="Heading1"/>
      </w:pPr>
      <w:r>
        <w:t xml:space="preserve">RED FLAG DILIGENCE MEMORANDUM</w:t>
      </w:r>
    </w:p>
    <w:p>
      <w:pPr>
        <w:pStyle w:val="FirstParagraph"/>
      </w:pPr>
      <w:r>
        <w:rPr>
          <w:b/>
          <w:bCs/>
        </w:rPr>
        <w:t xml:space="preserve">To:</w:t>
      </w:r>
      <w:r>
        <w:t xml:space="preserve"> </w:t>
      </w:r>
      <w:r>
        <w:t xml:space="preserve">Sycamore Capital Partners, LP — Deal Team</w:t>
      </w:r>
      <w:r>
        <w:br/>
      </w:r>
      <w:r>
        <w:rPr>
          <w:b/>
          <w:bCs/>
        </w:rPr>
        <w:t xml:space="preserve">From:</w:t>
      </w:r>
      <w:r>
        <w:t xml:space="preserve"> </w:t>
      </w:r>
      <w:r>
        <w:t xml:space="preserve">Diligence Review Team</w:t>
      </w:r>
      <w:r>
        <w:br/>
      </w:r>
      <w:r>
        <w:rPr>
          <w:b/>
          <w:bCs/>
        </w:rPr>
        <w:t xml:space="preserve">Re:</w:t>
      </w:r>
      <w:r>
        <w:t xml:space="preserve"> </w:t>
      </w:r>
      <w:r>
        <w:t xml:space="preserve">Project Ridgeline — Ridgeline Environmental Services, Inc.</w:t>
      </w:r>
      <w:r>
        <w:br/>
      </w:r>
      <w:r>
        <w:rPr>
          <w:b/>
          <w:bCs/>
        </w:rPr>
        <w:t xml:space="preserve">Date:</w:t>
      </w:r>
      <w:r>
        <w:t xml:space="preserve"> </w:t>
      </w:r>
      <w:r>
        <w:t xml:space="preserve">December 2024</w:t>
      </w:r>
      <w:r>
        <w:br/>
      </w:r>
      <w:r>
        <w:rPr>
          <w:b/>
          <w:bCs/>
        </w:rPr>
        <w:t xml:space="preserve">Classification:</w:t>
      </w:r>
      <w:r>
        <w:t xml:space="preserve"> </w:t>
      </w:r>
      <w:r>
        <w:t xml:space="preserve">Confidential — Subject to NDA dated September 12,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material red flags identified during our review of the Project Ridgeline data room for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proposed transaction is structured as a 100% stock acquisition at an indicative enterprise value of $182–205 million (8.0–9.0x management’s Adjusted EBITDA of $22.8 million). Our review encompassed thirteen data room documents spanning financial, environmental, legal, operational, and contractual matters.</w:t>
      </w:r>
    </w:p>
    <w:p>
      <w:pPr>
        <w:pStyle w:val="BodyText"/>
      </w:pPr>
      <w:r>
        <w:t xml:space="preserve">We identified</w:t>
      </w:r>
      <w:r>
        <w:t xml:space="preserve"> </w:t>
      </w:r>
      <w:r>
        <w:rPr>
          <w:b/>
          <w:bCs/>
        </w:rPr>
        <w:t xml:space="preserve">fifteen material red flags</w:t>
      </w:r>
      <w:r>
        <w:t xml:space="preserve"> </w:t>
      </w:r>
      <w:r>
        <w:t xml:space="preserve">across six categories. These findings, taken together, present a risk profile that is materially more complex than the Confidential Information Memorandum (</w:t>
      </w:r>
      <w:r>
        <w:t xml:space="preserve">“</w:t>
      </w:r>
      <w:r>
        <w:t xml:space="preserve">CIM</w:t>
      </w:r>
      <w:r>
        <w:t xml:space="preserve">”</w:t>
      </w:r>
      <w:r>
        <w:t xml:space="preserve">) suggests. We recommend that the Buyer not proceed to a definitive agreement without resolving or appropriately pricing the issues described herein. The following enumerated findings constitute the core of our concerns:</w:t>
      </w:r>
    </w:p>
    <w:p>
      <w:pPr>
        <w:pStyle w:val="Compact"/>
        <w:numPr>
          <w:ilvl w:val="0"/>
          <w:numId w:val="1001"/>
        </w:numPr>
      </w:pPr>
      <w:r>
        <w:rPr>
          <w:b/>
          <w:bCs/>
        </w:rPr>
        <w:t xml:space="preserve">Adjusted EBITDA is overstated and internally inconsistent</w:t>
      </w:r>
      <w:r>
        <w:t xml:space="preserve"> </w:t>
      </w:r>
      <w:r>
        <w:t xml:space="preserve">— a $1.0 million unexplained gap exists between the CIM ($22.8M) and the QoE data package ($23.8M), and several add-backs are of questionable quality or sustainability.</w:t>
      </w:r>
    </w:p>
    <w:p>
      <w:pPr>
        <w:pStyle w:val="Compact"/>
        <w:numPr>
          <w:ilvl w:val="0"/>
          <w:numId w:val="1001"/>
        </w:numPr>
      </w:pPr>
      <w:r>
        <w:rPr>
          <w:b/>
          <w:bCs/>
        </w:rPr>
        <w:t xml:space="preserve">The DOE IDIQ contract ceiling will be exhausted by approximately April–May 2025</w:t>
      </w:r>
      <w:r>
        <w:t xml:space="preserve">, creating a potential $12.1 million revenue headwind in FY2025 that is not disclosed in the CIM.</w:t>
      </w:r>
    </w:p>
    <w:p>
      <w:pPr>
        <w:pStyle w:val="Compact"/>
        <w:numPr>
          <w:ilvl w:val="0"/>
          <w:numId w:val="1001"/>
        </w:numPr>
      </w:pPr>
      <w:r>
        <w:rPr>
          <w:b/>
          <w:bCs/>
        </w:rPr>
        <w:t xml:space="preserve">The Grand Junction Phase II ESA is over five years stale</w:t>
      </w:r>
      <w:r>
        <w:t xml:space="preserve">, vapor intrusion at an occupied building has not been assessed, and the contamination cost estimate has not been updated — all contrary to the ESA consultant’s own recommendations.</w:t>
      </w:r>
    </w:p>
    <w:p>
      <w:pPr>
        <w:pStyle w:val="Compact"/>
        <w:numPr>
          <w:ilvl w:val="0"/>
          <w:numId w:val="1001"/>
        </w:numPr>
      </w:pPr>
      <w:r>
        <w:rPr>
          <w:b/>
          <w:bCs/>
        </w:rPr>
        <w:t xml:space="preserve">An active RCRA enforcement action (CDPHE NOV)</w:t>
      </w:r>
      <w:r>
        <w:t xml:space="preserve"> </w:t>
      </w:r>
      <w:r>
        <w:t xml:space="preserve">is pending at the Grand Junction facility with penalty exposure of up to $1.16 million, and no accrual has been recorded.</w:t>
      </w:r>
    </w:p>
    <w:p>
      <w:pPr>
        <w:pStyle w:val="Compact"/>
        <w:numPr>
          <w:ilvl w:val="0"/>
          <w:numId w:val="1001"/>
        </w:numPr>
      </w:pPr>
      <w:r>
        <w:rPr>
          <w:b/>
          <w:bCs/>
        </w:rPr>
        <w:t xml:space="preserve">The Salt Lake City transfer station permit (UTH-0441) has not been transferred</w:t>
      </w:r>
      <w:r>
        <w:t xml:space="preserve"> </w:t>
      </w:r>
      <w:r>
        <w:t xml:space="preserve">from Pinnacle Waste Solutions, LLC to RES in the 2.5+ years since the Pinnacle acquisition, and the landlord’s consent to the lease assignment also remains outstanding.</w:t>
      </w:r>
    </w:p>
    <w:p>
      <w:pPr>
        <w:pStyle w:val="Compact"/>
        <w:numPr>
          <w:ilvl w:val="0"/>
          <w:numId w:val="1001"/>
        </w:numPr>
      </w:pPr>
      <w:r>
        <w:rPr>
          <w:b/>
          <w:bCs/>
        </w:rPr>
        <w:t xml:space="preserve">Eight of the top twenty customer contracts contain change-of-control or assignment provisions</w:t>
      </w:r>
      <w:r>
        <w:t xml:space="preserve"> </w:t>
      </w:r>
      <w:r>
        <w:t xml:space="preserve">that may require consent or notification in connection with the proposed acquisition, representing up to $28.6 million of revenue at risk.</w:t>
      </w:r>
    </w:p>
    <w:p>
      <w:pPr>
        <w:pStyle w:val="Compact"/>
        <w:numPr>
          <w:ilvl w:val="0"/>
          <w:numId w:val="1001"/>
        </w:numPr>
      </w:pPr>
      <w:r>
        <w:rPr>
          <w:b/>
          <w:bCs/>
        </w:rPr>
        <w:t xml:space="preserve">The credit agreement triggers a mandatory full payoff of $39.2 million</w:t>
      </w:r>
      <w:r>
        <w:t xml:space="preserve"> </w:t>
      </w:r>
      <w:r>
        <w:t xml:space="preserve">within five business days of closing, with no waiver mechanism available.</w:t>
      </w:r>
    </w:p>
    <w:p>
      <w:pPr>
        <w:pStyle w:val="Compact"/>
        <w:numPr>
          <w:ilvl w:val="0"/>
          <w:numId w:val="1001"/>
        </w:numPr>
      </w:pPr>
      <w:r>
        <w:rPr>
          <w:b/>
          <w:bCs/>
        </w:rPr>
        <w:t xml:space="preserve">The bank’s EBITDA definition excludes $5.4 million of management’s add-backs</w:t>
      </w:r>
      <w:r>
        <w:t xml:space="preserve">, revealing that management’s adjusted EBITDA is materially more aggressive than the lender’s view of earnings quality.</w:t>
      </w:r>
    </w:p>
    <w:p>
      <w:pPr>
        <w:pStyle w:val="Compact"/>
        <w:numPr>
          <w:ilvl w:val="0"/>
          <w:numId w:val="1001"/>
        </w:numPr>
      </w:pPr>
      <w:r>
        <w:rPr>
          <w:b/>
          <w:bCs/>
        </w:rPr>
        <w:t xml:space="preserve">44.7% of the fleet (38 of 85 assets) is at or past its stated useful life</w:t>
      </w:r>
      <w:r>
        <w:t xml:space="preserve">, with a $9.8 million replacement backlog that management’s normalized capex estimate does not adequately reflect.</w:t>
      </w:r>
    </w:p>
    <w:p>
      <w:pPr>
        <w:pStyle w:val="Compact"/>
        <w:numPr>
          <w:ilvl w:val="0"/>
          <w:numId w:val="1001"/>
        </w:numPr>
      </w:pPr>
      <w:r>
        <w:rPr>
          <w:b/>
          <w:bCs/>
        </w:rPr>
        <w:t xml:space="preserve">The Salt Lake City lease consent has been outstanding since April 2022</w:t>
      </w:r>
      <w:r>
        <w:t xml:space="preserve"> </w:t>
      </w:r>
      <w:r>
        <w:t xml:space="preserve">and the proposed acquisition creates a second, layered change-of-control event — placing $16.2 million of annual revenue at risk.</w:t>
      </w:r>
    </w:p>
    <w:p>
      <w:pPr>
        <w:pStyle w:val="Compact"/>
        <w:numPr>
          <w:ilvl w:val="0"/>
          <w:numId w:val="1001"/>
        </w:numPr>
      </w:pPr>
      <w:r>
        <w:rPr>
          <w:b/>
          <w:bCs/>
        </w:rPr>
        <w:t xml:space="preserve">The CEO and COO have single-trigger change-of-control severance provisions</w:t>
      </w:r>
      <w:r>
        <w:t xml:space="preserve"> </w:t>
      </w:r>
      <w:r>
        <w:t xml:space="preserve">totaling $2.625 million, payable within 30 days of closing regardless of post-closing employment status.</w:t>
      </w:r>
    </w:p>
    <w:p>
      <w:pPr>
        <w:pStyle w:val="Compact"/>
        <w:numPr>
          <w:ilvl w:val="0"/>
          <w:numId w:val="1001"/>
        </w:numPr>
      </w:pPr>
      <w:r>
        <w:rPr>
          <w:b/>
          <w:bCs/>
        </w:rPr>
        <w:t xml:space="preserve">An NLRB union election petition was filed on November 4, 2024</w:t>
      </w:r>
      <w:r>
        <w:t xml:space="preserve"> </w:t>
      </w:r>
      <w:r>
        <w:t xml:space="preserve">by the Teamsters covering 62 field technicians at the two largest facilities — a development not disclosed in the CIM.</w:t>
      </w:r>
    </w:p>
    <w:p>
      <w:pPr>
        <w:pStyle w:val="Compact"/>
        <w:numPr>
          <w:ilvl w:val="0"/>
          <w:numId w:val="1001"/>
        </w:numPr>
      </w:pPr>
      <w:r>
        <w:rPr>
          <w:b/>
          <w:bCs/>
        </w:rPr>
        <w:t xml:space="preserve">Aggregate contingent litigation and regulatory exposure</w:t>
      </w:r>
      <w:r>
        <w:t xml:space="preserve"> </w:t>
      </w:r>
      <w:r>
        <w:t xml:space="preserve">across pending and threatened matters ranges from $800K to $2.49M (unreserved), with additional unquantified asbestos long-tail risk.</w:t>
      </w:r>
    </w:p>
    <w:p>
      <w:pPr>
        <w:pStyle w:val="Compact"/>
        <w:numPr>
          <w:ilvl w:val="0"/>
          <w:numId w:val="1001"/>
        </w:numPr>
      </w:pPr>
      <w:r>
        <w:rPr>
          <w:b/>
          <w:bCs/>
        </w:rPr>
        <w:t xml:space="preserve">No asbestos tail coverage has been procured</w:t>
      </w:r>
      <w:r>
        <w:t xml:space="preserve"> </w:t>
      </w:r>
      <w:r>
        <w:t xml:space="preserve">for work performed from 2012–2014 (pre-retroactive date), and the current CGL policy contains a blanket asbestos exclusion.</w:t>
      </w:r>
    </w:p>
    <w:p>
      <w:pPr>
        <w:pStyle w:val="Compact"/>
        <w:numPr>
          <w:ilvl w:val="0"/>
          <w:numId w:val="1001"/>
        </w:numPr>
      </w:pPr>
      <w:r>
        <w:rPr>
          <w:b/>
          <w:bCs/>
        </w:rPr>
        <w:t xml:space="preserve">The Pollution Legal Liability policy’s gradual-release exclusion</w:t>
      </w:r>
      <w:r>
        <w:t xml:space="preserve"> </w:t>
      </w:r>
      <w:r>
        <w:t xml:space="preserve">applies directly to the documented Grand Junction contamination, leaving the buyer with no insurance backstop for the most probable environmental liability.</w:t>
      </w:r>
    </w:p>
    <w:p>
      <w:pPr>
        <w:pStyle w:val="FirstParagraph"/>
      </w:pPr>
      <w:r>
        <w:t xml:space="preserve">Our quantified risk summary:</w:t>
      </w:r>
      <w:r>
        <w:t xml:space="preserve"> </w:t>
      </w:r>
      <w:r>
        <w:rPr>
          <w:b/>
          <w:bCs/>
        </w:rPr>
        <w:t xml:space="preserve">certain closing costs and adjustments of approximately $42.5–43.5 million</w:t>
      </w:r>
      <w:r>
        <w:t xml:space="preserve"> </w:t>
      </w:r>
      <w:r>
        <w:t xml:space="preserve">(debt payoff + CoC severance + CDPHE penalty reserve) must be funded at or shortly after closing;</w:t>
      </w:r>
      <w:r>
        <w:t xml:space="preserve"> </w:t>
      </w:r>
      <w:r>
        <w:rPr>
          <w:b/>
          <w:bCs/>
        </w:rPr>
        <w:t xml:space="preserve">contingent exposure of $5.8–16.5 million</w:t>
      </w:r>
      <w:r>
        <w:t xml:space="preserve"> </w:t>
      </w:r>
      <w:r>
        <w:t xml:space="preserve">(environmental remediation, litigation, lease risk) requires indemnification protection; and</w:t>
      </w:r>
      <w:r>
        <w:t xml:space="preserve"> </w:t>
      </w:r>
      <w:r>
        <w:rPr>
          <w:b/>
          <w:bCs/>
        </w:rPr>
        <w:t xml:space="preserve">revenue risk of up to $12.1 million</w:t>
      </w:r>
      <w:r>
        <w:t xml:space="preserve"> </w:t>
      </w:r>
      <w:r>
        <w:t xml:space="preserve">(DOE ceiling exhaustion) should be reflected in the purchase price or earnout structure.</w:t>
      </w:r>
    </w:p>
    <w:p>
      <w:r>
        <w:pict>
          <v:rect style="width:0;height:1.5pt" o:hralign="center" o:hrstd="t" o:hr="t"/>
        </w:pict>
      </w:r>
    </w:p>
    <w:bookmarkEnd w:id="21"/>
    <w:bookmarkStart w:id="25" w:name="ii.-financial-quality-of-earnings"/>
    <w:p>
      <w:pPr>
        <w:pStyle w:val="Heading2"/>
      </w:pPr>
      <w:r>
        <w:t xml:space="preserve">II. FINANCIAL QUALITY OF EARNINGS</w:t>
      </w:r>
    </w:p>
    <w:bookmarkStart w:id="22" w:name="Xdaa292b351b7f84fb4f081144e24de68e403092"/>
    <w:p>
      <w:pPr>
        <w:pStyle w:val="Heading3"/>
      </w:pPr>
      <w:r>
        <w:t xml:space="preserve">Red Flag 1 — Adjusted EBITDA Reconciliation Gap: $1.0 Million Unexplained Discrepancy</w:t>
      </w:r>
    </w:p>
    <w:p>
      <w:pPr>
        <w:pStyle w:val="FirstParagraph"/>
      </w:pPr>
      <w:r>
        <w:t xml:space="preserve">The Company’s QoE data package (EBITDA Bridge tab) presents Management Adjusted EBITDA of</w:t>
      </w:r>
      <w:r>
        <w:t xml:space="preserve"> </w:t>
      </w:r>
      <w:r>
        <w:rPr>
          <w:b/>
          <w:bCs/>
        </w:rPr>
        <w:t xml:space="preserve">$23.8 million</w:t>
      </w:r>
      <w:r>
        <w:t xml:space="preserve">, while the CIM presents</w:t>
      </w:r>
      <w:r>
        <w:t xml:space="preserve"> </w:t>
      </w:r>
      <w:r>
        <w:rPr>
          <w:b/>
          <w:bCs/>
        </w:rPr>
        <w:t xml:space="preserve">$22.8 million</w:t>
      </w:r>
      <w:r>
        <w:t xml:space="preserve"> </w:t>
      </w:r>
      <w:r>
        <w:t xml:space="preserve">— a $1.0 million discrepancy that management acknowledges but has not resolved. The specific adjustment category causing the gap has not been identified. The LOI enterprise value of $182–205 million is anchored to the $22.8 million figure. If the QoE confirms $23.8 million, the implied multiple is 7.7–8.6x; if the QoE reduces EBITDA below $22.8 million, the multiple expands materially. This discrepancy must be resolved before the purchase price is finalized.</w:t>
      </w:r>
    </w:p>
    <w:p>
      <w:pPr>
        <w:pStyle w:val="BodyText"/>
      </w:pPr>
      <w:r>
        <w:rPr>
          <w:b/>
          <w:bCs/>
        </w:rPr>
        <w:t xml:space="preserve">Buyer Action:</w:t>
      </w:r>
      <w:r>
        <w:t xml:space="preserve"> </w:t>
      </w:r>
      <w:r>
        <w:t xml:space="preserve">Require management to reconcile and confirm final Adjusted EBITDA before the LOI price is locked. The QoE must independently validate all add-backs. Anchor the purchase price to the QoE-confirmed EBITDA figure, not the CIM.</w:t>
      </w:r>
    </w:p>
    <w:bookmarkEnd w:id="22"/>
    <w:bookmarkStart w:id="23" w:name="X97c794e26a70da9acadadf41672dcd2a00e36b6"/>
    <w:p>
      <w:pPr>
        <w:pStyle w:val="Heading3"/>
      </w:pPr>
      <w:r>
        <w:t xml:space="preserve">Red Flag 2 — Owner Compensation Add-Back Sustainability: $950K Annual Normalization</w:t>
      </w:r>
    </w:p>
    <w:p>
      <w:pPr>
        <w:pStyle w:val="FirstParagraph"/>
      </w:pPr>
      <w:r>
        <w:t xml:space="preserve">Management adds back $950K annually to normalize CEO/COO compensation from $875K each ($1.75M total) to a market rate of $400K each ($800K total). However, the employment agreements confirm both founders receive $875K base salary and are entitled to single-trigger change-of-control severance of $1.3125M each. Post-closing, if the founders remain (as expected), the buyer must either pay market-rate replacements or retain the founders at $875K each — in either case, the $950K add-back may not be sustainable. Critically, the bank’s Consolidated EBITDA definition</w:t>
      </w:r>
      <w:r>
        <w:t xml:space="preserve"> </w:t>
      </w:r>
      <w:r>
        <w:rPr>
          <w:b/>
          <w:bCs/>
        </w:rPr>
        <w:t xml:space="preserve">expressly excludes</w:t>
      </w:r>
      <w:r>
        <w:t xml:space="preserve"> </w:t>
      </w:r>
      <w:r>
        <w:t xml:space="preserve">owner compensation normalization adjustments, confirming that the lender does not view this as a legitimate add-back.</w:t>
      </w:r>
    </w:p>
    <w:p>
      <w:pPr>
        <w:pStyle w:val="BodyText"/>
      </w:pPr>
      <w:r>
        <w:rPr>
          <w:b/>
          <w:bCs/>
        </w:rPr>
        <w:t xml:space="preserve">Buyer Action:</w:t>
      </w:r>
      <w:r>
        <w:t xml:space="preserve"> </w:t>
      </w:r>
      <w:r>
        <w:t xml:space="preserve">Confirm post-closing management compensation structure. Stress-test EBITDA at actual compensation levels. If founders are retained at current salaries, reduce Adjusted EBITDA by $950K.</w:t>
      </w:r>
    </w:p>
    <w:bookmarkEnd w:id="23"/>
    <w:bookmarkStart w:id="24" w:name="X89d92a28e72598fa3604c955ce7c1b5b90d5f78"/>
    <w:p>
      <w:pPr>
        <w:pStyle w:val="Heading3"/>
      </w:pPr>
      <w:r>
        <w:t xml:space="preserve">Red Flag 3 — Fleet Capex Underinvestment: 44.7% of Fleet Past Useful Life; $9.8M Replacement Backlog</w:t>
      </w:r>
    </w:p>
    <w:p>
      <w:pPr>
        <w:pStyle w:val="FirstParagraph"/>
      </w:pPr>
      <w:r>
        <w:t xml:space="preserve">The QoE fleet schedule reveals that</w:t>
      </w:r>
      <w:r>
        <w:t xml:space="preserve"> </w:t>
      </w:r>
      <w:r>
        <w:rPr>
          <w:b/>
          <w:bCs/>
        </w:rPr>
        <w:t xml:space="preserve">38 of 85 assets (44.7%)</w:t>
      </w:r>
      <w:r>
        <w:t xml:space="preserve"> </w:t>
      </w:r>
      <w:r>
        <w:t xml:space="preserve">are at or past their stated useful life, with many flagged as</w:t>
      </w:r>
      <w:r>
        <w:t xml:space="preserve"> </w:t>
      </w:r>
      <w:r>
        <w:t xml:space="preserve">“</w:t>
      </w:r>
      <w:r>
        <w:t xml:space="preserve">Replacement Deferred.</w:t>
      </w:r>
      <w:r>
        <w:t xml:space="preserve">”</w:t>
      </w:r>
      <w:r>
        <w:t xml:space="preserve"> </w:t>
      </w:r>
      <w:r>
        <w:t xml:space="preserve">The estimated replacement cost for past-useful-life units is</w:t>
      </w:r>
      <w:r>
        <w:t xml:space="preserve"> </w:t>
      </w:r>
      <w:r>
        <w:rPr>
          <w:b/>
          <w:bCs/>
        </w:rPr>
        <w:t xml:space="preserve">$9.8 million</w:t>
      </w:r>
      <w:r>
        <w:t xml:space="preserve">. Management’s normalized maintenance capex of $4.0–4.5M/year appears understated; spreading the $9.8M backlog over three years implies approximately $3.3M/year in catch-up capex above the stated run-rate, implying true normalized maintenance capex of approximately $5.7M/year. Maintenance capex declined from $4.6M (FY2021) to $3.55M (FY2023) during the Pinnacle integration, suggesting deliberate deferral to inflate near-term EBITDA. The average fleet age of 8.2 years exceeds the 7.0-year weighted average useful life.</w:t>
      </w:r>
    </w:p>
    <w:p>
      <w:pPr>
        <w:pStyle w:val="BodyText"/>
      </w:pPr>
      <w:r>
        <w:rPr>
          <w:b/>
          <w:bCs/>
        </w:rPr>
        <w:t xml:space="preserve">Buyer Action:</w:t>
      </w:r>
      <w:r>
        <w:t xml:space="preserve"> </w:t>
      </w:r>
      <w:r>
        <w:t xml:space="preserve">Commission an independent fleet appraisal. Adjust normalized maintenance capex upward by $1.5–3.3M/year. Reduce EBITDA and enterprise value accordingly. Consider a purchase price reduction or escrow holdback for the fleet replacement backlog.</w:t>
      </w:r>
    </w:p>
    <w:p>
      <w:r>
        <w:pict>
          <v:rect style="width:0;height:1.5pt" o:hralign="center" o:hrstd="t" o:hr="t"/>
        </w:pict>
      </w:r>
    </w:p>
    <w:bookmarkEnd w:id="24"/>
    <w:bookmarkEnd w:id="25"/>
    <w:bookmarkStart w:id="29" w:name="iii.-environmental-and-regulatory"/>
    <w:p>
      <w:pPr>
        <w:pStyle w:val="Heading2"/>
      </w:pPr>
      <w:r>
        <w:t xml:space="preserve">III. ENVIRONMENTAL AND REGULATORY</w:t>
      </w:r>
    </w:p>
    <w:bookmarkStart w:id="26" w:name="Xfbd66e1932c97e645c0eb52d3bf14dfc7389370"/>
    <w:p>
      <w:pPr>
        <w:pStyle w:val="Heading3"/>
      </w:pPr>
      <w:r>
        <w:t xml:space="preserve">Red Flag 4 — Grand Junction Phase II ESA Stale: Five-Plus Years Old; Vapor Intrusion Unassessed</w:t>
      </w:r>
    </w:p>
    <w:p>
      <w:pPr>
        <w:pStyle w:val="FirstParagraph"/>
      </w:pPr>
      <w:r>
        <w:t xml:space="preserve">The only Phase II Environmental Site Assessment for the Company’s owned Grand Junction headquarters (12.4 acres) was completed in</w:t>
      </w:r>
      <w:r>
        <w:t xml:space="preserve"> </w:t>
      </w:r>
      <w:r>
        <w:rPr>
          <w:b/>
          <w:bCs/>
        </w:rPr>
        <w:t xml:space="preserve">June 2019</w:t>
      </w:r>
      <w:r>
        <w:t xml:space="preserve"> </w:t>
      </w:r>
      <w:r>
        <w:t xml:space="preserve">— over five years ago. The ESA identified petroleum hydrocarbon (TPH-DRO/GRO, benzene) and chlorinated solvent (PCE, TCE) contamination in soil and groundwater from pre-acquisition industrial operations. The 2019 cost estimate of</w:t>
      </w:r>
      <w:r>
        <w:t xml:space="preserve"> </w:t>
      </w:r>
      <w:r>
        <w:rPr>
          <w:b/>
          <w:bCs/>
        </w:rPr>
        <w:t xml:space="preserve">$1.8–2.6 million</w:t>
      </w:r>
      <w:r>
        <w:t xml:space="preserve"> </w:t>
      </w:r>
      <w:r>
        <w:t xml:space="preserve">has not been updated. The ESA consultant (Elkhorn Environmental Consultants) explicitly recommended: (1) installation of off-site sentinel monitoring wells (not yet done); (2) a vapor intrusion assessment of the occupied 28,000 sq. ft. vehicle maintenance building where PCE and TCE soil gas concentrations exceed EPA Regional Screening Levels (not yet done); and (3) an update before any property transaction. The Company has accrued only $2.2 million for Grand Junction remediation. The contamination is characterized as</w:t>
      </w:r>
      <w:r>
        <w:t xml:space="preserve"> </w:t>
      </w:r>
      <w:r>
        <w:t xml:space="preserve">“</w:t>
      </w:r>
      <w:r>
        <w:t xml:space="preserve">gradual release</w:t>
      </w:r>
      <w:r>
        <w:t xml:space="preserve">”</w:t>
      </w:r>
      <w:r>
        <w:t xml:space="preserve"> </w:t>
      </w:r>
      <w:r>
        <w:t xml:space="preserve">— meaning the Pollution Legal Liability policy’s gradual-release exclusion applies, leaving the buyer with no insurance backstop. DNAPL migration risk (PCE/TCE are denser-than-water) could materially increase costs if off-site migration is confirmed.</w:t>
      </w:r>
    </w:p>
    <w:p>
      <w:pPr>
        <w:pStyle w:val="BodyText"/>
      </w:pPr>
      <w:r>
        <w:rPr>
          <w:b/>
          <w:bCs/>
        </w:rPr>
        <w:t xml:space="preserve">Buyer Action:</w:t>
      </w:r>
      <w:r>
        <w:t xml:space="preserve"> </w:t>
      </w:r>
      <w:r>
        <w:t xml:space="preserve">Commission an updated Phase II ESA immediately. Require a vapor intrusion assessment of the maintenance building. Obtain an independent remediation cost estimate. Do not close without current environmental data. Negotiate a specific environmental indemnity with extended survival (six years per the LOI).</w:t>
      </w:r>
    </w:p>
    <w:bookmarkEnd w:id="26"/>
    <w:bookmarkStart w:id="27" w:name="Xa41a8b9e2b62486ec92802904ef99f29711987d"/>
    <w:p>
      <w:pPr>
        <w:pStyle w:val="Heading3"/>
      </w:pPr>
      <w:r>
        <w:t xml:space="preserve">Red Flag 5 — Active RCRA Enforcement Action: CDPHE NOV with Up to $1.16M Penalty Exposure</w:t>
      </w:r>
    </w:p>
    <w:p>
      <w:pPr>
        <w:pStyle w:val="FirstParagraph"/>
      </w:pPr>
      <w:r>
        <w:t xml:space="preserve">CDPHE issued a Notice of Violation (Docket No. CDPHE-HW-2024-0093, July 18, 2024) for unauthorized hazardous waste storage at the Grand Junction RCRA Part B facility. The parties dispute the violation period: RES claims 12 days (maximum penalty $450K); CDPHE claims 31 days (maximum penalty</w:t>
      </w:r>
      <w:r>
        <w:t xml:space="preserve"> </w:t>
      </w:r>
      <w:r>
        <w:rPr>
          <w:b/>
          <w:bCs/>
        </w:rPr>
        <w:t xml:space="preserve">$1.16 million</w:t>
      </w:r>
      <w:r>
        <w:t xml:space="preserve">).</w:t>
      </w:r>
      <w:r>
        <w:t xml:space="preserve"> </w:t>
      </w:r>
      <w:r>
        <w:rPr>
          <w:b/>
          <w:bCs/>
        </w:rPr>
        <w:t xml:space="preserve">No accrual has been recorded</w:t>
      </w:r>
      <w:r>
        <w:t xml:space="preserve"> </w:t>
      </w:r>
      <w:r>
        <w:t xml:space="preserve">as of September 30, 2024. The matter is in administrative negotiation with a settlement conference expected in Q1 2025. A RCRA violation of this nature could also jeopardize the permit renewal (current permit expires December 31, 2026). The credit agreement treats permit revocation as an immediate Event of Default. The LOI specifically calls out this matter for special indemnification treatment.</w:t>
      </w:r>
    </w:p>
    <w:p>
      <w:pPr>
        <w:pStyle w:val="BodyText"/>
      </w:pPr>
      <w:r>
        <w:rPr>
          <w:b/>
          <w:bCs/>
        </w:rPr>
        <w:t xml:space="preserve">Buyer Action:</w:t>
      </w:r>
      <w:r>
        <w:t xml:space="preserve"> </w:t>
      </w:r>
      <w:r>
        <w:t xml:space="preserve">Require resolution or escrow of the maximum penalty amount before closing. Obtain a CDPHE status update. Assess permit renewal risk. Include a specific indemnification carve-out with a separate escrow for the CDPHE penalty.</w:t>
      </w:r>
    </w:p>
    <w:bookmarkEnd w:id="27"/>
    <w:bookmarkStart w:id="28" w:name="X66c1cbe91026ec3223fc2c83dfab1f126247b00"/>
    <w:p>
      <w:pPr>
        <w:pStyle w:val="Heading3"/>
      </w:pPr>
      <w:r>
        <w:t xml:space="preserve">Red Flag 6 — Salt Lake City Permit Not Transferred: Operating Under Pinnacle’s Permit for 2.5+ Years</w:t>
      </w:r>
    </w:p>
    <w:p>
      <w:pPr>
        <w:pStyle w:val="FirstParagraph"/>
      </w:pPr>
      <w:r>
        <w:t xml:space="preserve">Utah hazardous waste permit UTH-0441 for the Salt Lake City transfer station — which serves approximately</w:t>
      </w:r>
      <w:r>
        <w:t xml:space="preserve"> </w:t>
      </w:r>
      <w:r>
        <w:rPr>
          <w:b/>
          <w:bCs/>
        </w:rPr>
        <w:t xml:space="preserve">$16.2 million of annual revenue</w:t>
      </w:r>
      <w:r>
        <w:t xml:space="preserve"> </w:t>
      </w:r>
      <w:r>
        <w:t xml:space="preserve">— remains in the name of Pinnacle Waste Solutions, LLC, not RES, despite the March 2022 acquisition. A transfer application was filed but remains pending after more than 2.5 years. RES is operating the facility under Pinnacle’s permit without formal regulatory approval of the change in operational control. Utah Administrative Code R315-3 requires Division approval before a permit modification reflecting ownership change becomes effective. The proposed Sycamore acquisition adds a second change-of-control layer on top of the unresolved first transfer.</w:t>
      </w:r>
    </w:p>
    <w:p>
      <w:pPr>
        <w:pStyle w:val="BodyText"/>
      </w:pPr>
      <w:r>
        <w:rPr>
          <w:b/>
          <w:bCs/>
        </w:rPr>
        <w:t xml:space="preserve">Buyer Action:</w:t>
      </w:r>
      <w:r>
        <w:t xml:space="preserve"> </w:t>
      </w:r>
      <w:r>
        <w:t xml:space="preserve">Require permit transfer to be completed before closing. Engage Utah DEQ directly. Make permit transfer a closing condition. Include a specific indemnity for permit-related enforcement.</w:t>
      </w:r>
    </w:p>
    <w:p>
      <w:r>
        <w:pict>
          <v:rect style="width:0;height:1.5pt" o:hralign="center" o:hrstd="t" o:hr="t"/>
        </w:pict>
      </w:r>
    </w:p>
    <w:bookmarkEnd w:id="28"/>
    <w:bookmarkEnd w:id="29"/>
    <w:bookmarkStart w:id="33" w:name="Xb80ab98f06a12c05a6a51ea823e00f569aed031"/>
    <w:p>
      <w:pPr>
        <w:pStyle w:val="Heading2"/>
      </w:pPr>
      <w:r>
        <w:t xml:space="preserve">IV. CUSTOMER CONCENTRATION AND CONTRACT RISK</w:t>
      </w:r>
    </w:p>
    <w:bookmarkStart w:id="30" w:name="X580bb7e48c0241b7642575e319871b5f0dac771"/>
    <w:p>
      <w:pPr>
        <w:pStyle w:val="Heading3"/>
      </w:pPr>
      <w:r>
        <w:t xml:space="preserve">Red Flag 7 — DOE IDIQ Ceiling Exhaustion: $12.1M Revenue Headwind in FY2025</w:t>
      </w:r>
    </w:p>
    <w:p>
      <w:pPr>
        <w:pStyle w:val="FirstParagraph"/>
      </w:pPr>
      <w:r>
        <w:t xml:space="preserve">The DOE IDIQ contract (DE-EM-0005523) — the Company’s largest customer at</w:t>
      </w:r>
      <w:r>
        <w:t xml:space="preserve"> </w:t>
      </w:r>
      <w:r>
        <w:rPr>
          <w:b/>
          <w:bCs/>
        </w:rPr>
        <w:t xml:space="preserve">19.2% of revenue ($24.4M TTM)</w:t>
      </w:r>
      <w:r>
        <w:t xml:space="preserve"> </w:t>
      </w:r>
      <w:r>
        <w:t xml:space="preserve">— has only</w:t>
      </w:r>
      <w:r>
        <w:t xml:space="preserve"> </w:t>
      </w:r>
      <w:r>
        <w:rPr>
          <w:b/>
          <w:bCs/>
        </w:rPr>
        <w:t xml:space="preserve">$12.3 million of ceiling remaining</w:t>
      </w:r>
      <w:r>
        <w:t xml:space="preserve"> </w:t>
      </w:r>
      <w:r>
        <w:t xml:space="preserve">as of September 2024. At the current run rate of approximately $2.03M/month, the ceiling will be exhausted by approximately</w:t>
      </w:r>
      <w:r>
        <w:t xml:space="preserve"> </w:t>
      </w:r>
      <w:r>
        <w:rPr>
          <w:b/>
          <w:bCs/>
        </w:rPr>
        <w:t xml:space="preserve">April–May 2025</w:t>
      </w:r>
      <w:r>
        <w:t xml:space="preserve">, coinciding with the target closing date. The contract does not expire until August 2026, leaving approximately 16 months of unfunded contract period. Without a ceiling modification or new contract award, FY2025 DOE revenue could fall from $24.4M to ≤$12.3M — a</w:t>
      </w:r>
      <w:r>
        <w:t xml:space="preserve"> </w:t>
      </w:r>
      <w:r>
        <w:rPr>
          <w:b/>
          <w:bCs/>
        </w:rPr>
        <w:t xml:space="preserve">$12.1 million (9.5% of total revenue) headwind</w:t>
      </w:r>
      <w:r>
        <w:t xml:space="preserve">. This risk is not disclosed in the CIM, which presents the DOE relationship as a</w:t>
      </w:r>
      <w:r>
        <w:t xml:space="preserve"> </w:t>
      </w:r>
      <w:r>
        <w:t xml:space="preserve">“</w:t>
      </w:r>
      <w:r>
        <w:t xml:space="preserve">cornerstone</w:t>
      </w:r>
      <w:r>
        <w:t xml:space="preserve">”</w:t>
      </w:r>
      <w:r>
        <w:t xml:space="preserve"> </w:t>
      </w:r>
      <w:r>
        <w:t xml:space="preserve">providing</w:t>
      </w:r>
      <w:r>
        <w:t xml:space="preserve"> </w:t>
      </w:r>
      <w:r>
        <w:t xml:space="preserve">“</w:t>
      </w:r>
      <w:r>
        <w:t xml:space="preserve">substantial near-term revenue visibility.</w:t>
      </w:r>
      <w:r>
        <w:t xml:space="preserve">”</w:t>
      </w:r>
      <w:r>
        <w:t xml:space="preserve"> </w:t>
      </w:r>
      <w:r>
        <w:t xml:space="preserve">Additionally, the contract is non-assignable without Contracting Officer consent per the Anti-Assignment Act (41 U.S.C. § 6305), and a novation agreement may be required in connection with the acquisition.</w:t>
      </w:r>
    </w:p>
    <w:p>
      <w:pPr>
        <w:pStyle w:val="BodyText"/>
      </w:pPr>
      <w:r>
        <w:rPr>
          <w:b/>
          <w:bCs/>
        </w:rPr>
        <w:t xml:space="preserve">Buyer Action:</w:t>
      </w:r>
      <w:r>
        <w:t xml:space="preserve"> </w:t>
      </w:r>
      <w:r>
        <w:t xml:space="preserve">Obtain DOE contracting officer confirmation of ceiling modification status before signing. Model FY2025 revenue at the reduced DOE run rate. Adjust enterprise value for revenue risk. Consider a revenue-based earnout tied to DOE ceiling modification.</w:t>
      </w:r>
    </w:p>
    <w:bookmarkEnd w:id="30"/>
    <w:bookmarkStart w:id="31" w:name="X6d1088c0798c3aa27e363a30ce8f81145c8e31a"/>
    <w:p>
      <w:pPr>
        <w:pStyle w:val="Heading3"/>
      </w:pPr>
      <w:r>
        <w:t xml:space="preserve">Red Flag 8 — Eight of Top Twenty Contracts Contain Change-of-Control or Assignment Provisions</w:t>
      </w:r>
    </w:p>
    <w:p>
      <w:pPr>
        <w:pStyle w:val="FirstParagraph"/>
      </w:pPr>
      <w:r>
        <w:t xml:space="preserve">Eight of the top twenty customer contracts contain assignment, change-of-control notification, or consent provisions triggered by the proposed acquisition: the DOE (non-assignable per Anti-Assignment Act; novation may be required); Intermountain Health Systems ($7.1M; consent required); Rocky Mountain Pipeline Systems ($4.2M; consent required); Colorado DOT ($3.9M; consent required); Bridger Valley Ranches ($4.1M; mutual consent required); Frontier Exploration &amp; Production ($2.6M; consent required); Teton Steel &amp; Manufacturing ($2.1M; mutual consent required); and Utah DEQ ($4.6M; state termination right). Failure to obtain required consents could result in contract termination or default, placing up to</w:t>
      </w:r>
      <w:r>
        <w:t xml:space="preserve"> </w:t>
      </w:r>
      <w:r>
        <w:rPr>
          <w:b/>
          <w:bCs/>
        </w:rPr>
        <w:t xml:space="preserve">$28.6 million of aggregate revenue</w:t>
      </w:r>
      <w:r>
        <w:t xml:space="preserve"> </w:t>
      </w:r>
      <w:r>
        <w:t xml:space="preserve">at risk.</w:t>
      </w:r>
    </w:p>
    <w:p>
      <w:pPr>
        <w:pStyle w:val="BodyText"/>
      </w:pPr>
      <w:r>
        <w:rPr>
          <w:b/>
          <w:bCs/>
        </w:rPr>
        <w:t xml:space="preserve">Buyer Action:</w:t>
      </w:r>
      <w:r>
        <w:t xml:space="preserve"> </w:t>
      </w:r>
      <w:r>
        <w:t xml:space="preserve">Map all consent requirements. Initiate the consent process before signing. Make key customer consents a closing condition. Include a customer contract representation in the SPA.</w:t>
      </w:r>
    </w:p>
    <w:bookmarkEnd w:id="31"/>
    <w:bookmarkStart w:id="32" w:name="X2f53126911ed1ab635cb4a28eae05436c36c4bc"/>
    <w:p>
      <w:pPr>
        <w:pStyle w:val="Heading3"/>
      </w:pPr>
      <w:r>
        <w:t xml:space="preserve">Red Flag 9 — Top Five Customer Concentration at 50.4%: Elevated vs. Peers</w:t>
      </w:r>
    </w:p>
    <w:p>
      <w:pPr>
        <w:pStyle w:val="FirstParagraph"/>
      </w:pPr>
      <w:r>
        <w:t xml:space="preserve">The top five customers account for</w:t>
      </w:r>
      <w:r>
        <w:t xml:space="preserve"> </w:t>
      </w:r>
      <w:r>
        <w:rPr>
          <w:b/>
          <w:bCs/>
        </w:rPr>
        <w:t xml:space="preserve">50.4% of TTM revenue</w:t>
      </w:r>
      <w:r>
        <w:t xml:space="preserve"> </w:t>
      </w:r>
      <w:r>
        <w:t xml:space="preserve">($64.1M of $127.3M), exceeding the preferred threshold of less than 40%. The top two customers (DOE + Consolidated Mining &amp; Minerals Corp.) represent 30.6% of revenue. Consolidated Mining’s MSA has a 60-day termination for convenience clause with no minimum volume commitments. The DOE relationship faces ceiling exhaustion risk (see Red Flag 7). Twelve of the top twenty contracts have termination for convenience clauses with 60 days or less notice.</w:t>
      </w:r>
    </w:p>
    <w:p>
      <w:pPr>
        <w:pStyle w:val="BodyText"/>
      </w:pPr>
      <w:r>
        <w:rPr>
          <w:b/>
          <w:bCs/>
        </w:rPr>
        <w:t xml:space="preserve">Buyer Action:</w:t>
      </w:r>
      <w:r>
        <w:t xml:space="preserve"> </w:t>
      </w:r>
      <w:r>
        <w:t xml:space="preserve">Assess customer retention risk. Obtain customer reference calls. Model downside scenarios. Consider a revenue-based earnout tied to customer retention.</w:t>
      </w:r>
    </w:p>
    <w:p>
      <w:r>
        <w:pict>
          <v:rect style="width:0;height:1.5pt" o:hralign="center" o:hrstd="t" o:hr="t"/>
        </w:pict>
      </w:r>
    </w:p>
    <w:bookmarkEnd w:id="32"/>
    <w:bookmarkEnd w:id="33"/>
    <w:bookmarkStart w:id="36" w:name="v.-debt-and-credit-agreement"/>
    <w:p>
      <w:pPr>
        <w:pStyle w:val="Heading2"/>
      </w:pPr>
      <w:r>
        <w:t xml:space="preserve">V. DEBT AND CREDIT AGREEMENT</w:t>
      </w:r>
    </w:p>
    <w:bookmarkStart w:id="34" w:name="X957c0316dbbab4e38862de72a234aa22ff45375"/>
    <w:p>
      <w:pPr>
        <w:pStyle w:val="Heading3"/>
      </w:pPr>
      <w:r>
        <w:t xml:space="preserve">Red Flag 10 — Change-of-Control Triggers Mandatory Full Debt Payoff: $39.2M+ Within Five Business Days</w:t>
      </w:r>
    </w:p>
    <w:p>
      <w:pPr>
        <w:pStyle w:val="FirstParagraph"/>
      </w:pPr>
      <w:r>
        <w:t xml:space="preserve">The High Plains National Bank credit agreement defines Change of Control to include any acquisition of 50% or more of equity — directly triggered by the proposed 100% stock acquisition. Upon a Change of Control, the borrower must prepay</w:t>
      </w:r>
      <w:r>
        <w:t xml:space="preserve"> </w:t>
      </w:r>
      <w:r>
        <w:rPr>
          <w:b/>
          <w:bCs/>
        </w:rPr>
        <w:t xml:space="preserve">all outstanding obligations within five business days</w:t>
      </w:r>
      <w:r>
        <w:t xml:space="preserve">: $12.4M revolving facility + $26.3M term loan + $263K prepayment premium (1.0% of term loan, applicable through January 16, 2026) + accrued interest (~$200–300K) = approximately</w:t>
      </w:r>
      <w:r>
        <w:t xml:space="preserve"> </w:t>
      </w:r>
      <w:r>
        <w:rPr>
          <w:b/>
          <w:bCs/>
        </w:rPr>
        <w:t xml:space="preserve">$39.2 million total</w:t>
      </w:r>
      <w:r>
        <w:t xml:space="preserve">. The revolving commitment is permanently terminated. No waiver mechanism exists — the only options are payoff or refinancing. This is a known, certain closing cost that must be funded at closing.</w:t>
      </w:r>
    </w:p>
    <w:p>
      <w:pPr>
        <w:pStyle w:val="BodyText"/>
      </w:pPr>
      <w:r>
        <w:rPr>
          <w:b/>
          <w:bCs/>
        </w:rPr>
        <w:t xml:space="preserve">Buyer Action:</w:t>
      </w:r>
      <w:r>
        <w:t xml:space="preserve"> </w:t>
      </w:r>
      <w:r>
        <w:t xml:space="preserve">Arrange debt financing or equity to fund the payoff at closing. Obtain a payoff letter from High Plains National Bank. Include the full payoff amount in the net debt adjustment per LOI Section 4.1(b). Confirm no additional fees or SOFR breakage costs.</w:t>
      </w:r>
    </w:p>
    <w:bookmarkEnd w:id="34"/>
    <w:bookmarkStart w:id="35" w:name="X7a5c10ee0aaaa88adfc4e20b9d9c07c75277797"/>
    <w:p>
      <w:pPr>
        <w:pStyle w:val="Heading3"/>
      </w:pPr>
      <w:r>
        <w:t xml:space="preserve">Red Flag 11 — Bank EBITDA Definition Excludes $5.4M of Management Add-Backs: Leverage Ratio Mismatch</w:t>
      </w:r>
    </w:p>
    <w:p>
      <w:pPr>
        <w:pStyle w:val="FirstParagraph"/>
      </w:pPr>
      <w:r>
        <w:t xml:space="preserve">The bank’s Consolidated EBITDA definition caps non-recurring add-backs at $500K/year and expressly excludes litigation settlements, owner compensation normalization, ERP costs, acquisition integration costs, and service line wind-down costs. As a result, bank EBITDA equals $18.4M (reported EBITDA), not $22.8–23.8M (management adjusted). The bank leverage ratio is</w:t>
      </w:r>
      <w:r>
        <w:t xml:space="preserve"> </w:t>
      </w:r>
      <w:r>
        <w:rPr>
          <w:b/>
          <w:bCs/>
        </w:rPr>
        <w:t xml:space="preserve">2.10x</w:t>
      </w:r>
      <w:r>
        <w:t xml:space="preserve"> </w:t>
      </w:r>
      <w:r>
        <w:t xml:space="preserve">($38.7M / $18.4M), not 1.70x as presented in the CIM. While still within the 3.50x covenant, the $4.4–5.4M gap between management’s and the bank’s EBITDA definitions signals that management’s add-backs are aggressive. Post-closing, a new lender will need to underwrite to a realistic EBITDA figure, which may constrain acquisition financing capacity.</w:t>
      </w:r>
    </w:p>
    <w:p>
      <w:pPr>
        <w:pStyle w:val="BodyText"/>
      </w:pPr>
      <w:r>
        <w:rPr>
          <w:b/>
          <w:bCs/>
        </w:rPr>
        <w:t xml:space="preserve">Buyer Action:</w:t>
      </w:r>
      <w:r>
        <w:t xml:space="preserve"> </w:t>
      </w:r>
      <w:r>
        <w:t xml:space="preserve">Use bank EBITDA as a cross-check on management’s adjusted EBITDA. Ensure the new credit facility is sized appropriately. Disclose the EBITDA definition gap to acquisition financing lenders.</w:t>
      </w:r>
    </w:p>
    <w:p>
      <w:r>
        <w:pict>
          <v:rect style="width:0;height:1.5pt" o:hralign="center" o:hrstd="t" o:hr="t"/>
        </w:pict>
      </w:r>
    </w:p>
    <w:bookmarkEnd w:id="35"/>
    <w:bookmarkEnd w:id="36"/>
    <w:bookmarkStart w:id="38" w:name="vi.-real-property-and-leases"/>
    <w:p>
      <w:pPr>
        <w:pStyle w:val="Heading2"/>
      </w:pPr>
      <w:r>
        <w:t xml:space="preserve">VI. REAL PROPERTY AND LEASES</w:t>
      </w:r>
    </w:p>
    <w:bookmarkStart w:id="37" w:name="X4bc2521235daf76f9de53e91ca7cd7d4dea8689"/>
    <w:p>
      <w:pPr>
        <w:pStyle w:val="Heading3"/>
      </w:pPr>
      <w:r>
        <w:t xml:space="preserve">Red Flag 12 — Salt Lake City Lease: Landlord Consent Outstanding Since April 2022; Dual Change-of-Control Event</w:t>
      </w:r>
    </w:p>
    <w:p>
      <w:pPr>
        <w:pStyle w:val="FirstParagraph"/>
      </w:pPr>
      <w:r>
        <w:t xml:space="preserve">The Salt Lake City transfer station lease (Pinnacle Waste Solutions, LLC as tenant; Wasatch Industrial Properties, LLC as landlord) requires prior written consent for any assignment or change of control. RES requested consent on April 12, 2022 following the Pinnacle acquisition — over 2.5 years ago — and has received no written response. The landlord sent a lease compliance inquiry in November 2024 specifically referencing the consent-to-assignment clause. The proposed Sycamore acquisition creates a</w:t>
      </w:r>
      <w:r>
        <w:t xml:space="preserve"> </w:t>
      </w:r>
      <w:r>
        <w:rPr>
          <w:b/>
          <w:bCs/>
        </w:rPr>
        <w:t xml:space="preserve">second change-of-control event</w:t>
      </w:r>
      <w:r>
        <w:t xml:space="preserve"> </w:t>
      </w:r>
      <w:r>
        <w:t xml:space="preserve">layered on top of the unresolved first. The SLC facility serves approximately</w:t>
      </w:r>
      <w:r>
        <w:t xml:space="preserve"> </w:t>
      </w:r>
      <w:r>
        <w:rPr>
          <w:b/>
          <w:bCs/>
        </w:rPr>
        <w:t xml:space="preserve">$16.2 million of annual revenue</w:t>
      </w:r>
      <w:r>
        <w:t xml:space="preserve"> </w:t>
      </w:r>
      <w:r>
        <w:t xml:space="preserve">and houses the unresolved Utah permit UTH-0441. A landlord refusal to consent could result in lease termination, disrupting operations and revenue. The absence of written consent to the initial Pinnacle-to-RES assignment may also constitute a pre-existing default condition under the lease.</w:t>
      </w:r>
    </w:p>
    <w:p>
      <w:pPr>
        <w:pStyle w:val="BodyText"/>
      </w:pPr>
      <w:r>
        <w:rPr>
          <w:b/>
          <w:bCs/>
        </w:rPr>
        <w:t xml:space="preserve">Buyer Action:</w:t>
      </w:r>
      <w:r>
        <w:t xml:space="preserve"> </w:t>
      </w:r>
      <w:r>
        <w:t xml:space="preserve">Engage the landlord immediately. Obtain written consent before closing. Make landlord consent a closing condition. Assess whether the existing non-consent constitutes a default. Include a specific indemnity for lease-related losses.</w:t>
      </w:r>
    </w:p>
    <w:p>
      <w:r>
        <w:pict>
          <v:rect style="width:0;height:1.5pt" o:hralign="center" o:hrstd="t" o:hr="t"/>
        </w:pict>
      </w:r>
    </w:p>
    <w:bookmarkEnd w:id="37"/>
    <w:bookmarkEnd w:id="38"/>
    <w:bookmarkStart w:id="41" w:name="vii.-employment-and-human-resources"/>
    <w:p>
      <w:pPr>
        <w:pStyle w:val="Heading2"/>
      </w:pPr>
      <w:r>
        <w:t xml:space="preserve">VII. EMPLOYMENT AND HUMAN RESOURCES</w:t>
      </w:r>
    </w:p>
    <w:bookmarkStart w:id="39" w:name="Xfe7f7a2530ab870b610a0024777e4728598b918"/>
    <w:p>
      <w:pPr>
        <w:pStyle w:val="Heading3"/>
      </w:pPr>
      <w:r>
        <w:t xml:space="preserve">Red Flag 13 — Single-Trigger Change-of-Control Severance: $2.625M Payable at Closing</w:t>
      </w:r>
    </w:p>
    <w:p>
      <w:pPr>
        <w:pStyle w:val="FirstParagraph"/>
      </w:pPr>
      <w:r>
        <w:t xml:space="preserve">Derek Calloway (CEO) and Jason Calloway (COO) each have</w:t>
      </w:r>
      <w:r>
        <w:t xml:space="preserve"> </w:t>
      </w:r>
      <w:r>
        <w:rPr>
          <w:b/>
          <w:bCs/>
        </w:rPr>
        <w:t xml:space="preserve">single-trigger</w:t>
      </w:r>
      <w:r>
        <w:t xml:space="preserve"> </w:t>
      </w:r>
      <w:r>
        <w:t xml:space="preserve">change-of-control severance provisions: $1.3125M each ($2.625M combined), payable within 30 days of closing regardless of whether their employment continues, is modified, or is terminated. This is a certain, immediate cash obligation at closing. The LOI’s definition of Transaction Expenses does not clearly address whether these payments are seller-borne or buyer-borne. Total potential change-of-control severance across all five executives is $3.775M (the remaining $1.15M is double-trigger and contingent on post-closing employment events).</w:t>
      </w:r>
    </w:p>
    <w:p>
      <w:pPr>
        <w:pStyle w:val="BodyText"/>
      </w:pPr>
      <w:r>
        <w:rPr>
          <w:b/>
          <w:bCs/>
        </w:rPr>
        <w:t xml:space="preserve">Buyer Action:</w:t>
      </w:r>
      <w:r>
        <w:t xml:space="preserve"> </w:t>
      </w:r>
      <w:r>
        <w:t xml:space="preserve">Confirm treatment of CoC severance as a Transaction Expense (seller-borne) vs. a buyer obligation. Negotiate post-closing employment terms with the founders. Consider retention agreements in lieu of severance. Deduct $2.625M from the purchase price as a Transaction Expense.</w:t>
      </w:r>
    </w:p>
    <w:bookmarkEnd w:id="39"/>
    <w:bookmarkStart w:id="40" w:name="X549db79c93dc29cb5e42ba3169cdca04edda0e8"/>
    <w:p>
      <w:pPr>
        <w:pStyle w:val="Heading3"/>
      </w:pPr>
      <w:r>
        <w:t xml:space="preserve">Red Flag 14 — NLRB Union Petition Filed November 2024: 62 Field Technicians at Grand Junction and Casper</w:t>
      </w:r>
    </w:p>
    <w:p>
      <w:pPr>
        <w:pStyle w:val="FirstParagraph"/>
      </w:pPr>
      <w:r>
        <w:t xml:space="preserve">The International Brotherhood of Teamsters Local 455 filed an NLRB election petition on</w:t>
      </w:r>
      <w:r>
        <w:t xml:space="preserve"> </w:t>
      </w:r>
      <w:r>
        <w:rPr>
          <w:b/>
          <w:bCs/>
        </w:rPr>
        <w:t xml:space="preserve">November 4, 2024</w:t>
      </w:r>
      <w:r>
        <w:t xml:space="preserve">, covering 62 field technicians at the Grand Junction and Casper facilities — the two largest operational hubs. If the union election succeeds, RES would be required to bargain collectively, potentially increasing labor costs, reducing operational flexibility, and complicating post-closing integration. The CIM prominently highlights the non-unionized workforce as a competitive advantage. This development is disclosed only in a footnote to the Employee Benefits Summary and is not mentioned in the CIM. The timing — one month before data room opening — raises questions about disclosure adequacy.</w:t>
      </w:r>
    </w:p>
    <w:p>
      <w:pPr>
        <w:pStyle w:val="BodyText"/>
      </w:pPr>
      <w:r>
        <w:rPr>
          <w:b/>
          <w:bCs/>
        </w:rPr>
        <w:t xml:space="preserve">Buyer Action:</w:t>
      </w:r>
      <w:r>
        <w:t xml:space="preserve"> </w:t>
      </w:r>
      <w:r>
        <w:t xml:space="preserve">Obtain NLRB case status. Assess the likelihood of union certification. Model labor cost impact. Evaluate disclosure adequacy. Include a labor relations representation in the SPA. Consider whether union certification pre-closing constitutes a Material Adverse Change.</w:t>
      </w:r>
    </w:p>
    <w:p>
      <w:r>
        <w:pict>
          <v:rect style="width:0;height:1.5pt" o:hralign="center" o:hrstd="t" o:hr="t"/>
        </w:pict>
      </w:r>
    </w:p>
    <w:bookmarkEnd w:id="40"/>
    <w:bookmarkEnd w:id="41"/>
    <w:bookmarkStart w:id="43" w:name="Xad1d4dc919d68b942cc3686736690da4f3ea02e"/>
    <w:p>
      <w:pPr>
        <w:pStyle w:val="Heading2"/>
      </w:pPr>
      <w:r>
        <w:t xml:space="preserve">VIII. LITIGATION AND CONTINGENT LIABILITIES</w:t>
      </w:r>
    </w:p>
    <w:bookmarkStart w:id="42" w:name="Xbd5aac669e3364b9efdb7e1201e02461ba74156"/>
    <w:p>
      <w:pPr>
        <w:pStyle w:val="Heading3"/>
      </w:pPr>
      <w:r>
        <w:t xml:space="preserve">Red Flag 15 — Aggregate Contingent Exposure: $800K–$2.49M Unreserved; Asbestos Tail Uninsured</w:t>
      </w:r>
    </w:p>
    <w:p>
      <w:pPr>
        <w:pStyle w:val="FirstParagraph"/>
      </w:pPr>
      <w:r>
        <w:t xml:space="preserve">The Company’s contingent liability register includes the following unreserved matters: (a)</w:t>
      </w:r>
      <w:r>
        <w:t xml:space="preserve"> </w:t>
      </w:r>
      <w:r>
        <w:rPr>
          <w:i/>
          <w:iCs/>
        </w:rPr>
        <w:t xml:space="preserve">Ramirez v. RES</w:t>
      </w:r>
      <w:r>
        <w:t xml:space="preserve"> </w:t>
      </w:r>
      <w:r>
        <w:t xml:space="preserve">(personal injury, D. Wyo.) — $500K–$1.5M exposure, insurance coverage uncertain (reservation of rights issued); (b) CDPHE enforcement action — $200K–$1.16M penalty, no accrual recorded; (c) former employee wage claim (FLSA) — $100K–$200K, no accrual; and (d) Harper Environmental counterclaim — $340K maximum, assessed as Remote. Total unreserved contingent exposure ranges from approximately</w:t>
      </w:r>
      <w:r>
        <w:t xml:space="preserve"> </w:t>
      </w:r>
      <w:r>
        <w:rPr>
          <w:b/>
          <w:bCs/>
        </w:rPr>
        <w:t xml:space="preserve">$800K to $2.49M</w:t>
      </w:r>
      <w:r>
        <w:t xml:space="preserve"> </w:t>
      </w:r>
      <w:r>
        <w:t xml:space="preserve">(using management’s 12-day CDPHE position). Additionally, RES operated an asbestos abatement service line from 2012–2023, generating approximately $31.2M in cumulative revenue across approximately 145 sites. The current Pollution Legal Liability policy has a retroactive date of January 1, 2015, leaving work performed from</w:t>
      </w:r>
      <w:r>
        <w:t xml:space="preserve"> </w:t>
      </w:r>
      <w:r>
        <w:rPr>
          <w:b/>
          <w:bCs/>
        </w:rPr>
        <w:t xml:space="preserve">2012–2014 uninsured</w:t>
      </w:r>
      <w:r>
        <w:t xml:space="preserve"> </w:t>
      </w:r>
      <w:r>
        <w:t xml:space="preserve">for future claims. No asbestos tail coverage has been procured. The CGL policy contains a blanket asbestos exclusion. Two workers’ compensation claims from former asbestos employees remain open.</w:t>
      </w:r>
    </w:p>
    <w:p>
      <w:pPr>
        <w:pStyle w:val="BodyText"/>
      </w:pPr>
      <w:r>
        <w:rPr>
          <w:b/>
          <w:bCs/>
        </w:rPr>
        <w:t xml:space="preserve">Buyer Action:</w:t>
      </w:r>
      <w:r>
        <w:t xml:space="preserve"> </w:t>
      </w:r>
      <w:r>
        <w:t xml:space="preserve">Require seller to procure asbestos tail coverage or establish a specific indemnity reserve. Extend environmental and asbestos representations survival to six years. Consider a separate escrow for asbestos tail exposure. Require tail policy as a closing condition.</w:t>
      </w:r>
    </w:p>
    <w:p>
      <w:r>
        <w:pict>
          <v:rect style="width:0;height:1.5pt" o:hralign="center" o:hrstd="t" o:hr="t"/>
        </w:pict>
      </w:r>
    </w:p>
    <w:bookmarkEnd w:id="42"/>
    <w:bookmarkEnd w:id="43"/>
    <w:bookmarkStart w:id="44" w:name="ix.-insurance-gaps"/>
    <w:p>
      <w:pPr>
        <w:pStyle w:val="Heading2"/>
      </w:pPr>
      <w:r>
        <w:t xml:space="preserve">IX. INSURANCE GAPS</w:t>
      </w:r>
    </w:p>
    <w:p>
      <w:pPr>
        <w:pStyle w:val="FirstParagraph"/>
      </w:pPr>
      <w:r>
        <w:t xml:space="preserve">The Pollution Legal Liability policy contains a</w:t>
      </w:r>
      <w:r>
        <w:t xml:space="preserve"> </w:t>
      </w:r>
      <w:r>
        <w:rPr>
          <w:b/>
          <w:bCs/>
        </w:rPr>
        <w:t xml:space="preserve">gradual-release exclusion</w:t>
      </w:r>
      <w:r>
        <w:t xml:space="preserve"> </w:t>
      </w:r>
      <w:r>
        <w:t xml:space="preserve">that applies to any pollution condition at an owned or operated facility that constitutes a gradual release, migration, or discharge of contaminants developing over more than 72 hours. The Phase II ESA explicitly characterizes the Grand Junction contamination as resulting from</w:t>
      </w:r>
      <w:r>
        <w:t xml:space="preserve"> </w:t>
      </w:r>
      <w:r>
        <w:t xml:space="preserve">“</w:t>
      </w:r>
      <w:r>
        <w:t xml:space="preserve">gradual, long-term releases</w:t>
      </w:r>
      <w:r>
        <w:t xml:space="preserve">”</w:t>
      </w:r>
      <w:r>
        <w:t xml:space="preserve"> </w:t>
      </w:r>
      <w:r>
        <w:t xml:space="preserve">spanning multiple decades. Accordingly, the PLL policy provides</w:t>
      </w:r>
      <w:r>
        <w:t xml:space="preserve"> </w:t>
      </w:r>
      <w:r>
        <w:rPr>
          <w:b/>
          <w:bCs/>
        </w:rPr>
        <w:t xml:space="preserve">no coverage</w:t>
      </w:r>
      <w:r>
        <w:t xml:space="preserve"> </w:t>
      </w:r>
      <w:r>
        <w:t xml:space="preserve">for the most probable and material environmental liability at the Company’s owned headquarters. The umbrella policy does not provide excess coverage over the PLL policy. The CGL policy excludes pollution and asbestos. The buyer will acquire the Grand Junction contamination liability with no insurance backstop.</w:t>
      </w:r>
    </w:p>
    <w:p>
      <w:r>
        <w:pict>
          <v:rect style="width:0;height:1.5pt" o:hralign="center" o:hrstd="t" o:hr="t"/>
        </w:pict>
      </w:r>
    </w:p>
    <w:bookmarkEnd w:id="44"/>
    <w:bookmarkStart w:id="45" w:name="Xa3cdd4898542f886a9a6101ee394657064c3a2d"/>
    <w:p>
      <w:pPr>
        <w:pStyle w:val="Heading2"/>
      </w:pPr>
      <w:r>
        <w:t xml:space="preserve">X. RECOMMENDED BUYER ACTIONS — 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r>
      <w:tr>
        <w:tc>
          <w:tcPr/>
          <w:p>
            <w:pPr>
              <w:pStyle w:val="Compact"/>
              <w:jc w:val="left"/>
            </w:pPr>
            <w:r>
              <w:rPr>
                <w:b/>
                <w:bCs/>
              </w:rPr>
              <w:t xml:space="preserve">Immediate</w:t>
            </w:r>
          </w:p>
        </w:tc>
        <w:tc>
          <w:tcPr/>
          <w:p>
            <w:pPr>
              <w:pStyle w:val="Compact"/>
              <w:jc w:val="left"/>
            </w:pPr>
            <w:r>
              <w:t xml:space="preserve">Commission updated Phase II ESA and vapor intrusion assessment at Grand Junction</w:t>
            </w:r>
          </w:p>
        </w:tc>
        <w:tc>
          <w:tcPr/>
          <w:p>
            <w:pPr>
              <w:pStyle w:val="Compact"/>
              <w:jc w:val="left"/>
            </w:pPr>
            <w:r>
              <w:t xml:space="preserve">Before signing</w:t>
            </w:r>
          </w:p>
        </w:tc>
      </w:tr>
      <w:tr>
        <w:tc>
          <w:tcPr/>
          <w:p>
            <w:pPr>
              <w:pStyle w:val="Compact"/>
              <w:jc w:val="left"/>
            </w:pPr>
            <w:r>
              <w:rPr>
                <w:b/>
                <w:bCs/>
              </w:rPr>
              <w:t xml:space="preserve">Immediate</w:t>
            </w:r>
          </w:p>
        </w:tc>
        <w:tc>
          <w:tcPr/>
          <w:p>
            <w:pPr>
              <w:pStyle w:val="Compact"/>
              <w:jc w:val="left"/>
            </w:pPr>
            <w:r>
              <w:t xml:space="preserve">Obtain DOE contracting officer confirmation of ceiling modification status</w:t>
            </w:r>
          </w:p>
        </w:tc>
        <w:tc>
          <w:tcPr/>
          <w:p>
            <w:pPr>
              <w:pStyle w:val="Compact"/>
              <w:jc w:val="left"/>
            </w:pPr>
            <w:r>
              <w:t xml:space="preserve">Before signing</w:t>
            </w:r>
          </w:p>
        </w:tc>
      </w:tr>
      <w:tr>
        <w:tc>
          <w:tcPr/>
          <w:p>
            <w:pPr>
              <w:pStyle w:val="Compact"/>
              <w:jc w:val="left"/>
            </w:pPr>
            <w:r>
              <w:rPr>
                <w:b/>
                <w:bCs/>
              </w:rPr>
              <w:t xml:space="preserve">Immediate</w:t>
            </w:r>
          </w:p>
        </w:tc>
        <w:tc>
          <w:tcPr/>
          <w:p>
            <w:pPr>
              <w:pStyle w:val="Compact"/>
              <w:jc w:val="left"/>
            </w:pPr>
            <w:r>
              <w:t xml:space="preserve">Engage SLC landlord to obtain written lease consent</w:t>
            </w:r>
          </w:p>
        </w:tc>
        <w:tc>
          <w:tcPr/>
          <w:p>
            <w:pPr>
              <w:pStyle w:val="Compact"/>
              <w:jc w:val="left"/>
            </w:pPr>
            <w:r>
              <w:t xml:space="preserve">Before signing</w:t>
            </w:r>
          </w:p>
        </w:tc>
      </w:tr>
      <w:tr>
        <w:tc>
          <w:tcPr/>
          <w:p>
            <w:pPr>
              <w:pStyle w:val="Compact"/>
              <w:jc w:val="left"/>
            </w:pPr>
            <w:r>
              <w:rPr>
                <w:b/>
                <w:bCs/>
              </w:rPr>
              <w:t xml:space="preserve">Immediate</w:t>
            </w:r>
          </w:p>
        </w:tc>
        <w:tc>
          <w:tcPr/>
          <w:p>
            <w:pPr>
              <w:pStyle w:val="Compact"/>
              <w:jc w:val="left"/>
            </w:pPr>
            <w:r>
              <w:t xml:space="preserve">Require Utah DEQ permit transfer to be completed</w:t>
            </w:r>
          </w:p>
        </w:tc>
        <w:tc>
          <w:tcPr/>
          <w:p>
            <w:pPr>
              <w:pStyle w:val="Compact"/>
              <w:jc w:val="left"/>
            </w:pPr>
            <w:r>
              <w:t xml:space="preserve">Closing condition</w:t>
            </w:r>
          </w:p>
        </w:tc>
      </w:tr>
      <w:tr>
        <w:tc>
          <w:tcPr/>
          <w:p>
            <w:pPr>
              <w:pStyle w:val="Compact"/>
              <w:jc w:val="left"/>
            </w:pPr>
            <w:r>
              <w:rPr>
                <w:b/>
                <w:bCs/>
              </w:rPr>
              <w:t xml:space="preserve">Pre-Signing</w:t>
            </w:r>
          </w:p>
        </w:tc>
        <w:tc>
          <w:tcPr/>
          <w:p>
            <w:pPr>
              <w:pStyle w:val="Compact"/>
              <w:jc w:val="left"/>
            </w:pPr>
            <w:r>
              <w:t xml:space="preserve">Resolve $1.0M EBITDA reconciliation gap with management</w:t>
            </w:r>
          </w:p>
        </w:tc>
        <w:tc>
          <w:tcPr/>
          <w:p>
            <w:pPr>
              <w:pStyle w:val="Compact"/>
              <w:jc w:val="left"/>
            </w:pPr>
            <w:r>
              <w:t xml:space="preserve">Before LOI price lock</w:t>
            </w:r>
          </w:p>
        </w:tc>
      </w:tr>
      <w:tr>
        <w:tc>
          <w:tcPr/>
          <w:p>
            <w:pPr>
              <w:pStyle w:val="Compact"/>
              <w:jc w:val="left"/>
            </w:pPr>
            <w:r>
              <w:rPr>
                <w:b/>
                <w:bCs/>
              </w:rPr>
              <w:t xml:space="preserve">Pre-Signing</w:t>
            </w:r>
          </w:p>
        </w:tc>
        <w:tc>
          <w:tcPr/>
          <w:p>
            <w:pPr>
              <w:pStyle w:val="Compact"/>
              <w:jc w:val="left"/>
            </w:pPr>
            <w:r>
              <w:t xml:space="preserve">Commission independent fleet appraisal; adjust normalized capex</w:t>
            </w:r>
          </w:p>
        </w:tc>
        <w:tc>
          <w:tcPr/>
          <w:p>
            <w:pPr>
              <w:pStyle w:val="Compact"/>
              <w:jc w:val="left"/>
            </w:pPr>
            <w:r>
              <w:t xml:space="preserve">Before signing</w:t>
            </w:r>
          </w:p>
        </w:tc>
      </w:tr>
      <w:tr>
        <w:tc>
          <w:tcPr/>
          <w:p>
            <w:pPr>
              <w:pStyle w:val="Compact"/>
              <w:jc w:val="left"/>
            </w:pPr>
            <w:r>
              <w:rPr>
                <w:b/>
                <w:bCs/>
              </w:rPr>
              <w:t xml:space="preserve">Pre-Signing</w:t>
            </w:r>
          </w:p>
        </w:tc>
        <w:tc>
          <w:tcPr/>
          <w:p>
            <w:pPr>
              <w:pStyle w:val="Compact"/>
              <w:jc w:val="left"/>
            </w:pPr>
            <w:r>
              <w:t xml:space="preserve">Map all customer contract consent requirements; initiate consent process</w:t>
            </w:r>
          </w:p>
        </w:tc>
        <w:tc>
          <w:tcPr/>
          <w:p>
            <w:pPr>
              <w:pStyle w:val="Compact"/>
              <w:jc w:val="left"/>
            </w:pPr>
            <w:r>
              <w:t xml:space="preserve">Before signing</w:t>
            </w:r>
          </w:p>
        </w:tc>
      </w:tr>
      <w:tr>
        <w:tc>
          <w:tcPr/>
          <w:p>
            <w:pPr>
              <w:pStyle w:val="Compact"/>
              <w:jc w:val="left"/>
            </w:pPr>
            <w:r>
              <w:rPr>
                <w:b/>
                <w:bCs/>
              </w:rPr>
              <w:t xml:space="preserve">Pre-Signing</w:t>
            </w:r>
          </w:p>
        </w:tc>
        <w:tc>
          <w:tcPr/>
          <w:p>
            <w:pPr>
              <w:pStyle w:val="Compact"/>
              <w:jc w:val="left"/>
            </w:pPr>
            <w:r>
              <w:t xml:space="preserve">Obtain NLRB case status; assess union certification risk</w:t>
            </w:r>
          </w:p>
        </w:tc>
        <w:tc>
          <w:tcPr/>
          <w:p>
            <w:pPr>
              <w:pStyle w:val="Compact"/>
              <w:jc w:val="left"/>
            </w:pPr>
            <w:r>
              <w:t xml:space="preserve">Before signing</w:t>
            </w:r>
          </w:p>
        </w:tc>
      </w:tr>
      <w:tr>
        <w:tc>
          <w:tcPr/>
          <w:p>
            <w:pPr>
              <w:pStyle w:val="Compact"/>
              <w:jc w:val="left"/>
            </w:pPr>
            <w:r>
              <w:rPr>
                <w:b/>
                <w:bCs/>
              </w:rPr>
              <w:t xml:space="preserve">SPA Negotiation</w:t>
            </w:r>
          </w:p>
        </w:tc>
        <w:tc>
          <w:tcPr/>
          <w:p>
            <w:pPr>
              <w:pStyle w:val="Compact"/>
              <w:jc w:val="left"/>
            </w:pPr>
            <w:r>
              <w:t xml:space="preserve">Negotiate specific environmental indemnity (6-year survival) with separate escrow</w:t>
            </w:r>
          </w:p>
        </w:tc>
        <w:tc>
          <w:tcPr/>
          <w:p>
            <w:pPr>
              <w:pStyle w:val="Compact"/>
              <w:jc w:val="left"/>
            </w:pPr>
            <w:r>
              <w:t xml:space="preserve">SPA</w:t>
            </w:r>
          </w:p>
        </w:tc>
      </w:tr>
      <w:tr>
        <w:tc>
          <w:tcPr/>
          <w:p>
            <w:pPr>
              <w:pStyle w:val="Compact"/>
              <w:jc w:val="left"/>
            </w:pPr>
            <w:r>
              <w:rPr>
                <w:b/>
                <w:bCs/>
              </w:rPr>
              <w:t xml:space="preserve">SPA Negotiation</w:t>
            </w:r>
          </w:p>
        </w:tc>
        <w:tc>
          <w:tcPr/>
          <w:p>
            <w:pPr>
              <w:pStyle w:val="Compact"/>
              <w:jc w:val="left"/>
            </w:pPr>
            <w:r>
              <w:t xml:space="preserve">Confirm CoC severance treatment as Transaction Expense (seller-borne)</w:t>
            </w:r>
          </w:p>
        </w:tc>
        <w:tc>
          <w:tcPr/>
          <w:p>
            <w:pPr>
              <w:pStyle w:val="Compact"/>
              <w:jc w:val="left"/>
            </w:pPr>
            <w:r>
              <w:t xml:space="preserve">SPA</w:t>
            </w:r>
          </w:p>
        </w:tc>
      </w:tr>
      <w:tr>
        <w:tc>
          <w:tcPr/>
          <w:p>
            <w:pPr>
              <w:pStyle w:val="Compact"/>
              <w:jc w:val="left"/>
            </w:pPr>
            <w:r>
              <w:rPr>
                <w:b/>
                <w:bCs/>
              </w:rPr>
              <w:t xml:space="preserve">SPA Negotiation</w:t>
            </w:r>
          </w:p>
        </w:tc>
        <w:tc>
          <w:tcPr/>
          <w:p>
            <w:pPr>
              <w:pStyle w:val="Compact"/>
              <w:jc w:val="left"/>
            </w:pPr>
            <w:r>
              <w:t xml:space="preserve">Require asbestos tail coverage or specific indemnity reserve</w:t>
            </w:r>
          </w:p>
        </w:tc>
        <w:tc>
          <w:tcPr/>
          <w:p>
            <w:pPr>
              <w:pStyle w:val="Compact"/>
              <w:jc w:val="left"/>
            </w:pPr>
            <w:r>
              <w:t xml:space="preserve">SPA / Closing condition</w:t>
            </w:r>
          </w:p>
        </w:tc>
      </w:tr>
      <w:tr>
        <w:tc>
          <w:tcPr/>
          <w:p>
            <w:pPr>
              <w:pStyle w:val="Compact"/>
              <w:jc w:val="left"/>
            </w:pPr>
            <w:r>
              <w:rPr>
                <w:b/>
                <w:bCs/>
              </w:rPr>
              <w:t xml:space="preserve">SPA Negotiation</w:t>
            </w:r>
          </w:p>
        </w:tc>
        <w:tc>
          <w:tcPr/>
          <w:p>
            <w:pPr>
              <w:pStyle w:val="Compact"/>
              <w:jc w:val="left"/>
            </w:pPr>
            <w:r>
              <w:t xml:space="preserve">Escrow CDPHE maximum penalty amount ($1.16M) pending resolution</w:t>
            </w:r>
          </w:p>
        </w:tc>
        <w:tc>
          <w:tcPr/>
          <w:p>
            <w:pPr>
              <w:pStyle w:val="Compact"/>
              <w:jc w:val="left"/>
            </w:pPr>
            <w:r>
              <w:t xml:space="preserve">SPA</w:t>
            </w:r>
          </w:p>
        </w:tc>
      </w:tr>
      <w:tr>
        <w:tc>
          <w:tcPr/>
          <w:p>
            <w:pPr>
              <w:pStyle w:val="Compact"/>
              <w:jc w:val="left"/>
            </w:pPr>
            <w:r>
              <w:rPr>
                <w:b/>
                <w:bCs/>
              </w:rPr>
              <w:t xml:space="preserve">Closing</w:t>
            </w:r>
          </w:p>
        </w:tc>
        <w:tc>
          <w:tcPr/>
          <w:p>
            <w:pPr>
              <w:pStyle w:val="Compact"/>
              <w:jc w:val="left"/>
            </w:pPr>
            <w:r>
              <w:t xml:space="preserve">Arrange debt financing to fund $39.2M mandatory payoff; obtain payoff letter</w:t>
            </w:r>
          </w:p>
        </w:tc>
        <w:tc>
          <w:tcPr/>
          <w:p>
            <w:pPr>
              <w:pStyle w:val="Compact"/>
              <w:jc w:val="left"/>
            </w:pPr>
            <w:r>
              <w:t xml:space="preserve">Closing</w:t>
            </w:r>
          </w:p>
        </w:tc>
      </w:tr>
      <w:tr>
        <w:tc>
          <w:tcPr/>
          <w:p>
            <w:pPr>
              <w:pStyle w:val="Compact"/>
              <w:jc w:val="left"/>
            </w:pPr>
            <w:r>
              <w:rPr>
                <w:b/>
                <w:bCs/>
              </w:rPr>
              <w:t xml:space="preserve">Closing</w:t>
            </w:r>
          </w:p>
        </w:tc>
        <w:tc>
          <w:tcPr/>
          <w:p>
            <w:pPr>
              <w:pStyle w:val="Compact"/>
              <w:jc w:val="left"/>
            </w:pPr>
            <w:r>
              <w:t xml:space="preserve">Confirm all material customer consents obtained</w:t>
            </w:r>
          </w:p>
        </w:tc>
        <w:tc>
          <w:tcPr/>
          <w:p>
            <w:pPr>
              <w:pStyle w:val="Compact"/>
              <w:jc w:val="left"/>
            </w:pPr>
            <w:r>
              <w:t xml:space="preserve">Closing condition</w:t>
            </w:r>
          </w:p>
        </w:tc>
      </w:tr>
      <w:tr>
        <w:tc>
          <w:tcPr/>
          <w:p>
            <w:pPr>
              <w:pStyle w:val="Compact"/>
              <w:jc w:val="left"/>
            </w:pPr>
            <w:r>
              <w:rPr>
                <w:b/>
                <w:bCs/>
              </w:rPr>
              <w:t xml:space="preserve">Post-Closing</w:t>
            </w:r>
          </w:p>
        </w:tc>
        <w:tc>
          <w:tcPr/>
          <w:p>
            <w:pPr>
              <w:pStyle w:val="Compact"/>
              <w:jc w:val="left"/>
            </w:pPr>
            <w:r>
              <w:t xml:space="preserve">Monitor DOE ceiling modification; structure earnout if ceiling not increased</w:t>
            </w:r>
          </w:p>
        </w:tc>
        <w:tc>
          <w:tcPr/>
          <w:p>
            <w:pPr>
              <w:pStyle w:val="Compact"/>
              <w:jc w:val="left"/>
            </w:pPr>
            <w:r>
              <w:t xml:space="preserve">Post-closing</w:t>
            </w:r>
          </w:p>
        </w:tc>
      </w:tr>
    </w:tbl>
    <w:p>
      <w:r>
        <w:pict>
          <v:rect style="width:0;height:1.5pt" o:hralign="center" o:hrstd="t" o:hr="t"/>
        </w:pict>
      </w:r>
    </w:p>
    <w:bookmarkEnd w:id="45"/>
    <w:bookmarkStart w:id="46" w:name="xi.-valuation-impact-summary"/>
    <w:p>
      <w:pPr>
        <w:pStyle w:val="Heading2"/>
      </w:pPr>
      <w:r>
        <w:t xml:space="preserve">XI. VALUATION IMPACT SUMMARY</w:t>
      </w:r>
    </w:p>
    <w:p>
      <w:pPr>
        <w:pStyle w:val="FirstParagraph"/>
      </w:pPr>
      <w:r>
        <w:t xml:space="preserve">Based on our analysis, the following adjustments to the indicative enterprise value of $182–205 million are warranted: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EBITDA haircut — owner comp add-back (if founders retained)</w:t>
            </w:r>
          </w:p>
        </w:tc>
        <w:tc>
          <w:tcPr/>
          <w:p>
            <w:pPr>
              <w:pStyle w:val="Compact"/>
              <w:jc w:val="left"/>
            </w:pPr>
            <w:r>
              <w:t xml:space="preserve">($7.6M)</w:t>
            </w:r>
          </w:p>
        </w:tc>
        <w:tc>
          <w:tcPr/>
          <w:p>
            <w:pPr>
              <w:pStyle w:val="Compact"/>
              <w:jc w:val="left"/>
            </w:pPr>
            <w:r>
              <w:t xml:space="preserve">($7.6M)</w:t>
            </w:r>
          </w:p>
        </w:tc>
      </w:tr>
      <w:tr>
        <w:tc>
          <w:tcPr/>
          <w:p>
            <w:pPr>
              <w:pStyle w:val="Compact"/>
              <w:jc w:val="left"/>
            </w:pPr>
            <w:r>
              <w:t xml:space="preserve">EBITDA haircut — fleet capex normalization ($1.65M/yr × 8.0x)</w:t>
            </w:r>
          </w:p>
        </w:tc>
        <w:tc>
          <w:tcPr/>
          <w:p>
            <w:pPr>
              <w:pStyle w:val="Compact"/>
              <w:jc w:val="left"/>
            </w:pPr>
            <w:r>
              <w:t xml:space="preserve">($13.2M)</w:t>
            </w:r>
          </w:p>
        </w:tc>
        <w:tc>
          <w:tcPr/>
          <w:p>
            <w:pPr>
              <w:pStyle w:val="Compact"/>
              <w:jc w:val="left"/>
            </w:pPr>
            <w:r>
              <w:t xml:space="preserve">($13.2M)</w:t>
            </w:r>
          </w:p>
        </w:tc>
      </w:tr>
      <w:tr>
        <w:tc>
          <w:tcPr/>
          <w:p>
            <w:pPr>
              <w:pStyle w:val="Compact"/>
              <w:jc w:val="left"/>
            </w:pPr>
            <w:r>
              <w:t xml:space="preserve">DOE revenue risk (ceiling exhaustion, no earnout)</w:t>
            </w:r>
          </w:p>
        </w:tc>
        <w:tc>
          <w:tcPr/>
          <w:p>
            <w:pPr>
              <w:pStyle w:val="Compact"/>
              <w:jc w:val="left"/>
            </w:pPr>
            <w:r>
              <w:t xml:space="preserve">($12.1M)</w:t>
            </w:r>
          </w:p>
        </w:tc>
        <w:tc>
          <w:tcPr/>
          <w:p>
            <w:pPr>
              <w:pStyle w:val="Compact"/>
              <w:jc w:val="left"/>
            </w:pPr>
            <w:r>
              <w:t xml:space="preserve">($12.1M)</w:t>
            </w:r>
          </w:p>
        </w:tc>
      </w:tr>
      <w:tr>
        <w:tc>
          <w:tcPr/>
          <w:p>
            <w:pPr>
              <w:pStyle w:val="Compact"/>
              <w:jc w:val="left"/>
            </w:pPr>
            <w:r>
              <w:t xml:space="preserve">Environmental remediation (updated estimate)</w:t>
            </w:r>
          </w:p>
        </w:tc>
        <w:tc>
          <w:tcPr/>
          <w:p>
            <w:pPr>
              <w:pStyle w:val="Compact"/>
              <w:jc w:val="left"/>
            </w:pPr>
            <w:r>
              <w:t xml:space="preserve">($1.8M)</w:t>
            </w:r>
          </w:p>
        </w:tc>
        <w:tc>
          <w:tcPr/>
          <w:p>
            <w:pPr>
              <w:pStyle w:val="Compact"/>
              <w:jc w:val="left"/>
            </w:pPr>
            <w:r>
              <w:t xml:space="preserve">($5.0M)</w:t>
            </w:r>
          </w:p>
        </w:tc>
      </w:tr>
      <w:tr>
        <w:tc>
          <w:tcPr/>
          <w:p>
            <w:pPr>
              <w:pStyle w:val="Compact"/>
              <w:jc w:val="left"/>
            </w:pPr>
            <w:r>
              <w:t xml:space="preserve">CDPHE penalty</w:t>
            </w:r>
          </w:p>
        </w:tc>
        <w:tc>
          <w:tcPr/>
          <w:p>
            <w:pPr>
              <w:pStyle w:val="Compact"/>
              <w:jc w:val="left"/>
            </w:pPr>
            <w:r>
              <w:t xml:space="preserve">($0.2M)</w:t>
            </w:r>
          </w:p>
        </w:tc>
        <w:tc>
          <w:tcPr/>
          <w:p>
            <w:pPr>
              <w:pStyle w:val="Compact"/>
              <w:jc w:val="left"/>
            </w:pPr>
            <w:r>
              <w:t xml:space="preserve">($1.2M)</w:t>
            </w:r>
          </w:p>
        </w:tc>
      </w:tr>
      <w:tr>
        <w:tc>
          <w:tcPr/>
          <w:p>
            <w:pPr>
              <w:pStyle w:val="Compact"/>
              <w:jc w:val="left"/>
            </w:pPr>
            <w:r>
              <w:t xml:space="preserve">CoC severance (seller-borne Transaction Expense)</w:t>
            </w:r>
          </w:p>
        </w:tc>
        <w:tc>
          <w:tcPr/>
          <w:p>
            <w:pPr>
              <w:pStyle w:val="Compact"/>
              <w:jc w:val="left"/>
            </w:pPr>
            <w:r>
              <w:t xml:space="preserve">($2.6M)</w:t>
            </w:r>
          </w:p>
        </w:tc>
        <w:tc>
          <w:tcPr/>
          <w:p>
            <w:pPr>
              <w:pStyle w:val="Compact"/>
              <w:jc w:val="left"/>
            </w:pPr>
            <w:r>
              <w:t xml:space="preserve">($3.8M)</w:t>
            </w:r>
          </w:p>
        </w:tc>
      </w:tr>
      <w:tr>
        <w:tc>
          <w:tcPr/>
          <w:p>
            <w:pPr>
              <w:pStyle w:val="Compact"/>
              <w:jc w:val="left"/>
            </w:pPr>
            <w:r>
              <w:t xml:space="preserve">Asbestos tail / contingent litigation reserve</w:t>
            </w:r>
          </w:p>
        </w:tc>
        <w:tc>
          <w:tcPr/>
          <w:p>
            <w:pPr>
              <w:pStyle w:val="Compact"/>
              <w:jc w:val="left"/>
            </w:pPr>
            <w:r>
              <w:t xml:space="preserve">($1.0M)</w:t>
            </w:r>
          </w:p>
        </w:tc>
        <w:tc>
          <w:tcPr/>
          <w:p>
            <w:pPr>
              <w:pStyle w:val="Compact"/>
              <w:jc w:val="left"/>
            </w:pPr>
            <w:r>
              <w:t xml:space="preserve">($3.0M)</w:t>
            </w:r>
          </w:p>
        </w:tc>
      </w:tr>
      <w:tr>
        <w:tc>
          <w:tcPr/>
          <w:p>
            <w:pPr>
              <w:pStyle w:val="Compact"/>
              <w:jc w:val="left"/>
            </w:pPr>
            <w:r>
              <w:rPr>
                <w:b/>
                <w:bCs/>
              </w:rPr>
              <w:t xml:space="preserve">Total Indicated Adjustments</w:t>
            </w:r>
          </w:p>
        </w:tc>
        <w:tc>
          <w:tcPr/>
          <w:p>
            <w:pPr>
              <w:pStyle w:val="Compact"/>
              <w:jc w:val="left"/>
            </w:pPr>
            <w:r>
              <w:rPr>
                <w:b/>
                <w:bCs/>
              </w:rPr>
              <w:t xml:space="preserve">($38.5M)</w:t>
            </w:r>
          </w:p>
        </w:tc>
        <w:tc>
          <w:tcPr/>
          <w:p>
            <w:pPr>
              <w:pStyle w:val="Compact"/>
              <w:jc w:val="left"/>
            </w:pPr>
            <w:r>
              <w:rPr>
                <w:b/>
                <w:bCs/>
              </w:rPr>
              <w:t xml:space="preserve">($45.9M)</w:t>
            </w:r>
          </w:p>
        </w:tc>
      </w:tr>
    </w:tbl>
    <w:p>
      <w:pPr>
        <w:pStyle w:val="BodyText"/>
      </w:pPr>
      <w:r>
        <w:t xml:space="preserve">These adjustments suggest an adjusted enterprise value range of approximately</w:t>
      </w:r>
      <w:r>
        <w:t xml:space="preserve"> </w:t>
      </w:r>
      <w:r>
        <w:rPr>
          <w:b/>
          <w:bCs/>
        </w:rPr>
        <w:t xml:space="preserve">$136–167 million</w:t>
      </w:r>
      <w:r>
        <w:t xml:space="preserve"> </w:t>
      </w:r>
      <w:r>
        <w:t xml:space="preserve">(6.6–8.1x conservative EBITDA of $20.5M), compared to the seller’s indicative range of $182–205 million. We recommend the Buyer use these findings to negotiate a materially lower purchase price, a larger escrow holdback, and robust indemnification protections before proceeding to a definitive agreement.</w:t>
      </w:r>
    </w:p>
    <w:p>
      <w:r>
        <w:pict>
          <v:rect style="width:0;height:1.5pt" o:hralign="center" o:hrstd="t" o:hr="t"/>
        </w:pict>
      </w:r>
    </w:p>
    <w:p>
      <w:pPr>
        <w:pStyle w:val="FirstParagraph"/>
      </w:pPr>
      <w:r>
        <w:rPr>
          <w:i/>
          <w:iCs/>
        </w:rPr>
        <w:t xml:space="preserve">This memorandum is prepared solely for the internal use of Sycamore Capital Partners, LP and its advisors in connection with the evaluation of Project Ridgeline. It is based on information available in the data room as of December 2024 and does not constitute legal, tax, or financial advice. Recipients should conduct independent verification of all matters described herein.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2026-08-25T11:38:33Z</dcterms:created>
  <dcterms:modified xsi:type="dcterms:W3CDTF">2026-08-25T11:38:33Z</dcterms:modified>
</cp:coreProperties>
</file>

<file path=docProps/custom.xml><?xml version="1.0" encoding="utf-8"?>
<Properties xmlns="http://schemas.openxmlformats.org/officeDocument/2006/custom-properties" xmlns:vt="http://schemas.openxmlformats.org/officeDocument/2006/docPropsVTypes"/>
</file>