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CONFIDENTIAL DILIGENCE RED FLAG ANALYSIS</w:t>
      </w:r>
    </w:p>
    <w:p>
      <w:pPr>
        <w:jc w:val="center"/>
      </w:pPr>
      <w:r>
        <w:rPr>
          <w:i/>
          <w:sz w:val="24"/>
        </w:rPr>
        <w:t>Project Ridgeline: Proposed Acquisition of Ridgeline Environmental Services, Inc.</w:t>
      </w:r>
    </w:p>
    <w:p>
      <w:pPr>
        <w:jc w:val="center"/>
      </w:pPr>
      <w:r>
        <w:t>December 2024</w:t>
      </w:r>
    </w:p>
    <w:p/>
    <w:p>
      <w:pPr>
        <w:pStyle w:val="Heading1"/>
      </w:pPr>
      <w:r>
        <w:t>EXECUTIVE SUMMARY</w:t>
      </w:r>
    </w:p>
    <w:p>
      <w:r>
        <w:t>This memorandum presents a comprehensive analysis of material risks and red flags identified during the review of data room documents for the proposed acquisition of Ridgeline Environmental Services, Inc. ("RES" or the "Company") by Sycamore Capital Partners, LP.</w:t>
        <w:br/>
        <w:br/>
        <w:t>Twenty (20) material red flags have been identified across the following risk categories:</w:t>
        <w:br/>
        <w:br/>
        <w:t>• Revenue &amp; Customer Concentration (3 flags)</w:t>
        <w:br/>
        <w:t>• Debt &amp; Financing (1 flag)</w:t>
        <w:br/>
        <w:t>• Environmental &amp; Regulatory (5 flags)</w:t>
        <w:br/>
        <w:t>• Litigation &amp; Claims (3 flags)</w:t>
        <w:br/>
        <w:t>• Lease &amp; Permit Issues (3 flags)</w:t>
        <w:br/>
        <w:t>• Compensation &amp; Labor (2 flags)</w:t>
        <w:br/>
        <w:t>• Financial &amp; Valuation (3 flags)</w:t>
        <w:br/>
        <w:br/>
        <w:t>CRITICAL SEVERITY FLAGS (3):</w:t>
        <w:br/>
        <w:t>1. DOE Contract Ceiling Exhaustion – Potential $12.1M revenue decline in FY2025</w:t>
        <w:br/>
        <w:t>2. Debt Change-of-Control Prepayment – $39.2M+ cash requirement at closing</w:t>
        <w:br/>
        <w:t>3. Salt Lake City Lease Assignment – Risk of $16.2M revenue stream loss</w:t>
        <w:br/>
        <w:br/>
        <w:t>These critical issues require immediate attention and resolution prior to closing. The analysis below provides detailed assessment of each flag, financial impact quantification, and recommended mitigation actions.</w:t>
      </w:r>
    </w:p>
    <w:p>
      <w:pPr>
        <w:pStyle w:val="Heading1"/>
      </w:pPr>
      <w:r>
        <w:t>CRITICAL ISSUES REQUIRING IMMEDIATE ATTENTION</w:t>
      </w:r>
    </w:p>
    <w:p>
      <w:pPr>
        <w:pStyle w:val="Heading2"/>
      </w:pPr>
      <w:r>
        <w:t>1. DOE Contract Ceiling Exhaustion Risk (RF-001)</w:t>
      </w:r>
    </w:p>
    <w:p>
      <w:r>
        <w:t>SEVERITY: CRITICAL | STATUS: Active Risk | FINANCIAL IMPACT: $12.1M+ potential revenue decline</w:t>
      </w:r>
    </w:p>
    <w:p>
      <w:r>
        <w:t>Issue Summary:</w:t>
      </w:r>
    </w:p>
    <w:p>
      <w:r>
        <w:t>The U.S. Department of Energy IDIQ contract (DE-EM-0005523) represents the Company's largest customer relationship at $24.4M or 19.2% of trailing twelve-month revenue. The contract has a $45M ceiling value, of which $32.7M has been utilized (72.7%), leaving only $12.3M in remaining ceiling value.</w:t>
        <w:br/>
        <w:br/>
        <w:t>At the Company's current run rate of approximately $24.4M annually ($2.03M monthly), the remaining $12.3M ceiling will be exhausted by approximately April-May 2025 – only 6 months from the target closing date of April 30, 2025. This leaves approximately 16 months of unfunded contract period through the contract expiration date of August 31, 2026.</w:t>
        <w:br/>
        <w:br/>
        <w:t>If the ceiling is not increased or a new contract is not awarded, DOE revenue could decline from $24.4M in FY2024 to approximately $12.3M or less in FY2025, representing a potential revenue headwind of $12.1M (9.5% of current total revenue).</w:t>
      </w:r>
    </w:p>
    <w:p>
      <w:r>
        <w:t>Financial Impact:</w:t>
      </w:r>
    </w:p>
    <w:p>
      <w:r>
        <w:t>• FY2025 revenue decline: $12.1M+ (9.5% of total revenue)</w:t>
        <w:br/>
        <w:t>• EBITDA impact: Approximately $2.1M-$2.7M (assuming 18-22% EBITDA margin)</w:t>
        <w:br/>
        <w:t>• Valuation impact: At 8.0x-9.0x EBITDA multiple, potential enterprise value reduction of $16.8M-$24.3M</w:t>
        <w:br/>
        <w:t>• Refinancing risk: Lenders may reduce leverage capacity if revenue trajectory declines</w:t>
      </w:r>
    </w:p>
    <w:p>
      <w:r>
        <w:t>Recommended Actions:</w:t>
      </w:r>
    </w:p>
    <w:p>
      <w:r>
        <w:t>1. Immediate engagement with DOE Contracting Officer to discuss ceiling modification or new contract opportunities</w:t>
        <w:br/>
        <w:t>2. Develop contingency revenue plan to offset potential DOE revenue decline</w:t>
        <w:br/>
        <w:t>3. Accelerate new customer acquisition in commercial segment</w:t>
        <w:br/>
        <w:t>4. Evaluate long-term contract opportunities with existing customers</w:t>
        <w:br/>
        <w:t>5. Obtain written confirmation from DOE regarding ceiling status and future contract opportunities</w:t>
      </w:r>
    </w:p>
    <w:p>
      <w:pPr>
        <w:pStyle w:val="Heading2"/>
      </w:pPr>
      <w:r>
        <w:t>2. Debt Change-of-Control Prepayment Obligation (RF-003)</w:t>
      </w:r>
    </w:p>
    <w:p>
      <w:r>
        <w:t>SEVERITY: CRITICAL | STATUS: Contractual Obligation | FINANCIAL IMPACT: $39.2M+ cash requirement</w:t>
      </w:r>
    </w:p>
    <w:p>
      <w:r>
        <w:t>Issue Summary:</w:t>
      </w:r>
    </w:p>
    <w:p>
      <w:r>
        <w:t>The Company maintains a senior secured credit facility with High Plains National Bank consisting of:</w:t>
        <w:br/>
        <w:t>• Revolving credit facility: $25.0M commitment; $12.4M outstanding</w:t>
        <w:br/>
        <w:t>• Term loan: $26.3M outstanding (originated January 17, 2023)</w:t>
        <w:br/>
        <w:t>• Total debt: $38.7M</w:t>
        <w:br/>
        <w:br/>
        <w:t>The credit agreement contains a mandatory prepayment provision triggered by a "Change of Control," defined to include any transaction resulting in acquisition of 50% or more of the Company's equity interests. The proposed 100% stock acquisition by Sycamore Capital Partners would clearly trigger this provision.</w:t>
        <w:br/>
        <w:br/>
        <w:t>Upon a Change of Control, the Company must prepay all outstanding obligations within five (5) business days. Additionally, the term loan is subject to a prepayment premium schedule:</w:t>
        <w:br/>
        <w:t>• Year 1 (Jan 17, 2023 – Jan 16, 2024): 2.00% premium</w:t>
        <w:br/>
        <w:t>• Year 2 (Jan 17, 2024 – Jan 16, 2025): 1.50% premium</w:t>
        <w:br/>
        <w:t>• Year 3 (Jan 17, 2025 – Jan 16, 2026): 1.00% premium</w:t>
        <w:br/>
        <w:t>• After Jan 16, 2026: No premium</w:t>
        <w:br/>
        <w:br/>
        <w:t>If the transaction closes on the target date of April 30, 2025, the applicable prepayment premium would be 1.00% × $26.3M = $263,000.</w:t>
      </w:r>
    </w:p>
    <w:p>
      <w:r>
        <w:t>Financial Impact:</w:t>
      </w:r>
    </w:p>
    <w:p>
      <w:r>
        <w:t>• Revolving facility principal: $12.4M (no premium)</w:t>
        <w:br/>
        <w:t>• Term loan principal: $26.3M</w:t>
        <w:br/>
        <w:t>• Prepayment premium (1.00%): $263,000</w:t>
        <w:br/>
        <w:t>• Estimated accrued interest: $200,000-$300,000</w:t>
        <w:br/>
        <w:t>• SOFR breakage costs: TBD (typically modest)</w:t>
        <w:br/>
        <w:t>• TOTAL ESTIMATED PREPAYMENT: $39.2M-$39.3M</w:t>
        <w:br/>
        <w:br/>
        <w:t>This represents a significant cash requirement at closing that must be funded through refinancing or buyer cash.</w:t>
      </w:r>
    </w:p>
    <w:p>
      <w:r>
        <w:t>Recommended Actions:</w:t>
      </w:r>
    </w:p>
    <w:p>
      <w:r>
        <w:t>1. Negotiate debt payoff/refinancing with High Plains National Bank prior to closing</w:t>
        <w:br/>
        <w:t>2. Obtain commitment letter from replacement lender for refinancing</w:t>
        <w:br/>
        <w:t>3. Evaluate whether lender will waive change-of-control provision</w:t>
        <w:br/>
        <w:t>4. Budget for prepayment premium in purchase price structure</w:t>
        <w:br/>
        <w:t>5. Confirm no other debt instruments contain similar change-of-control provisions</w:t>
      </w:r>
    </w:p>
    <w:p>
      <w:pPr>
        <w:pStyle w:val="Heading2"/>
      </w:pPr>
      <w:r>
        <w:t>3. Salt Lake City Lease Assignment Risk (RF-007)</w:t>
      </w:r>
    </w:p>
    <w:p>
      <w:r>
        <w:t>SEVERITY: CRITICAL | STATUS: Unresolved | FINANCIAL IMPACT: $16.2M annual revenue at risk</w:t>
      </w:r>
    </w:p>
    <w:p>
      <w:r>
        <w:t>Issue Summary:</w:t>
      </w:r>
    </w:p>
    <w:p>
      <w:r>
        <w:t>The Salt Lake City transfer station facility (2100 West North Temple, Salt Lake City, UT 84116) is leased from Wasatch Industrial Properties, LLC under a commercial lease dated April 1, 2019. The lease contains an explicit change-of-control provision requiring landlord consent for any assignment or change of control of the tenant.</w:t>
        <w:br/>
        <w:br/>
        <w:t>Following the Company's acquisition of Pinnacle Waste Solutions, LLC on March 15, 2022, RES submitted a written request for consent to assignment to Wasatch Industrial Properties, LLC on April 12, 2022. As of December 2024 – more than 2.5 years later – the landlord has not provided written consent or acknowledgment of the assignment.</w:t>
        <w:br/>
        <w:br/>
        <w:t>RES has been in continuous occupancy and paying rent since March 15, 2022, and all rent payments have been accepted by the landlord without objection. However, the absence of formal consent creates a legal vulnerability.</w:t>
        <w:br/>
        <w:br/>
        <w:t>The proposed Sycamore acquisition would constitute an additional change-of-control event, potentially requiring a separate consent from the landlord independent of the unresolved Pinnacle-to-RES assignment.</w:t>
      </w:r>
    </w:p>
    <w:p>
      <w:r>
        <w:t>Financial Impact:</w:t>
      </w:r>
    </w:p>
    <w:p>
      <w:r>
        <w:t>• Salt Lake City facility revenue: ~$16.2M annually (12.7% of total revenue)</w:t>
        <w:br/>
        <w:t>• Customers served from this facility: Wasatch Front Petroleum ($6.4M), Silver Creek Mining ($5.8M), Utah DEQ ($4.6M partial), Summit County ($2.9M partial), Uinta Basin Oil &amp; Gas ($0.2M), Bear River Chemical ($1.7M)</w:t>
        <w:br/>
        <w:t>• Potential revenue loss if lease terminated: $16.2M annually</w:t>
        <w:br/>
        <w:t>• Operational disruption: Significant, as facility is primary hub for Utah operations</w:t>
        <w:br/>
        <w:t>• Valuation impact: At 8.0x-9.0x EBITDA multiple, potential enterprise value reduction of $23.4M-$32.4M</w:t>
      </w:r>
    </w:p>
    <w:p>
      <w:r>
        <w:t>Recommended Actions:</w:t>
      </w:r>
    </w:p>
    <w:p>
      <w:r>
        <w:t>1. Obtain landlord consent to Pinnacle-to-RES assignment immediately (prior to closing)</w:t>
        <w:br/>
        <w:t>2. Obtain landlord consent to Sycamore acquisition prior to closing</w:t>
        <w:br/>
        <w:t>3. Evaluate lease renewal/renegotiation strategy to secure long-term occupancy</w:t>
        <w:br/>
        <w:t>4. Develop contingency plan for alternative facility if lease cannot be retained</w:t>
        <w:br/>
        <w:t>5. Confirm no other material leases contain similar unresolved assignment issues</w:t>
      </w:r>
    </w:p>
    <w:p>
      <w:pPr>
        <w:pStyle w:val="Heading1"/>
      </w:pPr>
      <w:r>
        <w:t>HIGH PRIORITY ISSUES</w:t>
      </w:r>
    </w:p>
    <w:p>
      <w:pPr>
        <w:pStyle w:val="Heading2"/>
      </w:pPr>
      <w:r>
        <w:t>Customer Concentration Risk (RF-002)</w:t>
      </w:r>
    </w:p>
    <w:p>
      <w:r>
        <w:t>Impact: Top 10 customers = 67% of revenue; Top 5 = 50.4%; Top 2 = 30.6%</w:t>
      </w:r>
    </w:p>
    <w:p>
      <w:r>
        <w:t>Consolidated Mining &amp; Minerals Corp. (11.4% of revenue) has 60-day termination for convenience clause. Loss of DOE or Consolidated Mining would materially impact revenue and profitability.</w:t>
      </w:r>
    </w:p>
    <w:p/>
    <w:p>
      <w:pPr>
        <w:pStyle w:val="Heading2"/>
      </w:pPr>
      <w:r>
        <w:t>Environmental Contamination at Grand Junction Facility (RF-004)</w:t>
      </w:r>
    </w:p>
    <w:p>
      <w:r>
        <w:t>Impact: $1.8M-$2.6M estimated remediation cost; $3.2M accrual on balance sheet</w:t>
      </w:r>
    </w:p>
    <w:p>
      <w:r>
        <w:t>Phase II ESA (June 2019) identified petroleum hydrocarbons and chlorinated solvents (TCE, PCE) in soil and groundwater. No updated ESA since 2019. Vapor intrusion risk in occupied building. Potential off-site migration liability.</w:t>
      </w:r>
    </w:p>
    <w:p/>
    <w:p>
      <w:pPr>
        <w:pStyle w:val="Heading2"/>
      </w:pPr>
      <w:r>
        <w:t>CDPHE Regulatory Enforcement Action (RF-005)</w:t>
      </w:r>
    </w:p>
    <w:p>
      <w:r>
        <w:t>Impact: $200K-$1.16M potential penalty depending on violation period determination</w:t>
      </w:r>
    </w:p>
    <w:p>
      <w:r>
        <w:t>Notice of Violation (Docket CDPHE-HW-2024-0093) issued July 18, 2024 for improper hazardous waste storage. Company asserts 12-day violation; CDPHE asserts 31-day violation. Settlement negotiations ongoing.</w:t>
      </w:r>
    </w:p>
    <w:p/>
    <w:p>
      <w:pPr>
        <w:pStyle w:val="Heading2"/>
      </w:pPr>
      <w:r>
        <w:t>Ramirez Personal Injury Litigation (RF-006)</w:t>
      </w:r>
    </w:p>
    <w:p>
      <w:r>
        <w:t>Impact: $500K-$1.5M potential uninsured liability if coverage denied</w:t>
      </w:r>
    </w:p>
    <w:p>
      <w:r>
        <w:t>Former field technician alleges occupational exposure to VOCs/heavy metals without adequate PPE. Damages sought: $4.8M. Coverage determination pending with Frontier Specialty Insurance Group.</w:t>
      </w:r>
    </w:p>
    <w:p/>
    <w:p>
      <w:pPr>
        <w:pStyle w:val="Heading2"/>
      </w:pPr>
      <w:r>
        <w:t>Executive Change-of-Control Severance (RF-009)</w:t>
      </w:r>
    </w:p>
    <w:p>
      <w:r>
        <w:t>Impact: $2.625M single-trigger severance payable at closing; $1.15M additional double-trigger exposure</w:t>
      </w:r>
    </w:p>
    <w:p>
      <w:r>
        <w:t>Derek Calloway and Jason Calloway each entitled to $1.3125M severance upon change of control (single-trigger). Three other executives entitled to $1.15M combined (double-trigger).</w:t>
      </w:r>
    </w:p>
    <w:p/>
    <w:p>
      <w:pPr>
        <w:pStyle w:val="Heading1"/>
      </w:pPr>
      <w:r>
        <w:t>MEDIUM PRIORITY ISSUES</w:t>
      </w:r>
    </w:p>
    <w:p>
      <w:r>
        <w:t>The following medium-priority issues require attention but are generally manageable through standard due diligence procedures and contractual protections:</w:t>
        <w:br/>
        <w:br/>
        <w:t>• Permit Transfer Status (RF-008): Salt Lake City transfer station permit (UTH-0441) transfer application pending with Utah Division of Waste Management</w:t>
        <w:br/>
        <w:t>• Wage &amp; Hour Claim (RF-013): Threatened claim from ~8 former employees alleging improper overtime classification; potential exposure $100K-$200K</w:t>
        <w:br/>
        <w:t>• Union Organizing Activity (RF-014): NLRB election petition filed November 4, 2024 covering 62 field technicians at Grand Junction and Casper facilities</w:t>
        <w:br/>
        <w:t>• Fleet Age &amp; Capex Requirements (RF-011): 44.7% of fleet at or past useful life; estimated $9.8M replacement cost for past-life units</w:t>
        <w:br/>
        <w:t>• Asbestos Tail Liability (RF-012): Two open workers' compensation claims from former asbestos abatement employees; pre-2015 work not covered by current insurance</w:t>
        <w:br/>
        <w:t>• Asbestos Abatement Wind-Down (RF-018): $1.8M wind-down costs in FY2024; potential for additional claims from other former employees</w:t>
        <w:br/>
        <w:t>• EBITDA Reconciliation Discrepancy (RF-010): $1.0M unexplained difference between management-presented Adjusted EBITDA ($22.8M) and detailed QofE schedule ($23.8M)</w:t>
        <w:br/>
        <w:t>• Organic Revenue Growth Deceleration (RF-019): Growth rate declining from 20.1% (FY2020-FY2021) to 11.1% (FY2023-FY2024)</w:t>
        <w:br/>
        <w:t>• Margin Compression (RF-020): Adjusted EBITDA margin declined from 24.5% (FY2023) to 18.7% (FY2024)</w:t>
        <w:br/>
        <w:t>• Valuation Multiple (RF-017): Proposed 8.0x-9.0x EBITDA multiple may be at high end of market; comparable transactions typically 6.0x-8.0x</w:t>
      </w:r>
    </w:p>
    <w:p>
      <w:pPr>
        <w:pStyle w:val="Heading1"/>
      </w:pPr>
      <w:r>
        <w:t>CONCLUSION &amp; RECOMMENDATIONS</w:t>
      </w:r>
    </w:p>
    <w:p>
      <w:r>
        <w:t>The proposed acquisition of Ridgeline Environmental Services, Inc. presents a compelling platform opportunity with strong market positioning, diversified service offerings, and experienced management. However, the transaction is subject to three critical risks that must be resolved prior to closing:</w:t>
        <w:br/>
        <w:br/>
        <w:t>1. DOE Contract Ceiling Exhaustion: Immediate engagement with DOE Contracting Officer is essential to secure ceiling modification or new contract award. Failure to address this issue could result in $12.1M+ revenue decline in FY2025.</w:t>
        <w:br/>
        <w:br/>
        <w:t>2. Debt Prepayment Obligation: The mandatory prepayment provision in the credit agreement requires $39.2M+ cash at closing. Refinancing arrangements must be secured prior to closing to ensure adequate liquidity.</w:t>
        <w:br/>
        <w:br/>
        <w:t>3. Salt Lake City Lease Assignment: Landlord consent to both the prior Pinnacle-to-RES assignment and the proposed Sycamore acquisition must be obtained prior to closing. Loss of this facility would eliminate $16.2M in annual revenue.</w:t>
        <w:br/>
        <w:br/>
        <w:t>Additionally, the following high-priority issues should be addressed through standard due diligence procedures:</w:t>
        <w:br/>
        <w:br/>
        <w:t>• Environmental remediation obligations at Grand Junction facility</w:t>
        <w:br/>
        <w:t>• CDPHE regulatory enforcement action</w:t>
        <w:br/>
        <w:t>• Ramirez personal injury litigation and insurance coverage determination</w:t>
        <w:br/>
        <w:t>• Executive severance obligations</w:t>
        <w:br/>
        <w:t>• Customer concentration risk mitigation</w:t>
        <w:br/>
        <w:br/>
        <w:t>Recommended next steps:</w:t>
        <w:br/>
        <w:br/>
        <w:t>1. Prioritize resolution of three critical issues identified above</w:t>
        <w:br/>
        <w:t>2. Conduct independent environmental assessment at Grand Junction facility</w:t>
        <w:br/>
        <w:t>3. Obtain insurance coverage determination for Ramirez litigation</w:t>
        <w:br/>
        <w:t>4. Negotiate severance reduction with Calloway brothers</w:t>
        <w:br/>
        <w:t>5. Develop customer retention and diversification strategy</w:t>
        <w:br/>
        <w:t>6. Conduct independent quality of earnings analysis</w:t>
        <w:br/>
        <w:t>7. Obtain legal opinions on lease assignment and permit transfer issues</w:t>
        <w:br/>
        <w:t>8. Develop post-closing integration plan addressing labor relations and operational risks</w:t>
        <w:br/>
        <w:br/>
        <w:t>The transaction can proceed to definitive agreement stage upon satisfactory resolution of the critical issues and completion of standard due diligence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