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54" w:name="diligence-red-flag-memorandum"/>
    <w:p>
      <w:pPr>
        <w:pStyle w:val="Heading1"/>
      </w:pPr>
      <w:r>
        <w:t xml:space="preserve">Diligence Red Flag Memorandum</w:t>
      </w:r>
    </w:p>
    <w:p>
      <w:pPr>
        <w:pStyle w:val="FirstParagraph"/>
      </w:pPr>
      <w:r>
        <w:rPr>
          <w:b/>
          <w:bCs/>
        </w:rPr>
        <w:t xml:space="preserve">Project Ridgeline — Ridgeline Environmental Services, Inc.</w:t>
      </w:r>
    </w:p>
    <w:p>
      <w:pPr>
        <w:pStyle w:val="BodyText"/>
      </w:pPr>
      <w:r>
        <w:rPr>
          <w:b/>
          <w:bCs/>
        </w:rPr>
        <w:t xml:space="preserve">Prepared for:</w:t>
      </w:r>
      <w:r>
        <w:t xml:space="preserve"> </w:t>
      </w:r>
      <w:r>
        <w:t xml:space="preserve">Sycamore Capital Partners, LP Deal Team &amp; Thornfield &amp; Associates LLP</w:t>
      </w:r>
    </w:p>
    <w:p>
      <w:pPr>
        <w:pStyle w:val="BodyText"/>
      </w:pPr>
      <w:r>
        <w:rPr>
          <w:b/>
          <w:bCs/>
        </w:rPr>
        <w:t xml:space="preserve">Prepared by:</w:t>
      </w:r>
      <w:r>
        <w:t xml:space="preserve"> </w:t>
      </w:r>
      <w:r>
        <w:t xml:space="preserve">Diligence Review Team</w:t>
      </w:r>
    </w:p>
    <w:p>
      <w:pPr>
        <w:pStyle w:val="BodyText"/>
      </w:pPr>
      <w:r>
        <w:rPr>
          <w:b/>
          <w:bCs/>
        </w:rPr>
        <w:t xml:space="preserve">Date:</w:t>
      </w:r>
      <w:r>
        <w:t xml:space="preserve"> </w:t>
      </w:r>
      <w:r>
        <w:t xml:space="preserve">December 2024</w:t>
      </w:r>
    </w:p>
    <w:p>
      <w:pPr>
        <w:pStyle w:val="BodyText"/>
      </w:pPr>
      <w:r>
        <w:rPr>
          <w:b/>
          <w:bCs/>
        </w:rPr>
        <w:t xml:space="preserve">Classification:</w:t>
      </w:r>
      <w:r>
        <w:t xml:space="preserve"> </w:t>
      </w:r>
      <w:r>
        <w:t xml:space="preserve">Highly Confidential — Subject to NDA dated September 12, 2024</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memorandum summarizes material red flags and diligence concerns identified across thirteen data room documents reviewed in connection with the proposed acquisition of Ridgeline Environmental Services, Inc. (</w:t>
      </w:r>
      <w:r>
        <w:t xml:space="preserve">“</w:t>
      </w:r>
      <w:r>
        <w:t xml:space="preserve">RES</w:t>
      </w:r>
      <w:r>
        <w:t xml:space="preserve">”</w:t>
      </w:r>
      <w:r>
        <w:t xml:space="preserve"> </w:t>
      </w:r>
      <w:r>
        <w:t xml:space="preserve">or the</w:t>
      </w:r>
      <w:r>
        <w:t xml:space="preserve"> </w:t>
      </w:r>
      <w:r>
        <w:t xml:space="preserve">“</w:t>
      </w:r>
      <w:r>
        <w:t xml:space="preserve">Company</w:t>
      </w:r>
      <w:r>
        <w:t xml:space="preserve">”</w:t>
      </w:r>
      <w:r>
        <w:t xml:space="preserve">) by Sycamore Capital Partners, LP (</w:t>
      </w:r>
      <w:r>
        <w:t xml:space="preserve">“</w:t>
      </w:r>
      <w:r>
        <w:t xml:space="preserve">Buyer</w:t>
      </w:r>
      <w:r>
        <w:t xml:space="preserve">”</w:t>
      </w:r>
      <w:r>
        <w:t xml:space="preserve">). The proposed transaction is structured as a 100% stock acquisition at an indicative enterprise value of $182–$205 million (8.0x–9.0x management Adjusted EBITDA of $22.8 million).</w:t>
      </w:r>
    </w:p>
    <w:p>
      <w:pPr>
        <w:pStyle w:val="BodyText"/>
      </w:pPr>
      <w:r>
        <w:rPr>
          <w:b/>
          <w:bCs/>
        </w:rPr>
        <w:t xml:space="preserve">Our review has identified twenty-one (21) distinct red flags across eight risk categories.</w:t>
      </w:r>
      <w:r>
        <w:t xml:space="preserve"> </w:t>
      </w:r>
      <w:r>
        <w:t xml:space="preserve">Several findings are individually material and, in combination, raise significant questions about the reliability of the Company’s financial presentation, the sustainability of its largest revenue relationship, the integrity of its key operating assets, and the feasibility of a clean closing on the proposed timeline. We recommend that the Buyer’s deal team and legal counsel prioritize the items flagged as</w:t>
      </w:r>
      <w:r>
        <w:t xml:space="preserve"> </w:t>
      </w:r>
      <w:r>
        <w:rPr>
          <w:b/>
          <w:bCs/>
        </w:rPr>
        <w:t xml:space="preserve">CRITICAL</w:t>
      </w:r>
      <w:r>
        <w:t xml:space="preserve"> </w:t>
      </w:r>
      <w:r>
        <w:t xml:space="preserve">before proceeding to definitive agreement negotiations.</w:t>
      </w:r>
    </w:p>
    <w:p>
      <w:r>
        <w:pict>
          <v:rect style="width:0;height:1.5pt" o:hralign="center" o:hrstd="t" o:hr="t"/>
        </w:pict>
      </w:r>
    </w:p>
    <w:bookmarkEnd w:id="21"/>
    <w:bookmarkStart w:id="22" w:name="risk-category-summary"/>
    <w:p>
      <w:pPr>
        <w:pStyle w:val="Heading2"/>
      </w:pPr>
      <w:r>
        <w:t xml:space="preserve">Risk Category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 of Flags</w:t>
            </w:r>
          </w:p>
        </w:tc>
        <w:tc>
          <w:tcPr/>
          <w:p>
            <w:pPr>
              <w:pStyle w:val="Compact"/>
              <w:jc w:val="left"/>
            </w:pPr>
            <w:r>
              <w:t xml:space="preserve">Highest Severity</w:t>
            </w:r>
          </w:p>
        </w:tc>
      </w:tr>
      <w:tr>
        <w:tc>
          <w:tcPr/>
          <w:p>
            <w:pPr>
              <w:pStyle w:val="Compact"/>
              <w:jc w:val="left"/>
            </w:pPr>
            <w:r>
              <w:t xml:space="preserve">1. Financial Quality &amp; EBITDA Integrity</w:t>
            </w:r>
          </w:p>
        </w:tc>
        <w:tc>
          <w:tcPr/>
          <w:p>
            <w:pPr>
              <w:pStyle w:val="Compact"/>
              <w:jc w:val="left"/>
            </w:pPr>
            <w:r>
              <w:t xml:space="preserve">4</w:t>
            </w:r>
          </w:p>
        </w:tc>
        <w:tc>
          <w:tcPr/>
          <w:p>
            <w:pPr>
              <w:pStyle w:val="Compact"/>
              <w:jc w:val="left"/>
            </w:pPr>
            <w:r>
              <w:t xml:space="preserve">CRITICAL</w:t>
            </w:r>
          </w:p>
        </w:tc>
      </w:tr>
      <w:tr>
        <w:tc>
          <w:tcPr/>
          <w:p>
            <w:pPr>
              <w:pStyle w:val="Compact"/>
              <w:jc w:val="left"/>
            </w:pPr>
            <w:r>
              <w:t xml:space="preserve">2. Revenue Concentration &amp; Contract Risk</w:t>
            </w:r>
          </w:p>
        </w:tc>
        <w:tc>
          <w:tcPr/>
          <w:p>
            <w:pPr>
              <w:pStyle w:val="Compact"/>
              <w:jc w:val="left"/>
            </w:pPr>
            <w:r>
              <w:t xml:space="preserve">4</w:t>
            </w:r>
          </w:p>
        </w:tc>
        <w:tc>
          <w:tcPr/>
          <w:p>
            <w:pPr>
              <w:pStyle w:val="Compact"/>
              <w:jc w:val="left"/>
            </w:pPr>
            <w:r>
              <w:t xml:space="preserve">CRITICAL</w:t>
            </w:r>
          </w:p>
        </w:tc>
      </w:tr>
      <w:tr>
        <w:tc>
          <w:tcPr/>
          <w:p>
            <w:pPr>
              <w:pStyle w:val="Compact"/>
              <w:jc w:val="left"/>
            </w:pPr>
            <w:r>
              <w:t xml:space="preserve">3. Environmental Liability</w:t>
            </w:r>
          </w:p>
        </w:tc>
        <w:tc>
          <w:tcPr/>
          <w:p>
            <w:pPr>
              <w:pStyle w:val="Compact"/>
              <w:jc w:val="left"/>
            </w:pPr>
            <w:r>
              <w:t xml:space="preserve">3</w:t>
            </w:r>
          </w:p>
        </w:tc>
        <w:tc>
          <w:tcPr/>
          <w:p>
            <w:pPr>
              <w:pStyle w:val="Compact"/>
              <w:jc w:val="left"/>
            </w:pPr>
            <w:r>
              <w:t xml:space="preserve">HIGH</w:t>
            </w:r>
          </w:p>
        </w:tc>
      </w:tr>
      <w:tr>
        <w:tc>
          <w:tcPr/>
          <w:p>
            <w:pPr>
              <w:pStyle w:val="Compact"/>
              <w:jc w:val="left"/>
            </w:pPr>
            <w:r>
              <w:t xml:space="preserve">4. Regulatory &amp; Permitting</w:t>
            </w:r>
          </w:p>
        </w:tc>
        <w:tc>
          <w:tcPr/>
          <w:p>
            <w:pPr>
              <w:pStyle w:val="Compact"/>
              <w:jc w:val="left"/>
            </w:pPr>
            <w:r>
              <w:t xml:space="preserve">3</w:t>
            </w:r>
          </w:p>
        </w:tc>
        <w:tc>
          <w:tcPr/>
          <w:p>
            <w:pPr>
              <w:pStyle w:val="Compact"/>
              <w:jc w:val="left"/>
            </w:pPr>
            <w:r>
              <w:t xml:space="preserve">HIGH</w:t>
            </w:r>
          </w:p>
        </w:tc>
      </w:tr>
      <w:tr>
        <w:tc>
          <w:tcPr/>
          <w:p>
            <w:pPr>
              <w:pStyle w:val="Compact"/>
              <w:jc w:val="left"/>
            </w:pPr>
            <w:r>
              <w:t xml:space="preserve">5. Debt &amp; Change-of-Control</w:t>
            </w:r>
          </w:p>
        </w:tc>
        <w:tc>
          <w:tcPr/>
          <w:p>
            <w:pPr>
              <w:pStyle w:val="Compact"/>
              <w:jc w:val="left"/>
            </w:pPr>
            <w:r>
              <w:t xml:space="preserve">3</w:t>
            </w:r>
          </w:p>
        </w:tc>
        <w:tc>
          <w:tcPr/>
          <w:p>
            <w:pPr>
              <w:pStyle w:val="Compact"/>
              <w:jc w:val="left"/>
            </w:pPr>
            <w:r>
              <w:t xml:space="preserve">CRITICAL</w:t>
            </w:r>
          </w:p>
        </w:tc>
      </w:tr>
      <w:tr>
        <w:tc>
          <w:tcPr/>
          <w:p>
            <w:pPr>
              <w:pStyle w:val="Compact"/>
              <w:jc w:val="left"/>
            </w:pPr>
            <w:r>
              <w:t xml:space="preserve">6. Labor &amp; Human Capital</w:t>
            </w:r>
          </w:p>
        </w:tc>
        <w:tc>
          <w:tcPr/>
          <w:p>
            <w:pPr>
              <w:pStyle w:val="Compact"/>
              <w:jc w:val="left"/>
            </w:pPr>
            <w:r>
              <w:t xml:space="preserve">2</w:t>
            </w:r>
          </w:p>
        </w:tc>
        <w:tc>
          <w:tcPr/>
          <w:p>
            <w:pPr>
              <w:pStyle w:val="Compact"/>
              <w:jc w:val="left"/>
            </w:pPr>
            <w:r>
              <w:t xml:space="preserve">HIGH</w:t>
            </w:r>
          </w:p>
        </w:tc>
      </w:tr>
      <w:tr>
        <w:tc>
          <w:tcPr/>
          <w:p>
            <w:pPr>
              <w:pStyle w:val="Compact"/>
              <w:jc w:val="left"/>
            </w:pPr>
            <w:r>
              <w:t xml:space="preserve">7. Real Property &amp; Lease</w:t>
            </w:r>
          </w:p>
        </w:tc>
        <w:tc>
          <w:tcPr/>
          <w:p>
            <w:pPr>
              <w:pStyle w:val="Compact"/>
              <w:jc w:val="left"/>
            </w:pPr>
            <w:r>
              <w:t xml:space="preserve">1</w:t>
            </w:r>
          </w:p>
        </w:tc>
        <w:tc>
          <w:tcPr/>
          <w:p>
            <w:pPr>
              <w:pStyle w:val="Compact"/>
              <w:jc w:val="left"/>
            </w:pPr>
            <w:r>
              <w:t xml:space="preserve">HIGH</w:t>
            </w:r>
          </w:p>
        </w:tc>
      </w:tr>
      <w:tr>
        <w:tc>
          <w:tcPr/>
          <w:p>
            <w:pPr>
              <w:pStyle w:val="Compact"/>
              <w:jc w:val="left"/>
            </w:pPr>
            <w:r>
              <w:t xml:space="preserve">8. Insurance Gaps</w:t>
            </w:r>
          </w:p>
        </w:tc>
        <w:tc>
          <w:tcPr/>
          <w:p>
            <w:pPr>
              <w:pStyle w:val="Compact"/>
              <w:jc w:val="left"/>
            </w:pPr>
            <w:r>
              <w:t xml:space="preserve">1</w:t>
            </w:r>
          </w:p>
        </w:tc>
        <w:tc>
          <w:tcPr/>
          <w:p>
            <w:pPr>
              <w:pStyle w:val="Compact"/>
              <w:jc w:val="left"/>
            </w:pPr>
            <w:r>
              <w:t xml:space="preserve">MEDIUM</w:t>
            </w:r>
          </w:p>
        </w:tc>
      </w:tr>
      <w:tr>
        <w:tc>
          <w:tcPr/>
          <w:p>
            <w:pPr>
              <w:pStyle w:val="Compact"/>
              <w:jc w:val="left"/>
            </w:pPr>
            <w:r>
              <w:rPr>
                <w:b/>
                <w:bCs/>
              </w:rPr>
              <w:t xml:space="preserve">Total</w:t>
            </w:r>
          </w:p>
        </w:tc>
        <w:tc>
          <w:tcPr/>
          <w:p>
            <w:pPr>
              <w:pStyle w:val="Compact"/>
              <w:jc w:val="left"/>
            </w:pPr>
            <w:r>
              <w:rPr>
                <w:b/>
                <w:bCs/>
              </w:rPr>
              <w:t xml:space="preserve">21</w:t>
            </w:r>
          </w:p>
        </w:tc>
        <w:tc>
          <w:tcPr/>
          <w:p>
            <w:pPr>
              <w:pStyle w:val="Compact"/>
            </w:pPr>
          </w:p>
        </w:tc>
      </w:tr>
    </w:tbl>
    <w:p>
      <w:r>
        <w:pict>
          <v:rect style="width:0;height:1.5pt" o:hralign="center" o:hrstd="t" o:hr="t"/>
        </w:pict>
      </w:r>
    </w:p>
    <w:bookmarkEnd w:id="22"/>
    <w:bookmarkStart w:id="27" w:name="X6972518aa42912b1d4824dfc724fc996941276f"/>
    <w:p>
      <w:pPr>
        <w:pStyle w:val="Heading2"/>
      </w:pPr>
      <w:r>
        <w:t xml:space="preserve">Category 1: Financial Quality &amp; EBITDA Integrity</w:t>
      </w:r>
    </w:p>
    <w:bookmarkStart w:id="23" w:name="X91f0a6cf9090fdbf360e7b3d341475b64ecb7f2"/>
    <w:p>
      <w:pPr>
        <w:pStyle w:val="Heading3"/>
      </w:pPr>
      <w:r>
        <w:t xml:space="preserve">RF-01 | CRITICAL | Unexplained $1.0M Discrepancy Between CIM and QoE Adjusted EBITDA</w:t>
      </w:r>
    </w:p>
    <w:p>
      <w:pPr>
        <w:pStyle w:val="FirstParagraph"/>
      </w:pPr>
      <w:r>
        <w:t xml:space="preserve">The Confidential Information Memorandum presents FY2024 Adjusted EBITDA of</w:t>
      </w:r>
      <w:r>
        <w:t xml:space="preserve"> </w:t>
      </w:r>
      <w:r>
        <w:rPr>
          <w:b/>
          <w:bCs/>
        </w:rPr>
        <w:t xml:space="preserve">$22.8 million</w:t>
      </w:r>
      <w:r>
        <w:t xml:space="preserve">, while the Quality of Earnings data request response (EBITDA Bridge tab) calculates Adjusted EBITDA of</w:t>
      </w:r>
      <w:r>
        <w:t xml:space="preserve"> </w:t>
      </w:r>
      <w:r>
        <w:rPr>
          <w:b/>
          <w:bCs/>
        </w:rPr>
        <w:t xml:space="preserve">$23.8 million</w:t>
      </w:r>
      <w:r>
        <w:t xml:space="preserve"> </w:t>
      </w:r>
      <w:r>
        <w:t xml:space="preserve">— a $1.0 million discrepancy that management has acknowledged but not yet explained or reconciled. The QoE workbook states:</w:t>
      </w:r>
      <w:r>
        <w:t xml:space="preserve"> </w:t>
      </w:r>
      <w:r>
        <w:rPr>
          <w:i/>
          <w:iCs/>
        </w:rPr>
        <w:t xml:space="preserve">“</w:t>
      </w:r>
      <w:r>
        <w:rPr>
          <w:i/>
          <w:iCs/>
        </w:rPr>
        <w:t xml:space="preserve">Management intends to reconcile the difference and will provide an updated schedule. The specific adjustment category causing the discrepancy has not been identified.</w:t>
      </w:r>
      <w:r>
        <w:rPr>
          <w:i/>
          <w:iCs/>
        </w:rPr>
        <w:t xml:space="preserve">”</w:t>
      </w:r>
      <w:r>
        <w:t xml:space="preserve"> </w:t>
      </w:r>
      <w:r>
        <w:t xml:space="preserve">This is a fundamental data integrity failure at the outset of the QoE process. The entire $182–$205 million indicative enterprise value is anchored to the Adjusted EBITDA figure; a $1.0 million error in the denominator shifts the implied EV by $8–$9 million at the stated 8.0x–9.0x multiple range. The Buyer should not proceed to definitive agreement until a fully reconciled, auditor-reviewed EBITDA bridge is delivered.</w:t>
      </w:r>
    </w:p>
    <w:p>
      <w:pPr>
        <w:pStyle w:val="BodyText"/>
      </w:pPr>
      <w:r>
        <w:rPr>
          <w:b/>
          <w:bCs/>
        </w:rPr>
        <w:t xml:space="preserve">Action Required:</w:t>
      </w:r>
      <w:r>
        <w:t xml:space="preserve"> </w:t>
      </w:r>
      <w:r>
        <w:t xml:space="preserve">Demand a complete, line-by-line reconciliation of the $1.0M gap before LOI is converted to a definitive SPA. Require Bridgewater Forsyth Group to independently verify each adjustment category.</w:t>
      </w:r>
    </w:p>
    <w:p>
      <w:r>
        <w:pict>
          <v:rect style="width:0;height:1.5pt" o:hralign="center" o:hrstd="t" o:hr="t"/>
        </w:pict>
      </w:r>
    </w:p>
    <w:bookmarkEnd w:id="23"/>
    <w:bookmarkStart w:id="24" w:name="X65632f352e8a724eda8ef0ac7fb0e9553b0044e"/>
    <w:p>
      <w:pPr>
        <w:pStyle w:val="Heading3"/>
      </w:pPr>
      <w:r>
        <w:t xml:space="preserve">RF-02 | HIGH | Aggressive Add-Back Package — $5.4M in Adjustments Warrants Scrutiny</w:t>
      </w:r>
    </w:p>
    <w:p>
      <w:pPr>
        <w:pStyle w:val="FirstParagraph"/>
      </w:pPr>
      <w:r>
        <w:t xml:space="preserve">Management’s $5.4 million in EBITDA add-backs (bridging reported EBITDA of $18.4M to adjusted EBITDA of $23.8M) includes several items that are either recurring in nature, inadequately documented, or inconsistent with the bank’s credit agreement definition of Consolidated EBITDA:</w:t>
      </w:r>
    </w:p>
    <w:p>
      <w:pPr>
        <w:numPr>
          <w:ilvl w:val="0"/>
          <w:numId w:val="1001"/>
        </w:numPr>
      </w:pPr>
      <w:r>
        <w:rPr>
          <w:b/>
          <w:bCs/>
        </w:rPr>
        <w:t xml:space="preserve">Owner Compensation Normalization ($950K):</w:t>
      </w:r>
      <w:r>
        <w:t xml:space="preserve"> </w:t>
      </w:r>
      <w:r>
        <w:t xml:space="preserve">The Calloway brothers each earn $875,000 in base salary ($1.75M combined). Management normalizes to $400K each ($800K combined), claiming a $950K add-back. However, post-closing employment agreements have not been negotiated, and the Calloways’ single-trigger change-of-control severance ($2.625M combined) is payable regardless of whether they remain employed. If the Buyer retains them at market rates, the add-back is valid; if they depart, the Company must recruit two senior executives at market cost, eliminating the add-back entirely.</w:t>
      </w:r>
    </w:p>
    <w:p>
      <w:pPr>
        <w:numPr>
          <w:ilvl w:val="0"/>
          <w:numId w:val="1001"/>
        </w:numPr>
      </w:pPr>
      <w:r>
        <w:rPr>
          <w:b/>
          <w:bCs/>
        </w:rPr>
        <w:t xml:space="preserve">Pinnacle Integration Costs ($800K in FY2024):</w:t>
      </w:r>
      <w:r>
        <w:t xml:space="preserve"> </w:t>
      </w:r>
      <w:r>
        <w:t xml:space="preserve">The Pinnacle acquisition closed in March 2022 — over two years before the TTM period. Integration costs appearing in FY2024 ($800K) and FY2023 ($620K) suggest either that integration is not</w:t>
      </w:r>
      <w:r>
        <w:t xml:space="preserve"> </w:t>
      </w:r>
      <w:r>
        <w:t xml:space="preserve">“</w:t>
      </w:r>
      <w:r>
        <w:t xml:space="preserve">substantially complete</w:t>
      </w:r>
      <w:r>
        <w:t xml:space="preserve">”</w:t>
      </w:r>
      <w:r>
        <w:t xml:space="preserve"> </w:t>
      </w:r>
      <w:r>
        <w:t xml:space="preserve">as represented, or that recurring operational costs are being misclassified as non-recurring. The cumulative integration add-back across FY2022–FY2024 totals $2.64M.</w:t>
      </w:r>
    </w:p>
    <w:p>
      <w:pPr>
        <w:numPr>
          <w:ilvl w:val="0"/>
          <w:numId w:val="1001"/>
        </w:numPr>
      </w:pPr>
      <w:r>
        <w:rPr>
          <w:b/>
          <w:bCs/>
        </w:rPr>
        <w:t xml:space="preserve">Litigation Settlement ($1.2M):</w:t>
      </w:r>
      <w:r>
        <w:t xml:space="preserve"> </w:t>
      </w:r>
      <w:r>
        <w:t xml:space="preserve">The QoE workbook identifies this as the Harper Environmental settlement (Mesa County Case No. 2023-CV-1847). However, the Litigation Summary describes the Harper matter as still pending in discovery with a February 2025 mediation scheduled. The $1.2M settlement is separately identified in the Litigation Summary as the</w:t>
      </w:r>
      <w:r>
        <w:t xml:space="preserve"> </w:t>
      </w:r>
      <w:r>
        <w:rPr>
          <w:i/>
          <w:iCs/>
        </w:rPr>
        <w:t xml:space="preserve">Clearwater Logistics</w:t>
      </w:r>
      <w:r>
        <w:t xml:space="preserve"> </w:t>
      </w:r>
      <w:r>
        <w:t xml:space="preserve">matter (resolved March 2024). This inconsistency in the description of the same add-back across two data room documents requires immediate clarification.</w:t>
      </w:r>
    </w:p>
    <w:p>
      <w:pPr>
        <w:numPr>
          <w:ilvl w:val="0"/>
          <w:numId w:val="1001"/>
        </w:numPr>
      </w:pPr>
      <w:r>
        <w:rPr>
          <w:b/>
          <w:bCs/>
        </w:rPr>
        <w:t xml:space="preserve">ERP Implementation ($650K):</w:t>
      </w:r>
      <w:r>
        <w:t xml:space="preserve"> </w:t>
      </w:r>
      <w:r>
        <w:t xml:space="preserve">The QoE workbook notes that Phase 2 of the ERP implementation is expected to complete in Q2 FY2025 — meaning additional implementation costs may be incurred post-closing and cannot be treated as fully non-recurring.</w:t>
      </w:r>
    </w:p>
    <w:p>
      <w:pPr>
        <w:pStyle w:val="FirstParagraph"/>
      </w:pPr>
      <w:r>
        <w:rPr>
          <w:b/>
          <w:bCs/>
        </w:rPr>
        <w:t xml:space="preserve">Action Required:</w:t>
      </w:r>
      <w:r>
        <w:t xml:space="preserve"> </w:t>
      </w:r>
      <w:r>
        <w:t xml:space="preserve">Require management to provide third-party invoices and board resolutions supporting each add-back. Obtain Bridgewater Forsyth Group’s independent assessment of add-back quality before finalizing the purchase price.</w:t>
      </w:r>
    </w:p>
    <w:p>
      <w:r>
        <w:pict>
          <v:rect style="width:0;height:1.5pt" o:hralign="center" o:hrstd="t" o:hr="t"/>
        </w:pict>
      </w:r>
    </w:p>
    <w:bookmarkEnd w:id="24"/>
    <w:bookmarkStart w:id="25" w:name="X280bc60b7bece4db17c784d9017dd6be35af38b"/>
    <w:p>
      <w:pPr>
        <w:pStyle w:val="Heading3"/>
      </w:pPr>
      <w:r>
        <w:t xml:space="preserve">RF-03 | HIGH | Reported EBITDA Margin Compression — FY2024 Reported EBITDA Declined 27% YoY</w:t>
      </w:r>
    </w:p>
    <w:p>
      <w:pPr>
        <w:pStyle w:val="FirstParagraph"/>
      </w:pPr>
      <w:r>
        <w:t xml:space="preserve">The QoE Historical P&amp;L tab reveals that FY2024 reported EBITDA of $18.4 million represents a</w:t>
      </w:r>
      <w:r>
        <w:t xml:space="preserve"> </w:t>
      </w:r>
      <w:r>
        <w:rPr>
          <w:b/>
          <w:bCs/>
        </w:rPr>
        <w:t xml:space="preserve">27.0% year-over-year decline</w:t>
      </w:r>
      <w:r>
        <w:t xml:space="preserve"> </w:t>
      </w:r>
      <w:r>
        <w:t xml:space="preserve">from FY2023 reported EBITDA of $25.2 million — a dramatic deterioration that is entirely obscured by the management-adjusted EBITDA presentation. The CIM presents only Adjusted EBITDA figures for FY2024 and omits historical reported EBITDA for prior years, making it impossible for a reader of the CIM alone to identify this trend. The reported EBITDA margin fell from 22.0% in FY2023 to 14.5% in FY2024 (per the QoE P&amp;L). While management attributes the decline to non-recurring items, the magnitude of the decline — and the fact that it is not disclosed in the CIM — is a significant transparency concern.</w:t>
      </w:r>
    </w:p>
    <w:p>
      <w:pPr>
        <w:pStyle w:val="BodyText"/>
      </w:pPr>
      <w:r>
        <w:rPr>
          <w:b/>
          <w:bCs/>
        </w:rPr>
        <w:t xml:space="preserve">Action Required:</w:t>
      </w:r>
      <w:r>
        <w:t xml:space="preserve"> </w:t>
      </w:r>
      <w:r>
        <w:t xml:space="preserve">Require a full five-year reported EBITDA bridge. Assess whether any of the FY2024</w:t>
      </w:r>
      <w:r>
        <w:t xml:space="preserve"> </w:t>
      </w:r>
      <w:r>
        <w:t xml:space="preserve">“</w:t>
      </w:r>
      <w:r>
        <w:t xml:space="preserve">non-recurring</w:t>
      </w:r>
      <w:r>
        <w:t xml:space="preserve">”</w:t>
      </w:r>
      <w:r>
        <w:t xml:space="preserve"> </w:t>
      </w:r>
      <w:r>
        <w:t xml:space="preserve">items are likely to recur in FY2025.</w:t>
      </w:r>
    </w:p>
    <w:p>
      <w:r>
        <w:pict>
          <v:rect style="width:0;height:1.5pt" o:hralign="center" o:hrstd="t" o:hr="t"/>
        </w:pict>
      </w:r>
    </w:p>
    <w:bookmarkEnd w:id="25"/>
    <w:bookmarkStart w:id="26" w:name="X28e549bbe9cc880cdd42023e8206212d0d32275"/>
    <w:p>
      <w:pPr>
        <w:pStyle w:val="Heading3"/>
      </w:pPr>
      <w:r>
        <w:t xml:space="preserve">RF-04 | HIGH | Fleet Replacement Backlog Creates Understated Maintenance Capex</w:t>
      </w:r>
    </w:p>
    <w:p>
      <w:pPr>
        <w:pStyle w:val="FirstParagraph"/>
      </w:pPr>
      <w:r>
        <w:t xml:space="preserve">The Fleet &amp; Equipment Schedule reveals that</w:t>
      </w:r>
      <w:r>
        <w:t xml:space="preserve"> </w:t>
      </w:r>
      <w:r>
        <w:rPr>
          <w:b/>
          <w:bCs/>
        </w:rPr>
        <w:t xml:space="preserve">38 of 85 fleet units (44.7%) are at or past their stated useful life</w:t>
      </w:r>
      <w:r>
        <w:t xml:space="preserve">, with a total estimated replacement cost of $9.8 million for past-life units alone. Management represents normalized annual maintenance capex at $4.0–$4.5 million, but the QoE workbook itself notes:</w:t>
      </w:r>
      <w:r>
        <w:t xml:space="preserve"> </w:t>
      </w:r>
      <w:r>
        <w:rPr>
          <w:i/>
          <w:iCs/>
        </w:rPr>
        <w:t xml:space="preserve">“</w:t>
      </w:r>
      <w:r>
        <w:rPr>
          <w:i/>
          <w:iCs/>
        </w:rPr>
        <w:t xml:space="preserve">Spreading the $9.8M past-life replacement backlog over 3 years would imply ~$3.3M/year in catch-up capex above the current run-rate.</w:t>
      </w:r>
      <w:r>
        <w:rPr>
          <w:i/>
          <w:iCs/>
        </w:rPr>
        <w:t xml:space="preserve">”</w:t>
      </w:r>
      <w:r>
        <w:t xml:space="preserve"> </w:t>
      </w:r>
      <w:r>
        <w:t xml:space="preserve">This implies true normalized maintenance capex of $7.3–$7.8 million annually — approximately 75% higher than management’s stated figure. The average fleet age of 8.2 years exceeds the weighted average useful life of 7.0 years. Several units are flagged as</w:t>
      </w:r>
      <w:r>
        <w:t xml:space="preserve"> </w:t>
      </w:r>
      <w:r>
        <w:t xml:space="preserve">“</w:t>
      </w:r>
      <w:r>
        <w:t xml:space="preserve">At End of Life — No Replacement Scheduled,</w:t>
      </w:r>
      <w:r>
        <w:t xml:space="preserve">”</w:t>
      </w:r>
      <w:r>
        <w:t xml:space="preserve"> </w:t>
      </w:r>
      <w:r>
        <w:t xml:space="preserve">which represents an operational risk in addition to a financial one. Understated maintenance capex directly inflates free cash flow and, by extension, the implied valuation.</w:t>
      </w:r>
    </w:p>
    <w:p>
      <w:pPr>
        <w:pStyle w:val="BodyText"/>
      </w:pPr>
      <w:r>
        <w:rPr>
          <w:b/>
          <w:bCs/>
        </w:rPr>
        <w:t xml:space="preserve">Action Required:</w:t>
      </w:r>
      <w:r>
        <w:t xml:space="preserve"> </w:t>
      </w:r>
      <w:r>
        <w:t xml:space="preserve">Commission an independent fleet appraisal. Recast normalized maintenance capex at $7.0–$8.0M annually and adjust the purchase price accordingly. Require management to explain the</w:t>
      </w:r>
      <w:r>
        <w:t xml:space="preserve"> </w:t>
      </w:r>
      <w:r>
        <w:t xml:space="preserve">“</w:t>
      </w:r>
      <w:r>
        <w:t xml:space="preserve">No Replacement Scheduled</w:t>
      </w:r>
      <w:r>
        <w:t xml:space="preserve">”</w:t>
      </w:r>
      <w:r>
        <w:t xml:space="preserve"> </w:t>
      </w:r>
      <w:r>
        <w:t xml:space="preserve">designations for end-of-life units.</w:t>
      </w:r>
    </w:p>
    <w:p>
      <w:r>
        <w:pict>
          <v:rect style="width:0;height:1.5pt" o:hralign="center" o:hrstd="t" o:hr="t"/>
        </w:pict>
      </w:r>
    </w:p>
    <w:bookmarkEnd w:id="26"/>
    <w:bookmarkEnd w:id="27"/>
    <w:bookmarkStart w:id="32" w:name="X0fd535e0412409b77a27c775ba186b9e6878771"/>
    <w:p>
      <w:pPr>
        <w:pStyle w:val="Heading2"/>
      </w:pPr>
      <w:r>
        <w:t xml:space="preserve">Category 2: Revenue Concentration &amp; Contract Risk</w:t>
      </w:r>
    </w:p>
    <w:bookmarkStart w:id="28" w:name="Xdec4724253f6cf56f73abc1062b71bbf20825e6"/>
    <w:p>
      <w:pPr>
        <w:pStyle w:val="Heading3"/>
      </w:pPr>
      <w:r>
        <w:t xml:space="preserve">RF-05 | CRITICAL | DOE IDIQ Ceiling Exhaustion — $12.1M Revenue Headwind in FY2025</w:t>
      </w:r>
    </w:p>
    <w:p>
      <w:pPr>
        <w:pStyle w:val="FirstParagraph"/>
      </w:pPr>
      <w:r>
        <w:t xml:space="preserve">The Company’s largest customer, the U.S. Department of Energy (19.2% of TTM revenue, $24.4M), is served under IDIQ Contract No. DE-EM-0005523 with a $45.0 million ceiling value. As of the TTM period,</w:t>
      </w:r>
      <w:r>
        <w:t xml:space="preserve"> </w:t>
      </w:r>
      <w:r>
        <w:rPr>
          <w:b/>
          <w:bCs/>
        </w:rPr>
        <w:t xml:space="preserve">$32.7 million (72.7%) of the ceiling has been consumed in 61.7% of the contract period.</w:t>
      </w:r>
      <w:r>
        <w:t xml:space="preserve"> </w:t>
      </w:r>
      <w:r>
        <w:t xml:space="preserve">At the current run rate of approximately $24.4M/year ($2.03M/month), the remaining $12.3 million ceiling will be exhausted by approximately</w:t>
      </w:r>
      <w:r>
        <w:t xml:space="preserve"> </w:t>
      </w:r>
      <w:r>
        <w:rPr>
          <w:b/>
          <w:bCs/>
        </w:rPr>
        <w:t xml:space="preserve">April–May 2025</w:t>
      </w:r>
      <w:r>
        <w:t xml:space="preserve"> </w:t>
      </w:r>
      <w:r>
        <w:t xml:space="preserve">— coinciding almost exactly with the target closing date of April 30, 2025. The contract does not expire until August 31, 2026, leaving approximately 16 months of unfunded contract period. Unless the DOE issues a ceiling modification or awards a new contract, DOE revenue could decline from $24.4M in FY2024 to $12.3M or less in FY2025, representing a</w:t>
      </w:r>
      <w:r>
        <w:t xml:space="preserve"> </w:t>
      </w:r>
      <w:r>
        <w:rPr>
          <w:b/>
          <w:bCs/>
        </w:rPr>
        <w:t xml:space="preserve">$12.1M revenue headwind (9.5% of total revenue)</w:t>
      </w:r>
      <w:r>
        <w:t xml:space="preserve">. This risk is not disclosed in the CIM.</w:t>
      </w:r>
    </w:p>
    <w:p>
      <w:pPr>
        <w:pStyle w:val="BodyText"/>
      </w:pPr>
      <w:r>
        <w:rPr>
          <w:b/>
          <w:bCs/>
        </w:rPr>
        <w:t xml:space="preserve">Action Required:</w:t>
      </w:r>
      <w:r>
        <w:t xml:space="preserve"> </w:t>
      </w:r>
      <w:r>
        <w:t xml:space="preserve">Require management to provide written confirmation from the DOE Contracting Officer regarding ceiling modification prospects before closing. Model a downside scenario with DOE revenue at $12.3M. Consider a purchase price adjustment mechanism tied to DOE contract status at closing.</w:t>
      </w:r>
    </w:p>
    <w:p>
      <w:r>
        <w:pict>
          <v:rect style="width:0;height:1.5pt" o:hralign="center" o:hrstd="t" o:hr="t"/>
        </w:pict>
      </w:r>
    </w:p>
    <w:bookmarkEnd w:id="28"/>
    <w:bookmarkStart w:id="29" w:name="Xe6c21c952b48c309d5153569a4c81eaedb9af3d"/>
    <w:p>
      <w:pPr>
        <w:pStyle w:val="Heading3"/>
      </w:pPr>
      <w:r>
        <w:t xml:space="preserve">RF-06 | CRITICAL | DOE Contract — Novation Risk and Anti-Assignment Act Exposure</w:t>
      </w:r>
    </w:p>
    <w:p>
      <w:pPr>
        <w:pStyle w:val="FirstParagraph"/>
      </w:pPr>
      <w:r>
        <w:t xml:space="preserve">The DOE IDIQ contract is subject to the Anti-Assignment Act (41 U.S.C. § 6305) and is non-assignable without prior written consent of the Contracting Officer. The contract’s Section H, Clause H-12 requires written notification to the Contracting Officer within 30 calendar days of any change in ownership, with failure to notify constituting grounds for termination for default. While a stock acquisition may not technically constitute an assignment of the contract, the contract requires a novation agreement for any change in the contractor’s organizational structure, including changes in ownership.</w:t>
      </w:r>
      <w:r>
        <w:t xml:space="preserve"> </w:t>
      </w:r>
      <w:r>
        <w:rPr>
          <w:b/>
          <w:bCs/>
        </w:rPr>
        <w:t xml:space="preserve">Failure to obtain a novation agreement or Contracting Officer approval prior to closing could jeopardize the Company’s largest revenue relationship.</w:t>
      </w:r>
      <w:r>
        <w:t xml:space="preserve"> </w:t>
      </w:r>
      <w:r>
        <w:t xml:space="preserve">The DOE relationship represents $24.4M (19.2%) of TTM revenue and is the anchor of the Company’s government practice.</w:t>
      </w:r>
    </w:p>
    <w:p>
      <w:pPr>
        <w:pStyle w:val="BodyText"/>
      </w:pPr>
      <w:r>
        <w:rPr>
          <w:b/>
          <w:bCs/>
        </w:rPr>
        <w:t xml:space="preserve">Action Required:</w:t>
      </w:r>
      <w:r>
        <w:t xml:space="preserve"> </w:t>
      </w:r>
      <w:r>
        <w:t xml:space="preserve">Engage DOE Contracting Officer immediately to determine novation requirements. Do not close the transaction without written confirmation from the DOE that the contract will remain in effect post-closing. This should be a hard closing condition in the SPA.</w:t>
      </w:r>
    </w:p>
    <w:p>
      <w:r>
        <w:pict>
          <v:rect style="width:0;height:1.5pt" o:hralign="center" o:hrstd="t" o:hr="t"/>
        </w:pict>
      </w:r>
    </w:p>
    <w:bookmarkEnd w:id="29"/>
    <w:bookmarkStart w:id="30" w:name="Xb4d76b681f5dd6b1fb546bbe3cb4e56abf85442"/>
    <w:p>
      <w:pPr>
        <w:pStyle w:val="Heading3"/>
      </w:pPr>
      <w:r>
        <w:t xml:space="preserve">RF-07 | HIGH | Eight of Top 20 Customer Contracts Contain Change-of-Control or Assignment Provisions</w:t>
      </w:r>
    </w:p>
    <w:p>
      <w:pPr>
        <w:pStyle w:val="FirstParagraph"/>
      </w:pPr>
      <w:r>
        <w:t xml:space="preserve">Beyond the DOE, eight of the top 20 customer contracts contain assignment, change-of-control, or notification provisions that may be triggered by the proposed transaction. These include:</w:t>
      </w:r>
    </w:p>
    <w:p>
      <w:pPr>
        <w:pStyle w:val="Compact"/>
        <w:numPr>
          <w:ilvl w:val="0"/>
          <w:numId w:val="1002"/>
        </w:numPr>
      </w:pPr>
      <w:r>
        <w:rPr>
          <w:b/>
          <w:bCs/>
        </w:rPr>
        <w:t xml:space="preserve">Intermountain Health Systems ($7.1M, 5.6%):</w:t>
      </w:r>
      <w:r>
        <w:t xml:space="preserve"> </w:t>
      </w:r>
      <w:r>
        <w:t xml:space="preserve">Assignment requires prior written consent; change-of-control requires 60-day advance notice. Renewal option not yet exercised; renewal decision expected February 2025.</w:t>
      </w:r>
    </w:p>
    <w:p>
      <w:pPr>
        <w:pStyle w:val="Compact"/>
        <w:numPr>
          <w:ilvl w:val="0"/>
          <w:numId w:val="1002"/>
        </w:numPr>
      </w:pPr>
      <w:r>
        <w:rPr>
          <w:b/>
          <w:bCs/>
        </w:rPr>
        <w:t xml:space="preserve">Rocky Mountain Pipeline Systems ($4.2M, 3.3%):</w:t>
      </w:r>
      <w:r>
        <w:t xml:space="preserve"> </w:t>
      </w:r>
      <w:r>
        <w:t xml:space="preserve">Assignment requires prior written consent; change-of-control triggers 30-day notification and consent period.</w:t>
      </w:r>
    </w:p>
    <w:p>
      <w:pPr>
        <w:pStyle w:val="Compact"/>
        <w:numPr>
          <w:ilvl w:val="0"/>
          <w:numId w:val="1002"/>
        </w:numPr>
      </w:pPr>
      <w:r>
        <w:rPr>
          <w:b/>
          <w:bCs/>
        </w:rPr>
        <w:t xml:space="preserve">Colorado DOT ($3.9M, 3.1%):</w:t>
      </w:r>
      <w:r>
        <w:t xml:space="preserve"> </w:t>
      </w:r>
      <w:r>
        <w:t xml:space="preserve">Requires prior written consent of CDOT for any assignment; notification required for change in ownership.</w:t>
      </w:r>
    </w:p>
    <w:p>
      <w:pPr>
        <w:pStyle w:val="Compact"/>
        <w:numPr>
          <w:ilvl w:val="0"/>
          <w:numId w:val="1002"/>
        </w:numPr>
      </w:pPr>
      <w:r>
        <w:rPr>
          <w:b/>
          <w:bCs/>
        </w:rPr>
        <w:t xml:space="preserve">Bridger Valley Ranches ($4.1M, 3.2%):</w:t>
      </w:r>
      <w:r>
        <w:t xml:space="preserve"> </w:t>
      </w:r>
      <w:r>
        <w:t xml:space="preserve">No assignment without prior written consent of both parties.</w:t>
      </w:r>
    </w:p>
    <w:p>
      <w:pPr>
        <w:pStyle w:val="Compact"/>
        <w:numPr>
          <w:ilvl w:val="0"/>
          <w:numId w:val="1002"/>
        </w:numPr>
      </w:pPr>
      <w:r>
        <w:rPr>
          <w:b/>
          <w:bCs/>
        </w:rPr>
        <w:t xml:space="preserve">Utah DEQ ($4.6M, 3.6%):</w:t>
      </w:r>
      <w:r>
        <w:t xml:space="preserve"> </w:t>
      </w:r>
      <w:r>
        <w:t xml:space="preserve">State reserves right to terminate if change materially affects contractor qualifications.</w:t>
      </w:r>
    </w:p>
    <w:p>
      <w:pPr>
        <w:pStyle w:val="Compact"/>
        <w:numPr>
          <w:ilvl w:val="0"/>
          <w:numId w:val="1002"/>
        </w:numPr>
      </w:pPr>
      <w:r>
        <w:rPr>
          <w:b/>
          <w:bCs/>
        </w:rPr>
        <w:t xml:space="preserve">Frontier E&amp;P ($2.6M, 2.0%):</w:t>
      </w:r>
      <w:r>
        <w:t xml:space="preserve"> </w:t>
      </w:r>
      <w:r>
        <w:t xml:space="preserve">Assignment requires prior written consent; change-of-control notification required within 30 days.</w:t>
      </w:r>
    </w:p>
    <w:p>
      <w:pPr>
        <w:pStyle w:val="Compact"/>
        <w:numPr>
          <w:ilvl w:val="0"/>
          <w:numId w:val="1002"/>
        </w:numPr>
      </w:pPr>
      <w:r>
        <w:rPr>
          <w:b/>
          <w:bCs/>
        </w:rPr>
        <w:t xml:space="preserve">Teton Steel ($2.1M, 1.6%):</w:t>
      </w:r>
      <w:r>
        <w:t xml:space="preserve"> </w:t>
      </w:r>
      <w:r>
        <w:t xml:space="preserve">No assignment without mutual written consent.</w:t>
      </w:r>
    </w:p>
    <w:p>
      <w:pPr>
        <w:pStyle w:val="FirstParagraph"/>
      </w:pPr>
      <w:r>
        <w:t xml:space="preserve">In aggregate, these seven commercial/government contracts (excluding DOE) represent approximately</w:t>
      </w:r>
      <w:r>
        <w:t xml:space="preserve"> </w:t>
      </w:r>
      <w:r>
        <w:rPr>
          <w:b/>
          <w:bCs/>
        </w:rPr>
        <w:t xml:space="preserve">$28.6M (22.5%) of TTM revenue</w:t>
      </w:r>
      <w:r>
        <w:t xml:space="preserve">. Failure to obtain required consents could result in contract termination or renegotiation at less favorable terms.</w:t>
      </w:r>
    </w:p>
    <w:p>
      <w:pPr>
        <w:pStyle w:val="BodyText"/>
      </w:pPr>
      <w:r>
        <w:rPr>
          <w:b/>
          <w:bCs/>
        </w:rPr>
        <w:t xml:space="preserve">Action Required:</w:t>
      </w:r>
      <w:r>
        <w:t xml:space="preserve"> </w:t>
      </w:r>
      <w:r>
        <w:t xml:space="preserve">Map all consent requirements and initiate consent solicitation process immediately. Make receipt of material consents a closing condition in the SPA.</w:t>
      </w:r>
    </w:p>
    <w:p>
      <w:r>
        <w:pict>
          <v:rect style="width:0;height:1.5pt" o:hralign="center" o:hrstd="t" o:hr="t"/>
        </w:pict>
      </w:r>
    </w:p>
    <w:bookmarkEnd w:id="30"/>
    <w:bookmarkStart w:id="31" w:name="Xe1167a3ef6ffdbe3d7cb0a42f5d990356842851"/>
    <w:p>
      <w:pPr>
        <w:pStyle w:val="Heading3"/>
      </w:pPr>
      <w:r>
        <w:t xml:space="preserve">RF-08 | HIGH | CMMC Master Services Agreement — No Minimum Volume Commitments; 60-Day Termination</w:t>
      </w:r>
    </w:p>
    <w:p>
      <w:pPr>
        <w:pStyle w:val="FirstParagraph"/>
      </w:pPr>
      <w:r>
        <w:t xml:space="preserve">Consolidated Mining &amp; Minerals Corp. (CMMC), the Company’s second-largest customer at $14.5M (11.4% of revenue), is governed by a master services agreement with annual auto-renewal provisions and</w:t>
      </w:r>
      <w:r>
        <w:t xml:space="preserve"> </w:t>
      </w:r>
      <w:r>
        <w:rPr>
          <w:b/>
          <w:bCs/>
        </w:rPr>
        <w:t xml:space="preserve">no guaranteed minimum volume commitments</w:t>
      </w:r>
      <w:r>
        <w:t xml:space="preserve">. Services are provided on a time-and-materials basis. Either party may terminate for convenience on 60 days’ written notice. The current term runs through May 31, 2025 — within the proposed closing window. While the relationship dates to 2014 and has grown consistently, the absence of volume commitments and the short termination notice period mean that $14.5M of revenue could be lost with 60 days’ notice. The CIM characterizes this as a</w:t>
      </w:r>
      <w:r>
        <w:t xml:space="preserve"> </w:t>
      </w:r>
      <w:r>
        <w:t xml:space="preserve">“</w:t>
      </w:r>
      <w:r>
        <w:t xml:space="preserve">long-standing</w:t>
      </w:r>
      <w:r>
        <w:t xml:space="preserve">”</w:t>
      </w:r>
      <w:r>
        <w:t xml:space="preserve"> </w:t>
      </w:r>
      <w:r>
        <w:t xml:space="preserve">relationship with</w:t>
      </w:r>
      <w:r>
        <w:t xml:space="preserve"> </w:t>
      </w:r>
      <w:r>
        <w:t xml:space="preserve">“</w:t>
      </w:r>
      <w:r>
        <w:t xml:space="preserve">recurring revenue characteristics,</w:t>
      </w:r>
      <w:r>
        <w:t xml:space="preserve">”</w:t>
      </w:r>
      <w:r>
        <w:t xml:space="preserve"> </w:t>
      </w:r>
      <w:r>
        <w:t xml:space="preserve">which overstates the contractual protection.</w:t>
      </w:r>
    </w:p>
    <w:p>
      <w:pPr>
        <w:pStyle w:val="BodyText"/>
      </w:pPr>
      <w:r>
        <w:rPr>
          <w:b/>
          <w:bCs/>
        </w:rPr>
        <w:t xml:space="preserve">Action Required:</w:t>
      </w:r>
      <w:r>
        <w:t xml:space="preserve"> </w:t>
      </w:r>
      <w:r>
        <w:t xml:space="preserve">Obtain a written comfort letter or relationship confirmation from CMMC management. Assess whether a longer-term, volume-committed contract can be negotiated pre-closing. Ensure the MSA auto-renews before closing.</w:t>
      </w:r>
    </w:p>
    <w:p>
      <w:r>
        <w:pict>
          <v:rect style="width:0;height:1.5pt" o:hralign="center" o:hrstd="t" o:hr="t"/>
        </w:pict>
      </w:r>
    </w:p>
    <w:bookmarkEnd w:id="31"/>
    <w:bookmarkEnd w:id="32"/>
    <w:bookmarkStart w:id="36" w:name="category-3-environmental-liability"/>
    <w:p>
      <w:pPr>
        <w:pStyle w:val="Heading2"/>
      </w:pPr>
      <w:r>
        <w:t xml:space="preserve">Category 3: Environmental Liability</w:t>
      </w:r>
    </w:p>
    <w:bookmarkStart w:id="33" w:name="X991353166d8fc193b8fbd7b6f8111d3975bf8e5"/>
    <w:p>
      <w:pPr>
        <w:pStyle w:val="Heading3"/>
      </w:pPr>
      <w:r>
        <w:t xml:space="preserve">RF-09 | CRITICAL | Grand Junction Phase II ESA — Stale 2019 Assessment; Unquantified Upside Risk</w:t>
      </w:r>
    </w:p>
    <w:p>
      <w:pPr>
        <w:pStyle w:val="FirstParagraph"/>
      </w:pPr>
      <w:r>
        <w:t xml:space="preserve">The Company’s owned headquarters property (8750 Industrial Parkway, Grand Junction, CO) has documented soil and groundwater contamination from pre-acquisition industrial operations, including petroleum hydrocarbons (TPH-DRO, BTEX) and chlorinated solvents (PCE, TCE). The Phase II ESA was completed in</w:t>
      </w:r>
      <w:r>
        <w:t xml:space="preserve"> </w:t>
      </w:r>
      <w:r>
        <w:rPr>
          <w:b/>
          <w:bCs/>
        </w:rPr>
        <w:t xml:space="preserve">June 2019 — over five years ago</w:t>
      </w:r>
      <w:r>
        <w:t xml:space="preserve"> </w:t>
      </w:r>
      <w:r>
        <w:t xml:space="preserve">— and has not been updated. The 2019 cost estimate of $1.8–$2.6 million is presented in 2019 dollars and is subject to significant upside risk:</w:t>
      </w:r>
    </w:p>
    <w:p>
      <w:pPr>
        <w:pStyle w:val="Compact"/>
        <w:numPr>
          <w:ilvl w:val="0"/>
          <w:numId w:val="1003"/>
        </w:numPr>
      </w:pPr>
      <w:r>
        <w:rPr>
          <w:b/>
          <w:bCs/>
        </w:rPr>
        <w:t xml:space="preserve">Vapor intrusion pathway unassessed:</w:t>
      </w:r>
      <w:r>
        <w:t xml:space="preserve"> </w:t>
      </w:r>
      <w:r>
        <w:t xml:space="preserve">The 2019 ESA identified elevated PCE and TCE soil gas concentrations adjacent to the 28,000 sq. ft. vehicle maintenance building (occupied daily by RES employees), but a vapor intrusion assessment was explicitly excluded from scope. If vapor intrusion is confirmed, occupational health measures and sub-slab depressurization systems would be required, adding material cost.</w:t>
      </w:r>
    </w:p>
    <w:p>
      <w:pPr>
        <w:pStyle w:val="Compact"/>
        <w:numPr>
          <w:ilvl w:val="0"/>
          <w:numId w:val="1003"/>
        </w:numPr>
      </w:pPr>
      <w:r>
        <w:rPr>
          <w:b/>
          <w:bCs/>
        </w:rPr>
        <w:t xml:space="preserve">Off-site plume migration unconfirmed:</w:t>
      </w:r>
      <w:r>
        <w:t xml:space="preserve"> </w:t>
      </w:r>
      <w:r>
        <w:t xml:space="preserve">The 2019 ESA recommended installation of off-site downgradient monitoring wells to confirm plume containment. This has not been done. If off-site migration is confirmed, regulatory notification requirements under Colorado Regulation No. 41 would be triggered, potentially expanding remediation scope and cost significantly.</w:t>
      </w:r>
    </w:p>
    <w:p>
      <w:pPr>
        <w:pStyle w:val="Compact"/>
        <w:numPr>
          <w:ilvl w:val="0"/>
          <w:numId w:val="1003"/>
        </w:numPr>
      </w:pPr>
      <w:r>
        <w:rPr>
          <w:b/>
          <w:bCs/>
        </w:rPr>
        <w:t xml:space="preserve">DNAPL migration risk:</w:t>
      </w:r>
      <w:r>
        <w:t xml:space="preserve"> </w:t>
      </w:r>
      <w:r>
        <w:t xml:space="preserve">The chlorinated solvent contamination (PCE/TCE) involves dense non-aqueous phase liquids (DNAPLs) that can migrate vertically through the aquifer. The 2019 ESA explicitly noted that DNAPL migration to depths below the investigation extent could</w:t>
      </w:r>
      <w:r>
        <w:t xml:space="preserve"> </w:t>
      </w:r>
      <w:r>
        <w:t xml:space="preserve">“</w:t>
      </w:r>
      <w:r>
        <w:t xml:space="preserve">substantially increase the volume of impacted subsurface media and the scope of remediation required.</w:t>
      </w:r>
      <w:r>
        <w:t xml:space="preserve">”</w:t>
      </w:r>
    </w:p>
    <w:p>
      <w:pPr>
        <w:pStyle w:val="Compact"/>
        <w:numPr>
          <w:ilvl w:val="0"/>
          <w:numId w:val="1003"/>
        </w:numPr>
      </w:pPr>
      <w:r>
        <w:rPr>
          <w:b/>
          <w:bCs/>
        </w:rPr>
        <w:t xml:space="preserve">Accrual adequacy:</w:t>
      </w:r>
      <w:r>
        <w:t xml:space="preserve"> </w:t>
      </w:r>
      <w:r>
        <w:t xml:space="preserve">The Company has accrued $3.2M across all facilities (approximately $2.2M attributable to Grand Junction). Given the 2019 cost estimate of $1.8–$2.6M in 2019 dollars, inflation-adjusted costs could approach or exceed the current accrual before accounting for vapor intrusion or off-site migration.</w:t>
      </w:r>
    </w:p>
    <w:p>
      <w:pPr>
        <w:pStyle w:val="FirstParagraph"/>
      </w:pPr>
      <w:r>
        <w:t xml:space="preserve">The Phase II ESA itself states:</w:t>
      </w:r>
      <w:r>
        <w:t xml:space="preserve"> </w:t>
      </w:r>
      <w:r>
        <w:rPr>
          <w:i/>
          <w:iCs/>
        </w:rPr>
        <w:t xml:space="preserve">“</w:t>
      </w:r>
      <w:r>
        <w:rPr>
          <w:i/>
          <w:iCs/>
        </w:rPr>
        <w:t xml:space="preserve">Elkhorn expressly recommends that any party intending to rely on this report in connection with a property transaction, financing, or similar event verify that the findings remain current by commissioning updated subsurface investigation.</w:t>
      </w:r>
      <w:r>
        <w:rPr>
          <w:i/>
          <w:iCs/>
        </w:rPr>
        <w:t xml:space="preserve">”</w:t>
      </w:r>
    </w:p>
    <w:p>
      <w:pPr>
        <w:pStyle w:val="BodyText"/>
      </w:pPr>
      <w:r>
        <w:rPr>
          <w:b/>
          <w:bCs/>
        </w:rPr>
        <w:t xml:space="preserve">Action Required:</w:t>
      </w:r>
      <w:r>
        <w:t xml:space="preserve"> </w:t>
      </w:r>
      <w:r>
        <w:t xml:space="preserve">Commission an updated Phase II ESA and vapor intrusion assessment immediately. Do not close without current environmental data. Negotiate a specific environmental indemnity with an extended survival period (the LOI contemplates 6 years, which is appropriate) and consider a separate environmental escrow.</w:t>
      </w:r>
    </w:p>
    <w:p>
      <w:r>
        <w:pict>
          <v:rect style="width:0;height:1.5pt" o:hralign="center" o:hrstd="t" o:hr="t"/>
        </w:pict>
      </w:r>
    </w:p>
    <w:bookmarkEnd w:id="33"/>
    <w:bookmarkStart w:id="34" w:name="Xdd21065dfe0362cb2079f9bf22a61be8c1625c3"/>
    <w:p>
      <w:pPr>
        <w:pStyle w:val="Heading3"/>
      </w:pPr>
      <w:r>
        <w:t xml:space="preserve">RF-10 | HIGH | Pollution Legal Liability Policy Excludes Gradual Contamination at Owned Facilities</w:t>
      </w:r>
    </w:p>
    <w:p>
      <w:pPr>
        <w:pStyle w:val="FirstParagraph"/>
      </w:pPr>
      <w:r>
        <w:t xml:space="preserve">The Company’s Pollution Legal Liability (PLL) policy (FSI-PLL-2024-08873) contains a</w:t>
      </w:r>
      <w:r>
        <w:t xml:space="preserve"> </w:t>
      </w:r>
      <w:r>
        <w:rPr>
          <w:b/>
          <w:bCs/>
        </w:rPr>
        <w:t xml:space="preserve">blanket exclusion for gradual contamination at owned or operated facilities</w:t>
      </w:r>
      <w:r>
        <w:t xml:space="preserve"> </w:t>
      </w:r>
      <w:r>
        <w:t xml:space="preserve">— defined as any pollution condition that developed over a period exceeding 72 hours. The Grand Junction contamination is explicitly characterized in the Phase II ESA as resulting from</w:t>
      </w:r>
      <w:r>
        <w:t xml:space="preserve"> </w:t>
      </w:r>
      <w:r>
        <w:t xml:space="preserve">“</w:t>
      </w:r>
      <w:r>
        <w:t xml:space="preserve">gradual releases over extended periods of time — spanning multiple decades.</w:t>
      </w:r>
      <w:r>
        <w:t xml:space="preserve">”</w:t>
      </w:r>
      <w:r>
        <w:t xml:space="preserve"> </w:t>
      </w:r>
      <w:r>
        <w:t xml:space="preserve">This means the existing PLL policy provides</w:t>
      </w:r>
      <w:r>
        <w:t xml:space="preserve"> </w:t>
      </w:r>
      <w:r>
        <w:rPr>
          <w:b/>
          <w:bCs/>
        </w:rPr>
        <w:t xml:space="preserve">no coverage</w:t>
      </w:r>
      <w:r>
        <w:t xml:space="preserve"> </w:t>
      </w:r>
      <w:r>
        <w:t xml:space="preserve">for the Grand Junction remediation liability. The PLL policy’s $10M per-occurrence limit and $15M aggregate are therefore irrelevant to the Company’s most significant known environmental exposure. The Company’s only financial protection for the Grand Junction liability is the $3.2M balance sheet accrual, which may be inadequate.</w:t>
      </w:r>
    </w:p>
    <w:p>
      <w:pPr>
        <w:pStyle w:val="BodyText"/>
      </w:pPr>
      <w:r>
        <w:rPr>
          <w:b/>
          <w:bCs/>
        </w:rPr>
        <w:t xml:space="preserve">Action Required:</w:t>
      </w:r>
      <w:r>
        <w:t xml:space="preserve"> </w:t>
      </w:r>
      <w:r>
        <w:t xml:space="preserve">Confirm that the SPA environmental indemnity is not conditioned on insurance coverage. Evaluate whether a pollution legal liability tail policy or environmental cost cap insurance can be obtained to backstop the Grand Junction liability.</w:t>
      </w:r>
    </w:p>
    <w:p>
      <w:r>
        <w:pict>
          <v:rect style="width:0;height:1.5pt" o:hralign="center" o:hrstd="t" o:hr="t"/>
        </w:pict>
      </w:r>
    </w:p>
    <w:bookmarkEnd w:id="34"/>
    <w:bookmarkStart w:id="35" w:name="Xe2a8f3c53cc89dad7d6e12e7b6e0bccf4f882a4"/>
    <w:p>
      <w:pPr>
        <w:pStyle w:val="Heading3"/>
      </w:pPr>
      <w:r>
        <w:t xml:space="preserve">RF-11 | HIGH | Asbestos Abatement Long-Tail Exposure — Pre-2015 Work Uninsured; Two Open WC Claims</w:t>
      </w:r>
    </w:p>
    <w:p>
      <w:pPr>
        <w:pStyle w:val="FirstParagraph"/>
      </w:pPr>
      <w:r>
        <w:t xml:space="preserve">The Company operated an asbestos abatement service line from 2012 through September 30, 2023, performing work at approximately 145 commercial and industrial sites across Colorado, Utah, and Wyoming. The current PLL policy has a retroactive date of January 1, 2015, meaning</w:t>
      </w:r>
      <w:r>
        <w:t xml:space="preserve"> </w:t>
      </w:r>
      <w:r>
        <w:rPr>
          <w:b/>
          <w:bCs/>
        </w:rPr>
        <w:t xml:space="preserve">work performed from 2012 through 2014 is not covered</w:t>
      </w:r>
      <w:r>
        <w:t xml:space="preserve"> </w:t>
      </w:r>
      <w:r>
        <w:t xml:space="preserve">under the current policy. The QoE Service Line Detail tab discloses that</w:t>
      </w:r>
      <w:r>
        <w:t xml:space="preserve"> </w:t>
      </w:r>
      <w:r>
        <w:rPr>
          <w:b/>
          <w:bCs/>
        </w:rPr>
        <w:t xml:space="preserve">two workers’ compensation claims from former asbestos abatement employees remain open</w:t>
      </w:r>
      <w:r>
        <w:t xml:space="preserve"> </w:t>
      </w:r>
      <w:r>
        <w:t xml:space="preserve">(filed 2021 and 2022), alleging occupational respiratory exposure. The Litigation Summary characterizes future asbestos personal injury claims as</w:t>
      </w:r>
      <w:r>
        <w:t xml:space="preserve"> </w:t>
      </w:r>
      <w:r>
        <w:t xml:space="preserve">“</w:t>
      </w:r>
      <w:r>
        <w:t xml:space="preserve">Remote,</w:t>
      </w:r>
      <w:r>
        <w:t xml:space="preserve">”</w:t>
      </w:r>
      <w:r>
        <w:t xml:space="preserve"> </w:t>
      </w:r>
      <w:r>
        <w:t xml:space="preserve">but the Company generated approximately $31.2M in cumulative asbestos abatement revenue over 11 years, and long-tail asbestos claims can emerge decades after exposure. The CGL policy contains a blanket asbestos exclusion, and no tail coverage has been procured for completed operations.</w:t>
      </w:r>
    </w:p>
    <w:p>
      <w:pPr>
        <w:pStyle w:val="BodyText"/>
      </w:pPr>
      <w:r>
        <w:rPr>
          <w:b/>
          <w:bCs/>
        </w:rPr>
        <w:t xml:space="preserve">Action Required:</w:t>
      </w:r>
      <w:r>
        <w:t xml:space="preserve"> </w:t>
      </w:r>
      <w:r>
        <w:t xml:space="preserve">Obtain a full claims history for the asbestos service line. Evaluate whether an asbestos-specific tail policy can be obtained. Negotiate a specific asbestos indemnity in the SPA with an extended survival period. Confirm the status of the two open workers’ compensation claims.</w:t>
      </w:r>
    </w:p>
    <w:p>
      <w:r>
        <w:pict>
          <v:rect style="width:0;height:1.5pt" o:hralign="center" o:hrstd="t" o:hr="t"/>
        </w:pict>
      </w:r>
    </w:p>
    <w:bookmarkEnd w:id="35"/>
    <w:bookmarkEnd w:id="36"/>
    <w:bookmarkStart w:id="40" w:name="category-4-regulatory-permitting"/>
    <w:p>
      <w:pPr>
        <w:pStyle w:val="Heading2"/>
      </w:pPr>
      <w:r>
        <w:t xml:space="preserve">Category 4: Regulatory &amp; Permitting</w:t>
      </w:r>
    </w:p>
    <w:bookmarkStart w:id="37" w:name="X4cea23a3c4f090ce9ac030786389e17762ec54a"/>
    <w:p>
      <w:pPr>
        <w:pStyle w:val="Heading3"/>
      </w:pPr>
      <w:r>
        <w:t xml:space="preserve">RF-12 | HIGH | CDPHE Enforcement Action — Active NOV; No Accrual; Penalty Up to $1.16M</w:t>
      </w:r>
    </w:p>
    <w:p>
      <w:pPr>
        <w:pStyle w:val="FirstParagraph"/>
      </w:pPr>
      <w:r>
        <w:t xml:space="preserve">The Colorado Department of Public Health and Environment issued a Notice of Violation (Docket No. CDPHE-HW-2024-0093) on July 18, 2024, alleging improper storage of approximately 14,000 gallons of listed hazardous waste (F001/F002 spent solvents) at the Grand Junction facility in violation of RCRA Part B Permit No. COD-098-2761. The parties dispute the violation period: the Company asserts 12 days (maximum penalty $450,000); CDPHE asserts 31 days (maximum penalty $1,162,500).</w:t>
      </w:r>
      <w:r>
        <w:t xml:space="preserve"> </w:t>
      </w:r>
      <w:r>
        <w:rPr>
          <w:b/>
          <w:bCs/>
        </w:rPr>
        <w:t xml:space="preserve">No accrual has been recorded</w:t>
      </w:r>
      <w:r>
        <w:t xml:space="preserve"> </w:t>
      </w:r>
      <w:r>
        <w:t xml:space="preserve">on the Company’s balance sheet as of September 30, 2024. A settlement conference is expected in Q1 2025 — within the proposed closing window. The RCRA Part B permit is the Company’s most critical operating license; any permit condition or suspension arising from this enforcement action could trigger an Event of Default under the credit agreement and jeopardize operations.</w:t>
      </w:r>
    </w:p>
    <w:p>
      <w:pPr>
        <w:pStyle w:val="BodyText"/>
      </w:pPr>
      <w:r>
        <w:rPr>
          <w:b/>
          <w:bCs/>
        </w:rPr>
        <w:t xml:space="preserve">Action Required:</w:t>
      </w:r>
      <w:r>
        <w:t xml:space="preserve"> </w:t>
      </w:r>
      <w:r>
        <w:t xml:space="preserve">Require resolution of the CDPHE enforcement action before closing, or negotiate a specific indemnity with a separate escrow. Confirm that the enforcement action has not triggered any permit condition or show-cause proceeding. Accrue the full management-estimated exposure ($200K–$450K) in the closing balance sheet.</w:t>
      </w:r>
    </w:p>
    <w:p>
      <w:r>
        <w:pict>
          <v:rect style="width:0;height:1.5pt" o:hralign="center" o:hrstd="t" o:hr="t"/>
        </w:pict>
      </w:r>
    </w:p>
    <w:bookmarkEnd w:id="37"/>
    <w:bookmarkStart w:id="38" w:name="X20b2f145bc9672f84d921d8ab399a005a2754ad"/>
    <w:p>
      <w:pPr>
        <w:pStyle w:val="Heading3"/>
      </w:pPr>
      <w:r>
        <w:t xml:space="preserve">RF-13 | HIGH | Wyoming Permit Expired — Operating Under Timely Renewal Provisions</w:t>
      </w:r>
    </w:p>
    <w:p>
      <w:pPr>
        <w:pStyle w:val="FirstParagraph"/>
      </w:pPr>
      <w:r>
        <w:t xml:space="preserve">The Wyoming DEQ Hazardous Waste Management Permit (WY-HW-2019-033) for the Casper facility</w:t>
      </w:r>
      <w:r>
        <w:t xml:space="preserve"> </w:t>
      </w:r>
      <w:r>
        <w:rPr>
          <w:b/>
          <w:bCs/>
        </w:rPr>
        <w:t xml:space="preserve">expired on November 30, 2024</w:t>
      </w:r>
      <w:r>
        <w:t xml:space="preserve">. The Company filed a timely renewal application on October 15, 2024, and is currently operating under Wyoming’s timely renewal provisions. While timely renewal provisions are a recognized legal mechanism, operating under an expired permit creates regulatory risk: if the renewal is denied or conditioned, or if the Wyoming DEQ determines the renewal application was incomplete, the Company could be required to cease hazardous waste operations at the Casper facility. The Casper facility employs approximately 68 employees and serves as the primary hub for Wyoming operations, including oil and gas customers representing approximately 23.7% of revenue.</w:t>
      </w:r>
    </w:p>
    <w:p>
      <w:pPr>
        <w:pStyle w:val="BodyText"/>
      </w:pPr>
      <w:r>
        <w:rPr>
          <w:b/>
          <w:bCs/>
        </w:rPr>
        <w:t xml:space="preserve">Action Required:</w:t>
      </w:r>
      <w:r>
        <w:t xml:space="preserve"> </w:t>
      </w:r>
      <w:r>
        <w:t xml:space="preserve">Obtain written confirmation from Wyoming DEQ regarding the status and expected timeline of the renewal. Make permit renewal a closing condition or obtain a specific indemnity for any costs arising from permit non-renewal.</w:t>
      </w:r>
    </w:p>
    <w:p>
      <w:r>
        <w:pict>
          <v:rect style="width:0;height:1.5pt" o:hralign="center" o:hrstd="t" o:hr="t"/>
        </w:pict>
      </w:r>
    </w:p>
    <w:bookmarkEnd w:id="38"/>
    <w:bookmarkStart w:id="39" w:name="Xf02b0e1c31413a8d7606ab5336bed1e2d744880"/>
    <w:p>
      <w:pPr>
        <w:pStyle w:val="Heading3"/>
      </w:pPr>
      <w:r>
        <w:t xml:space="preserve">RF-14 | HIGH | Utah Salt Lake City Permit — Transfer Pending Since April 2022; 2.5 Years Unresolved</w:t>
      </w:r>
    </w:p>
    <w:p>
      <w:pPr>
        <w:pStyle w:val="FirstParagraph"/>
      </w:pPr>
      <w:r>
        <w:t xml:space="preserve">The Utah Division of Waste Management Permit (UTH-0441) for the Salt Lake City transfer station was originally issued to Pinnacle Waste Solutions, LLC and</w:t>
      </w:r>
      <w:r>
        <w:t xml:space="preserve"> </w:t>
      </w:r>
      <w:r>
        <w:rPr>
          <w:b/>
          <w:bCs/>
        </w:rPr>
        <w:t xml:space="preserve">has not been transferred to RES despite the Pinnacle acquisition closing in March 2022 — over 2.5 years ago.</w:t>
      </w:r>
      <w:r>
        <w:t xml:space="preserve"> </w:t>
      </w:r>
      <w:r>
        <w:t xml:space="preserve">The facility is currently operated by RES personnel under Pinnacle’s permit. Under Utah Administrative Code R315-3, permit modifications reflecting changes in ownership or operational control require Division approval prior to becoming effective. The Company is operating the facility in a manner that may not be fully compliant with the permit’s ownership requirements. The Salt Lake City facility serves approximately $16.2M (12.7%) of annual revenue, including Wasatch Front Petroleum ($6.4M), Silver Creek Mining ($5.8M), Utah DEQ ($4.6M partial), and others. The proposed Sycamore acquisition would layer a second change-of-control event on top of the unresolved Pinnacle-to-RES transfer.</w:t>
      </w:r>
    </w:p>
    <w:p>
      <w:pPr>
        <w:pStyle w:val="BodyText"/>
      </w:pPr>
      <w:r>
        <w:rPr>
          <w:b/>
          <w:bCs/>
        </w:rPr>
        <w:t xml:space="preserve">Action Required:</w:t>
      </w:r>
      <w:r>
        <w:t xml:space="preserve"> </w:t>
      </w:r>
      <w:r>
        <w:t xml:space="preserve">Require completion of the Utah permit transfer as a closing condition. Engage Utah Division of Waste Management to confirm that current operations are compliant and that the pending transfer will not be jeopardized by the proposed transaction.</w:t>
      </w:r>
    </w:p>
    <w:p>
      <w:r>
        <w:pict>
          <v:rect style="width:0;height:1.5pt" o:hralign="center" o:hrstd="t" o:hr="t"/>
        </w:pict>
      </w:r>
    </w:p>
    <w:bookmarkEnd w:id="39"/>
    <w:bookmarkEnd w:id="40"/>
    <w:bookmarkStart w:id="44" w:name="category-5-debt-change-of-control"/>
    <w:p>
      <w:pPr>
        <w:pStyle w:val="Heading2"/>
      </w:pPr>
      <w:r>
        <w:t xml:space="preserve">Category 5: Debt &amp; Change-of-Control</w:t>
      </w:r>
    </w:p>
    <w:bookmarkStart w:id="41" w:name="X76ba4e4a52453d28590630f6ed2911695ecfc44"/>
    <w:p>
      <w:pPr>
        <w:pStyle w:val="Heading3"/>
      </w:pPr>
      <w:r>
        <w:t xml:space="preserve">RF-15 | CRITICAL | Credit Agreement Change-of-Control — Mandatory Prepayment of $38.7M+ Within 5 Business Days</w:t>
      </w:r>
    </w:p>
    <w:p>
      <w:pPr>
        <w:pStyle w:val="FirstParagraph"/>
      </w:pPr>
      <w:r>
        <w:t xml:space="preserve">The Company’s Senior Secured Credit Agreement with High Plains National Bank contains a Change of Control provision that is triggered by the proposed 100% stock acquisition. Upon a Change of Control, the Borrower must prepay</w:t>
      </w:r>
      <w:r>
        <w:t xml:space="preserve"> </w:t>
      </w:r>
      <w:r>
        <w:rPr>
          <w:b/>
          <w:bCs/>
        </w:rPr>
        <w:t xml:space="preserve">all outstanding obligations within five (5) business days</w:t>
      </w:r>
      <w:r>
        <w:t xml:space="preserve"> </w:t>
      </w:r>
      <w:r>
        <w:t xml:space="preserve">— including $12.4M under the revolving facility, $26.3M under the term loan, a prepayment premium of approximately $263,000 (1.0% of term loan principal, applicable through January 16, 2026), and accrued interest. Total estimated mandatory prepayment is approximately</w:t>
      </w:r>
      <w:r>
        <w:t xml:space="preserve"> </w:t>
      </w:r>
      <w:r>
        <w:rPr>
          <w:b/>
          <w:bCs/>
        </w:rPr>
        <w:t xml:space="preserve">$39.2M</w:t>
      </w:r>
      <w:r>
        <w:t xml:space="preserve">. The Credit Agreement provides</w:t>
      </w:r>
      <w:r>
        <w:t xml:space="preserve"> </w:t>
      </w:r>
      <w:r>
        <w:rPr>
          <w:b/>
          <w:bCs/>
        </w:rPr>
        <w:t xml:space="preserve">no waiver or consent mechanism</w:t>
      </w:r>
      <w:r>
        <w:t xml:space="preserve"> </w:t>
      </w:r>
      <w:r>
        <w:t xml:space="preserve">— the only alternatives are a payoff letter or refinancing. The LOI acknowledges this and makes it a closing condition. However, the five-business-day prepayment window creates a tight operational constraint, and the term loan’s interest-only period expires January 17, 2025, after which quarterly amortization of $657,500 commences, reducing the outstanding balance at closing.</w:t>
      </w:r>
    </w:p>
    <w:p>
      <w:pPr>
        <w:pStyle w:val="BodyText"/>
      </w:pPr>
      <w:r>
        <w:rPr>
          <w:b/>
          <w:bCs/>
        </w:rPr>
        <w:t xml:space="preserve">Action Required:</w:t>
      </w:r>
      <w:r>
        <w:t xml:space="preserve"> </w:t>
      </w:r>
      <w:r>
        <w:t xml:space="preserve">Arrange acquisition financing that includes sufficient proceeds to repay the credit facility at closing. Obtain a payoff letter from High Plains National Bank well in advance of closing. Confirm that the prepayment premium is included in the Net Debt adjustment under the LOI.</w:t>
      </w:r>
    </w:p>
    <w:p>
      <w:r>
        <w:pict>
          <v:rect style="width:0;height:1.5pt" o:hralign="center" o:hrstd="t" o:hr="t"/>
        </w:pict>
      </w:r>
    </w:p>
    <w:bookmarkEnd w:id="41"/>
    <w:bookmarkStart w:id="42" w:name="Xfe1cc24f345ff8d3fc51292a3b00fabe2562e40"/>
    <w:p>
      <w:pPr>
        <w:pStyle w:val="Heading3"/>
      </w:pPr>
      <w:r>
        <w:t xml:space="preserve">RF-16 | CRITICAL | Credit Agreement — Bank EBITDA Definition Excludes $5.4M of Management Add-Backs</w:t>
      </w:r>
    </w:p>
    <w:p>
      <w:pPr>
        <w:pStyle w:val="FirstParagraph"/>
      </w:pPr>
      <w:r>
        <w:t xml:space="preserve">The Credit Agreement’s definition of Consolidated EBITDA expressly excludes all five categories of management’s EBITDA add-backs: litigation settlements, owner compensation normalization, ERP implementation costs, acquisition integration costs, and discontinued service line wind-down costs. The Credit Agreement caps non-recurring add-backs at $500,000 per fiscal year. As a result,</w:t>
      </w:r>
      <w:r>
        <w:t xml:space="preserve"> </w:t>
      </w:r>
      <w:r>
        <w:rPr>
          <w:b/>
          <w:bCs/>
        </w:rPr>
        <w:t xml:space="preserve">bank Consolidated EBITDA is approximately $18.4M</w:t>
      </w:r>
      <w:r>
        <w:t xml:space="preserve"> </w:t>
      </w:r>
      <w:r>
        <w:t xml:space="preserve">— not $22.8M or $23.8M as presented by management. The current leverage ratio under the bank definition is 2.10x ($38.7M / $18.4M), not 1.70x as stated in the CIM. While 2.10x is within the 3.50x covenant maximum, the gap between management’s and the bank’s EBITDA definitions is material to the Buyer’s assessment of the business’s true earnings power and to any acquisition financing underwriting.</w:t>
      </w:r>
    </w:p>
    <w:p>
      <w:pPr>
        <w:pStyle w:val="BodyText"/>
      </w:pPr>
      <w:r>
        <w:rPr>
          <w:b/>
          <w:bCs/>
        </w:rPr>
        <w:t xml:space="preserve">Action Required:</w:t>
      </w:r>
      <w:r>
        <w:t xml:space="preserve"> </w:t>
      </w:r>
      <w:r>
        <w:t xml:space="preserve">Ensure acquisition financing is underwritten on a bank-definition EBITDA basis. Confirm covenant compliance through the closing date. Assess whether any of the management add-backs would be accepted by the acquisition lender.</w:t>
      </w:r>
    </w:p>
    <w:p>
      <w:r>
        <w:pict>
          <v:rect style="width:0;height:1.5pt" o:hralign="center" o:hrstd="t" o:hr="t"/>
        </w:pict>
      </w:r>
    </w:p>
    <w:bookmarkEnd w:id="42"/>
    <w:bookmarkStart w:id="43" w:name="Xe9c50c4d1b2f1bd57870355028fcab4e20144ba"/>
    <w:p>
      <w:pPr>
        <w:pStyle w:val="Heading3"/>
      </w:pPr>
      <w:r>
        <w:t xml:space="preserve">RF-17 | CRITICAL | Single-Trigger Change-of-Control Severance — $2.625M Payable at Closing Regardless of Employment</w:t>
      </w:r>
    </w:p>
    <w:p>
      <w:pPr>
        <w:pStyle w:val="FirstParagraph"/>
      </w:pPr>
      <w:r>
        <w:t xml:space="preserve">The employment agreements of Derek Calloway (CEO) and Jason Calloway (COO) each contain</w:t>
      </w:r>
      <w:r>
        <w:t xml:space="preserve"> </w:t>
      </w:r>
      <w:r>
        <w:rPr>
          <w:b/>
          <w:bCs/>
        </w:rPr>
        <w:t xml:space="preserve">single-trigger change-of-control severance provisions</w:t>
      </w:r>
      <w:r>
        <w:t xml:space="preserve"> </w:t>
      </w:r>
      <w:r>
        <w:t xml:space="preserve">of 1.5x base salary ($1,312,500 each, $2,625,000 combined), payable within 30 days of closing regardless of whether their employment continues, is modified, or is terminated post-closing. This is an unconditional cash obligation triggered by the closing itself. The aggregate change-of-control severance across all five executives is $3,775,000, of which $2,625,000 is certain at closing. The LOI does not address whether these amounts are treated as Transaction Expenses (reducing the purchase price) or as buyer-borne costs. If treated as Transaction Expenses, the effective purchase price is reduced by $2.625M–$3.775M.</w:t>
      </w:r>
    </w:p>
    <w:p>
      <w:pPr>
        <w:pStyle w:val="BodyText"/>
      </w:pPr>
      <w:r>
        <w:rPr>
          <w:b/>
          <w:bCs/>
        </w:rPr>
        <w:t xml:space="preserve">Action Required:</w:t>
      </w:r>
      <w:r>
        <w:t xml:space="preserve"> </w:t>
      </w:r>
      <w:r>
        <w:t xml:space="preserve">Confirm treatment of CoC severance in the SPA purchase price mechanism. Negotiate with the Calloways to convert single-trigger provisions to double-trigger in exchange for retention incentives, reducing the certain cash outflow at closing. Confirm that the $3.775M is included in the closing statement.</w:t>
      </w:r>
    </w:p>
    <w:p>
      <w:r>
        <w:pict>
          <v:rect style="width:0;height:1.5pt" o:hralign="center" o:hrstd="t" o:hr="t"/>
        </w:pict>
      </w:r>
    </w:p>
    <w:bookmarkEnd w:id="43"/>
    <w:bookmarkEnd w:id="44"/>
    <w:bookmarkStart w:id="47" w:name="category-6-labor-human-capital"/>
    <w:p>
      <w:pPr>
        <w:pStyle w:val="Heading2"/>
      </w:pPr>
      <w:r>
        <w:t xml:space="preserve">Category 6: Labor &amp; Human Capital</w:t>
      </w:r>
    </w:p>
    <w:bookmarkStart w:id="45" w:name="Xde3435a3fae2f836640892a0c06356b3dfa3b5e"/>
    <w:p>
      <w:pPr>
        <w:pStyle w:val="Heading3"/>
      </w:pPr>
      <w:r>
        <w:t xml:space="preserve">RF-18 | HIGH | NLRB Unionization Petition — 62 Field Technicians at Grand Junction and Casper</w:t>
      </w:r>
    </w:p>
    <w:p>
      <w:pPr>
        <w:pStyle w:val="FirstParagraph"/>
      </w:pPr>
      <w:r>
        <w:t xml:space="preserve">A footnote in the Employee Benefits Summary discloses that on</w:t>
      </w:r>
      <w:r>
        <w:t xml:space="preserve"> </w:t>
      </w:r>
      <w:r>
        <w:rPr>
          <w:b/>
          <w:bCs/>
        </w:rPr>
        <w:t xml:space="preserve">November 4, 2024</w:t>
      </w:r>
      <w:r>
        <w:t xml:space="preserve">, the International Brotherhood of Teamsters Local 455 filed an NLRB election petition covering</w:t>
      </w:r>
      <w:r>
        <w:t xml:space="preserve"> </w:t>
      </w:r>
      <w:r>
        <w:rPr>
          <w:b/>
          <w:bCs/>
        </w:rPr>
        <w:t xml:space="preserve">62 field technicians at the Grand Junction and Casper facilities</w:t>
      </w:r>
      <w:r>
        <w:t xml:space="preserve"> </w:t>
      </w:r>
      <w:r>
        <w:t xml:space="preserve">— the Company’s two largest operational hubs. This is a material development that is disclosed only in a footnote and is not mentioned in the CIM. If the union election succeeds, the Company would be required to bargain collectively with the Teamsters, potentially resulting in higher labor costs, reduced operational flexibility, and disruption to the Company’s non-unionized culture. The Company’s credit agreement identifies a material labor dispute lasting more than 10 business days as an Event of Default. The CIM’s representation that the workforce is</w:t>
      </w:r>
      <w:r>
        <w:t xml:space="preserve"> </w:t>
      </w:r>
      <w:r>
        <w:t xml:space="preserve">“</w:t>
      </w:r>
      <w:r>
        <w:t xml:space="preserve">entirely non-unionized</w:t>
      </w:r>
      <w:r>
        <w:t xml:space="preserve">”</w:t>
      </w:r>
      <w:r>
        <w:t xml:space="preserve"> </w:t>
      </w:r>
      <w:r>
        <w:t xml:space="preserve">and that management</w:t>
      </w:r>
      <w:r>
        <w:t xml:space="preserve"> </w:t>
      </w:r>
      <w:r>
        <w:t xml:space="preserve">“</w:t>
      </w:r>
      <w:r>
        <w:t xml:space="preserve">maintains positive and productive relations with employees</w:t>
      </w:r>
      <w:r>
        <w:t xml:space="preserve">”</w:t>
      </w:r>
      <w:r>
        <w:t xml:space="preserve"> </w:t>
      </w:r>
      <w:r>
        <w:t xml:space="preserve">is materially incomplete given this development.</w:t>
      </w:r>
    </w:p>
    <w:p>
      <w:pPr>
        <w:pStyle w:val="BodyText"/>
      </w:pPr>
      <w:r>
        <w:rPr>
          <w:b/>
          <w:bCs/>
        </w:rPr>
        <w:t xml:space="preserve">Action Required:</w:t>
      </w:r>
      <w:r>
        <w:t xml:space="preserve"> </w:t>
      </w:r>
      <w:r>
        <w:t xml:space="preserve">Obtain a full briefing from management and labor counsel on the status of the NLRB petition. Assess the likelihood of a successful union election. Evaluate the financial impact of potential collective bargaining. Consider whether the NLRB petition constitutes a Material Adverse Change under the LOI.</w:t>
      </w:r>
    </w:p>
    <w:p>
      <w:r>
        <w:pict>
          <v:rect style="width:0;height:1.5pt" o:hralign="center" o:hrstd="t" o:hr="t"/>
        </w:pict>
      </w:r>
    </w:p>
    <w:bookmarkEnd w:id="45"/>
    <w:bookmarkStart w:id="46" w:name="X835365d6f5c646d6d8e2e00545dc031264c928b"/>
    <w:p>
      <w:pPr>
        <w:pStyle w:val="Heading3"/>
      </w:pPr>
      <w:r>
        <w:t xml:space="preserve">RF-19 | MEDIUM | Former Employee Wage Claim — FLSA Overtime Exposure; $330K Claimed</w:t>
      </w:r>
    </w:p>
    <w:p>
      <w:pPr>
        <w:pStyle w:val="FirstParagraph"/>
      </w:pPr>
      <w:r>
        <w:t xml:space="preserve">In October 2024, RES received a demand letter from counsel representing approximately eight former field technicians terminated in connection with the asbestos abatement wind-down, alleging unpaid overtime in violation of the FLSA and Colorado COMPS Order. The demand claims approximately $165,000 in unpaid wages plus $165,000 in FLSA liquidated damages, for a total claimed exposure of approximately $330,000. No lawsuit has been filed. Management estimates exposure at $100,000–$200,000 and has not accrued any amount. While the dollar amount is not individually material, the claim raises questions about the Company’s wage and hour compliance practices more broadly, particularly given the large field workforce.</w:t>
      </w:r>
    </w:p>
    <w:p>
      <w:pPr>
        <w:pStyle w:val="BodyText"/>
      </w:pPr>
      <w:r>
        <w:rPr>
          <w:b/>
          <w:bCs/>
        </w:rPr>
        <w:t xml:space="preserve">Action Required:</w:t>
      </w:r>
      <w:r>
        <w:t xml:space="preserve"> </w:t>
      </w:r>
      <w:r>
        <w:t xml:space="preserve">Obtain a full review of the Company’s wage and hour classification practices across all field personnel. Confirm that the motor carrier exemption defense is well-supported. Require management to accrue the estimated exposure in the closing balance sheet.</w:t>
      </w:r>
    </w:p>
    <w:p>
      <w:r>
        <w:pict>
          <v:rect style="width:0;height:1.5pt" o:hralign="center" o:hrstd="t" o:hr="t"/>
        </w:pict>
      </w:r>
    </w:p>
    <w:bookmarkEnd w:id="46"/>
    <w:bookmarkEnd w:id="47"/>
    <w:bookmarkStart w:id="49" w:name="category-7-real-property-lease"/>
    <w:p>
      <w:pPr>
        <w:pStyle w:val="Heading2"/>
      </w:pPr>
      <w:r>
        <w:t xml:space="preserve">Category 7: Real Property &amp; Lease</w:t>
      </w:r>
    </w:p>
    <w:bookmarkStart w:id="48" w:name="X1f39d9456908fe775d987f0d4091cab6797a177"/>
    <w:p>
      <w:pPr>
        <w:pStyle w:val="Heading3"/>
      </w:pPr>
      <w:r>
        <w:t xml:space="preserve">RF-20 | HIGH | Salt Lake City Lease — Dual Assignment Default; Landlord Inquiry Received November 2024</w:t>
      </w:r>
    </w:p>
    <w:p>
      <w:pPr>
        <w:pStyle w:val="FirstParagraph"/>
      </w:pPr>
      <w:r>
        <w:t xml:space="preserve">The Salt Lake City transfer station lease (2100 West North Temple, Salt Lake City, UT 84116) presents a compounded assignment problem. The lease was originally executed by Pinnacle Waste Solutions, LLC. Following the March 2022 Pinnacle acquisition, RES submitted an assignment consent request to landlord Wasatch Industrial Properties, LLC on April 12, 2022.</w:t>
      </w:r>
      <w:r>
        <w:t xml:space="preserve"> </w:t>
      </w:r>
      <w:r>
        <w:rPr>
          <w:b/>
          <w:bCs/>
        </w:rPr>
        <w:t xml:space="preserve">As of December 2024 — 2.5 years later — no written consent has been received.</w:t>
      </w:r>
      <w:r>
        <w:t xml:space="preserve"> </w:t>
      </w:r>
      <w:r>
        <w:t xml:space="preserve">In November 2024, the landlord sent correspondence specifically inquiring about the current tenant of record and referencing the consent-to-assignment clause, suggesting the landlord is aware of and may be scrutinizing the unresolved assignment. The proposed Sycamore acquisition would constitute a second change-of-control event under the lease’s explicit change-of-control provision, requiring a separate consent. The facility serves approximately $16.2M (12.7%) of annual revenue and houses the Utah hazardous waste permit (UTH-0441) that has also not been transferred. Loss of this facility would be operationally and financially devastating.</w:t>
      </w:r>
    </w:p>
    <w:p>
      <w:pPr>
        <w:pStyle w:val="BodyText"/>
      </w:pPr>
      <w:r>
        <w:rPr>
          <w:b/>
          <w:bCs/>
        </w:rPr>
        <w:t xml:space="preserve">Action Required:</w:t>
      </w:r>
      <w:r>
        <w:t xml:space="preserve"> </w:t>
      </w:r>
      <w:r>
        <w:t xml:space="preserve">Engage Wasatch Industrial Properties, LLC immediately to obtain written consent to both the existing Pinnacle-to-RES assignment and the proposed Sycamore acquisition. Make landlord consent a hard closing condition. Simultaneously advance the Utah permit transfer. Assess whether the landlord’s November 2024 inquiry constitutes a notice of default or reservation of rights.</w:t>
      </w:r>
    </w:p>
    <w:p>
      <w:r>
        <w:pict>
          <v:rect style="width:0;height:1.5pt" o:hralign="center" o:hrstd="t" o:hr="t"/>
        </w:pict>
      </w:r>
    </w:p>
    <w:bookmarkEnd w:id="48"/>
    <w:bookmarkEnd w:id="49"/>
    <w:bookmarkStart w:id="51" w:name="category-8-insurance-gaps"/>
    <w:p>
      <w:pPr>
        <w:pStyle w:val="Heading2"/>
      </w:pPr>
      <w:r>
        <w:t xml:space="preserve">Category 8: Insurance Gaps</w:t>
      </w:r>
    </w:p>
    <w:bookmarkStart w:id="50" w:name="X7f1bd04d5b39ff5cd5c9731d799a8f9a562c44a"/>
    <w:p>
      <w:pPr>
        <w:pStyle w:val="Heading3"/>
      </w:pPr>
      <w:r>
        <w:t xml:space="preserve">RF-21 | MEDIUM | Claims-Made PLL Policy — Tail Coverage Risk at Change of Control</w:t>
      </w:r>
    </w:p>
    <w:p>
      <w:pPr>
        <w:pStyle w:val="FirstParagraph"/>
      </w:pPr>
      <w:r>
        <w:t xml:space="preserve">The Company’s Pollution Legal Liability policy (FSI-PLL-2024-08873) is written on a</w:t>
      </w:r>
      <w:r>
        <w:t xml:space="preserve"> </w:t>
      </w:r>
      <w:r>
        <w:rPr>
          <w:b/>
          <w:bCs/>
        </w:rPr>
        <w:t xml:space="preserve">claims-made basis</w:t>
      </w:r>
      <w:r>
        <w:t xml:space="preserve"> </w:t>
      </w:r>
      <w:r>
        <w:t xml:space="preserve">with a retroactive date of January 1, 2015. A change of control may affect the Named Insured’s ability to report claims after the transaction closes. The insurer (Frontier Specialty Insurance Group) has noted that early consultation is</w:t>
      </w:r>
      <w:r>
        <w:t xml:space="preserve"> </w:t>
      </w:r>
      <w:r>
        <w:t xml:space="preserve">“</w:t>
      </w:r>
      <w:r>
        <w:t xml:space="preserve">strongly recommended</w:t>
      </w:r>
      <w:r>
        <w:t xml:space="preserve">”</w:t>
      </w:r>
      <w:r>
        <w:t xml:space="preserve"> </w:t>
      </w:r>
      <w:r>
        <w:t xml:space="preserve">in connection with any contemplated transaction to evaluate the impact on the claims-made coverage structure. An extended reporting period (tail) is available at 150% of the expiring annual premium for a 36-month extension. If tail coverage is not procured at or before closing, pollution claims arising from pre-closing operations may be uninsurable post-closing. Additionally, the Ramirez personal injury claim (Case No. 2:24-cv-00187) has been tendered under both the CGL and PLL policies, and the insurer has issued a</w:t>
      </w:r>
      <w:r>
        <w:t xml:space="preserve"> </w:t>
      </w:r>
      <w:r>
        <w:rPr>
          <w:b/>
          <w:bCs/>
        </w:rPr>
        <w:t xml:space="preserve">reservation of rights letter</w:t>
      </w:r>
      <w:r>
        <w:t xml:space="preserve"> </w:t>
      </w:r>
      <w:r>
        <w:t xml:space="preserve">— meaning coverage for this $4.8M claim is not confirmed.</w:t>
      </w:r>
    </w:p>
    <w:p>
      <w:pPr>
        <w:pStyle w:val="BodyText"/>
      </w:pPr>
      <w:r>
        <w:rPr>
          <w:b/>
          <w:bCs/>
        </w:rPr>
        <w:t xml:space="preserve">Action Required:</w:t>
      </w:r>
      <w:r>
        <w:t xml:space="preserve"> </w:t>
      </w:r>
      <w:r>
        <w:t xml:space="preserve">Require the Company to procure PLL tail coverage at or before closing, with the cost treated as a Transaction Expense. Obtain a coverage determination from Frontier on the Ramirez claim before closing. Confirm that the Buyer’s acquisition financing lender is satisfied with the post-closing insurance program.</w:t>
      </w:r>
    </w:p>
    <w:p>
      <w:r>
        <w:pict>
          <v:rect style="width:0;height:1.5pt" o:hralign="center" o:hrstd="t" o:hr="t"/>
        </w:pict>
      </w:r>
    </w:p>
    <w:bookmarkEnd w:id="50"/>
    <w:bookmarkEnd w:id="51"/>
    <w:bookmarkStart w:id="52" w:name="consolidated-risk-matrix"/>
    <w:p>
      <w:pPr>
        <w:pStyle w:val="Heading2"/>
      </w:pPr>
      <w:r>
        <w:t xml:space="preserve">Consolidated Risk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Red Flag</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Est. Financial Exposure</w:t>
            </w:r>
          </w:p>
        </w:tc>
        <w:tc>
          <w:tcPr/>
          <w:p>
            <w:pPr>
              <w:pStyle w:val="Compact"/>
              <w:jc w:val="left"/>
            </w:pPr>
            <w:r>
              <w:t xml:space="preserve">Status</w:t>
            </w:r>
          </w:p>
        </w:tc>
      </w:tr>
      <w:tr>
        <w:tc>
          <w:tcPr/>
          <w:p>
            <w:pPr>
              <w:pStyle w:val="Compact"/>
              <w:jc w:val="left"/>
            </w:pPr>
            <w:r>
              <w:t xml:space="preserve">RF-01</w:t>
            </w:r>
          </w:p>
        </w:tc>
        <w:tc>
          <w:tcPr/>
          <w:p>
            <w:pPr>
              <w:pStyle w:val="Compact"/>
              <w:jc w:val="left"/>
            </w:pPr>
            <w:r>
              <w:t xml:space="preserve">EBITDA discrepancy ($1.0M unexplained)</w:t>
            </w:r>
          </w:p>
        </w:tc>
        <w:tc>
          <w:tcPr/>
          <w:p>
            <w:pPr>
              <w:pStyle w:val="Compact"/>
              <w:jc w:val="left"/>
            </w:pPr>
            <w:r>
              <w:t xml:space="preserve">Financial</w:t>
            </w:r>
          </w:p>
        </w:tc>
        <w:tc>
          <w:tcPr/>
          <w:p>
            <w:pPr>
              <w:pStyle w:val="Compact"/>
              <w:jc w:val="left"/>
            </w:pPr>
            <w:r>
              <w:t xml:space="preserve">CRITICAL</w:t>
            </w:r>
          </w:p>
        </w:tc>
        <w:tc>
          <w:tcPr/>
          <w:p>
            <w:pPr>
              <w:pStyle w:val="Compact"/>
              <w:jc w:val="left"/>
            </w:pPr>
            <w:r>
              <w:t xml:space="preserve">$8–9M EV impact</w:t>
            </w:r>
          </w:p>
        </w:tc>
        <w:tc>
          <w:tcPr/>
          <w:p>
            <w:pPr>
              <w:pStyle w:val="Compact"/>
              <w:jc w:val="left"/>
            </w:pPr>
            <w:r>
              <w:t xml:space="preserve">Unresolved</w:t>
            </w:r>
          </w:p>
        </w:tc>
      </w:tr>
      <w:tr>
        <w:tc>
          <w:tcPr/>
          <w:p>
            <w:pPr>
              <w:pStyle w:val="Compact"/>
              <w:jc w:val="left"/>
            </w:pPr>
            <w:r>
              <w:t xml:space="preserve">RF-02</w:t>
            </w:r>
          </w:p>
        </w:tc>
        <w:tc>
          <w:tcPr/>
          <w:p>
            <w:pPr>
              <w:pStyle w:val="Compact"/>
              <w:jc w:val="left"/>
            </w:pPr>
            <w:r>
              <w:t xml:space="preserve">Aggressive add-back package ($5.4M)</w:t>
            </w:r>
          </w:p>
        </w:tc>
        <w:tc>
          <w:tcPr/>
          <w:p>
            <w:pPr>
              <w:pStyle w:val="Compact"/>
              <w:jc w:val="left"/>
            </w:pPr>
            <w:r>
              <w:t xml:space="preserve">Financial</w:t>
            </w:r>
          </w:p>
        </w:tc>
        <w:tc>
          <w:tcPr/>
          <w:p>
            <w:pPr>
              <w:pStyle w:val="Compact"/>
              <w:jc w:val="left"/>
            </w:pPr>
            <w:r>
              <w:t xml:space="preserve">HIGH</w:t>
            </w:r>
          </w:p>
        </w:tc>
        <w:tc>
          <w:tcPr/>
          <w:p>
            <w:pPr>
              <w:pStyle w:val="Compact"/>
              <w:jc w:val="left"/>
            </w:pPr>
            <w:r>
              <w:t xml:space="preserve">$5.4M EBITDA at risk</w:t>
            </w:r>
          </w:p>
        </w:tc>
        <w:tc>
          <w:tcPr/>
          <w:p>
            <w:pPr>
              <w:pStyle w:val="Compact"/>
              <w:jc w:val="left"/>
            </w:pPr>
            <w:r>
              <w:t xml:space="preserve">Unresolved</w:t>
            </w:r>
          </w:p>
        </w:tc>
      </w:tr>
      <w:tr>
        <w:tc>
          <w:tcPr/>
          <w:p>
            <w:pPr>
              <w:pStyle w:val="Compact"/>
              <w:jc w:val="left"/>
            </w:pPr>
            <w:r>
              <w:t xml:space="preserve">RF-03</w:t>
            </w:r>
          </w:p>
        </w:tc>
        <w:tc>
          <w:tcPr/>
          <w:p>
            <w:pPr>
              <w:pStyle w:val="Compact"/>
              <w:jc w:val="left"/>
            </w:pPr>
            <w:r>
              <w:t xml:space="preserve">Reported EBITDA declined 27% YoY</w:t>
            </w:r>
          </w:p>
        </w:tc>
        <w:tc>
          <w:tcPr/>
          <w:p>
            <w:pPr>
              <w:pStyle w:val="Compact"/>
              <w:jc w:val="left"/>
            </w:pPr>
            <w:r>
              <w:t xml:space="preserve">Financial</w:t>
            </w:r>
          </w:p>
        </w:tc>
        <w:tc>
          <w:tcPr/>
          <w:p>
            <w:pPr>
              <w:pStyle w:val="Compact"/>
              <w:jc w:val="left"/>
            </w:pPr>
            <w:r>
              <w:t xml:space="preserve">HIGH</w:t>
            </w:r>
          </w:p>
        </w:tc>
        <w:tc>
          <w:tcPr/>
          <w:p>
            <w:pPr>
              <w:pStyle w:val="Compact"/>
              <w:jc w:val="left"/>
            </w:pPr>
            <w:r>
              <w:t xml:space="preserve">Trend risk</w:t>
            </w:r>
          </w:p>
        </w:tc>
        <w:tc>
          <w:tcPr/>
          <w:p>
            <w:pPr>
              <w:pStyle w:val="Compact"/>
              <w:jc w:val="left"/>
            </w:pPr>
            <w:r>
              <w:t xml:space="preserve">Unresolved</w:t>
            </w:r>
          </w:p>
        </w:tc>
      </w:tr>
      <w:tr>
        <w:tc>
          <w:tcPr/>
          <w:p>
            <w:pPr>
              <w:pStyle w:val="Compact"/>
              <w:jc w:val="left"/>
            </w:pPr>
            <w:r>
              <w:t xml:space="preserve">RF-04</w:t>
            </w:r>
          </w:p>
        </w:tc>
        <w:tc>
          <w:tcPr/>
          <w:p>
            <w:pPr>
              <w:pStyle w:val="Compact"/>
              <w:jc w:val="left"/>
            </w:pPr>
            <w:r>
              <w:t xml:space="preserve">Fleet replacement backlog understates capex</w:t>
            </w:r>
          </w:p>
        </w:tc>
        <w:tc>
          <w:tcPr/>
          <w:p>
            <w:pPr>
              <w:pStyle w:val="Compact"/>
              <w:jc w:val="left"/>
            </w:pPr>
            <w:r>
              <w:t xml:space="preserve">Financial</w:t>
            </w:r>
          </w:p>
        </w:tc>
        <w:tc>
          <w:tcPr/>
          <w:p>
            <w:pPr>
              <w:pStyle w:val="Compact"/>
              <w:jc w:val="left"/>
            </w:pPr>
            <w:r>
              <w:t xml:space="preserve">HIGH</w:t>
            </w:r>
          </w:p>
        </w:tc>
        <w:tc>
          <w:tcPr/>
          <w:p>
            <w:pPr>
              <w:pStyle w:val="Compact"/>
              <w:jc w:val="left"/>
            </w:pPr>
            <w:r>
              <w:t xml:space="preserve">$3.3M/yr incremental capex</w:t>
            </w:r>
          </w:p>
        </w:tc>
        <w:tc>
          <w:tcPr/>
          <w:p>
            <w:pPr>
              <w:pStyle w:val="Compact"/>
              <w:jc w:val="left"/>
            </w:pPr>
            <w:r>
              <w:t xml:space="preserve">Unresolved</w:t>
            </w:r>
          </w:p>
        </w:tc>
      </w:tr>
      <w:tr>
        <w:tc>
          <w:tcPr/>
          <w:p>
            <w:pPr>
              <w:pStyle w:val="Compact"/>
              <w:jc w:val="left"/>
            </w:pPr>
            <w:r>
              <w:t xml:space="preserve">RF-05</w:t>
            </w:r>
          </w:p>
        </w:tc>
        <w:tc>
          <w:tcPr/>
          <w:p>
            <w:pPr>
              <w:pStyle w:val="Compact"/>
              <w:jc w:val="left"/>
            </w:pPr>
            <w:r>
              <w:t xml:space="preserve">DOE IDIQ ceiling exhaustion by Apr–May 2025</w:t>
            </w:r>
          </w:p>
        </w:tc>
        <w:tc>
          <w:tcPr/>
          <w:p>
            <w:pPr>
              <w:pStyle w:val="Compact"/>
              <w:jc w:val="left"/>
            </w:pPr>
            <w:r>
              <w:t xml:space="preserve">Revenue</w:t>
            </w:r>
          </w:p>
        </w:tc>
        <w:tc>
          <w:tcPr/>
          <w:p>
            <w:pPr>
              <w:pStyle w:val="Compact"/>
              <w:jc w:val="left"/>
            </w:pPr>
            <w:r>
              <w:t xml:space="preserve">CRITICAL</w:t>
            </w:r>
          </w:p>
        </w:tc>
        <w:tc>
          <w:tcPr/>
          <w:p>
            <w:pPr>
              <w:pStyle w:val="Compact"/>
              <w:jc w:val="left"/>
            </w:pPr>
            <w:r>
              <w:t xml:space="preserve">$12.1M revenue headwind</w:t>
            </w:r>
          </w:p>
        </w:tc>
        <w:tc>
          <w:tcPr/>
          <w:p>
            <w:pPr>
              <w:pStyle w:val="Compact"/>
              <w:jc w:val="left"/>
            </w:pPr>
            <w:r>
              <w:t xml:space="preserve">Unresolved</w:t>
            </w:r>
          </w:p>
        </w:tc>
      </w:tr>
      <w:tr>
        <w:tc>
          <w:tcPr/>
          <w:p>
            <w:pPr>
              <w:pStyle w:val="Compact"/>
              <w:jc w:val="left"/>
            </w:pPr>
            <w:r>
              <w:t xml:space="preserve">RF-06</w:t>
            </w:r>
          </w:p>
        </w:tc>
        <w:tc>
          <w:tcPr/>
          <w:p>
            <w:pPr>
              <w:pStyle w:val="Compact"/>
              <w:jc w:val="left"/>
            </w:pPr>
            <w:r>
              <w:t xml:space="preserve">DOE contract novation / Anti-Assignment Act</w:t>
            </w:r>
          </w:p>
        </w:tc>
        <w:tc>
          <w:tcPr/>
          <w:p>
            <w:pPr>
              <w:pStyle w:val="Compact"/>
              <w:jc w:val="left"/>
            </w:pPr>
            <w:r>
              <w:t xml:space="preserve">Revenue</w:t>
            </w:r>
          </w:p>
        </w:tc>
        <w:tc>
          <w:tcPr/>
          <w:p>
            <w:pPr>
              <w:pStyle w:val="Compact"/>
              <w:jc w:val="left"/>
            </w:pPr>
            <w:r>
              <w:t xml:space="preserve">CRITICAL</w:t>
            </w:r>
          </w:p>
        </w:tc>
        <w:tc>
          <w:tcPr/>
          <w:p>
            <w:pPr>
              <w:pStyle w:val="Compact"/>
              <w:jc w:val="left"/>
            </w:pPr>
            <w:r>
              <w:t xml:space="preserve">$24.4M revenue at risk</w:t>
            </w:r>
          </w:p>
        </w:tc>
        <w:tc>
          <w:tcPr/>
          <w:p>
            <w:pPr>
              <w:pStyle w:val="Compact"/>
              <w:jc w:val="left"/>
            </w:pPr>
            <w:r>
              <w:t xml:space="preserve">Unresolved</w:t>
            </w:r>
          </w:p>
        </w:tc>
      </w:tr>
      <w:tr>
        <w:tc>
          <w:tcPr/>
          <w:p>
            <w:pPr>
              <w:pStyle w:val="Compact"/>
              <w:jc w:val="left"/>
            </w:pPr>
            <w:r>
              <w:t xml:space="preserve">RF-07</w:t>
            </w:r>
          </w:p>
        </w:tc>
        <w:tc>
          <w:tcPr/>
          <w:p>
            <w:pPr>
              <w:pStyle w:val="Compact"/>
              <w:jc w:val="left"/>
            </w:pPr>
            <w:r>
              <w:t xml:space="preserve">8 customer contracts with CoC provisions</w:t>
            </w:r>
          </w:p>
        </w:tc>
        <w:tc>
          <w:tcPr/>
          <w:p>
            <w:pPr>
              <w:pStyle w:val="Compact"/>
              <w:jc w:val="left"/>
            </w:pPr>
            <w:r>
              <w:t xml:space="preserve">Revenue</w:t>
            </w:r>
          </w:p>
        </w:tc>
        <w:tc>
          <w:tcPr/>
          <w:p>
            <w:pPr>
              <w:pStyle w:val="Compact"/>
              <w:jc w:val="left"/>
            </w:pPr>
            <w:r>
              <w:t xml:space="preserve">HIGH</w:t>
            </w:r>
          </w:p>
        </w:tc>
        <w:tc>
          <w:tcPr/>
          <w:p>
            <w:pPr>
              <w:pStyle w:val="Compact"/>
              <w:jc w:val="left"/>
            </w:pPr>
            <w:r>
              <w:t xml:space="preserve">$28.6M revenue at risk</w:t>
            </w:r>
          </w:p>
        </w:tc>
        <w:tc>
          <w:tcPr/>
          <w:p>
            <w:pPr>
              <w:pStyle w:val="Compact"/>
              <w:jc w:val="left"/>
            </w:pPr>
            <w:r>
              <w:t xml:space="preserve">Unresolved</w:t>
            </w:r>
          </w:p>
        </w:tc>
      </w:tr>
      <w:tr>
        <w:tc>
          <w:tcPr/>
          <w:p>
            <w:pPr>
              <w:pStyle w:val="Compact"/>
              <w:jc w:val="left"/>
            </w:pPr>
            <w:r>
              <w:t xml:space="preserve">RF-08</w:t>
            </w:r>
          </w:p>
        </w:tc>
        <w:tc>
          <w:tcPr/>
          <w:p>
            <w:pPr>
              <w:pStyle w:val="Compact"/>
              <w:jc w:val="left"/>
            </w:pPr>
            <w:r>
              <w:t xml:space="preserve">CMMC — no minimums; 60-day termination</w:t>
            </w:r>
          </w:p>
        </w:tc>
        <w:tc>
          <w:tcPr/>
          <w:p>
            <w:pPr>
              <w:pStyle w:val="Compact"/>
              <w:jc w:val="left"/>
            </w:pPr>
            <w:r>
              <w:t xml:space="preserve">Revenue</w:t>
            </w:r>
          </w:p>
        </w:tc>
        <w:tc>
          <w:tcPr/>
          <w:p>
            <w:pPr>
              <w:pStyle w:val="Compact"/>
              <w:jc w:val="left"/>
            </w:pPr>
            <w:r>
              <w:t xml:space="preserve">HIGH</w:t>
            </w:r>
          </w:p>
        </w:tc>
        <w:tc>
          <w:tcPr/>
          <w:p>
            <w:pPr>
              <w:pStyle w:val="Compact"/>
              <w:jc w:val="left"/>
            </w:pPr>
            <w:r>
              <w:t xml:space="preserve">$14.5M revenue at risk</w:t>
            </w:r>
          </w:p>
        </w:tc>
        <w:tc>
          <w:tcPr/>
          <w:p>
            <w:pPr>
              <w:pStyle w:val="Compact"/>
              <w:jc w:val="left"/>
            </w:pPr>
            <w:r>
              <w:t xml:space="preserve">Unresolved</w:t>
            </w:r>
          </w:p>
        </w:tc>
      </w:tr>
      <w:tr>
        <w:tc>
          <w:tcPr/>
          <w:p>
            <w:pPr>
              <w:pStyle w:val="Compact"/>
              <w:jc w:val="left"/>
            </w:pPr>
            <w:r>
              <w:t xml:space="preserve">RF-09</w:t>
            </w:r>
          </w:p>
        </w:tc>
        <w:tc>
          <w:tcPr/>
          <w:p>
            <w:pPr>
              <w:pStyle w:val="Compact"/>
              <w:jc w:val="left"/>
            </w:pPr>
            <w:r>
              <w:t xml:space="preserve">Grand Junction ESA stale (2019); unquantified upside</w:t>
            </w:r>
          </w:p>
        </w:tc>
        <w:tc>
          <w:tcPr/>
          <w:p>
            <w:pPr>
              <w:pStyle w:val="Compact"/>
              <w:jc w:val="left"/>
            </w:pPr>
            <w:r>
              <w:t xml:space="preserve">Environmental</w:t>
            </w:r>
          </w:p>
        </w:tc>
        <w:tc>
          <w:tcPr/>
          <w:p>
            <w:pPr>
              <w:pStyle w:val="Compact"/>
              <w:jc w:val="left"/>
            </w:pPr>
            <w:r>
              <w:t xml:space="preserve">CRITICAL</w:t>
            </w:r>
          </w:p>
        </w:tc>
        <w:tc>
          <w:tcPr/>
          <w:p>
            <w:pPr>
              <w:pStyle w:val="Compact"/>
              <w:jc w:val="left"/>
            </w:pPr>
            <w:r>
              <w:t xml:space="preserve">$2.6M–$10M+</w:t>
            </w:r>
          </w:p>
        </w:tc>
        <w:tc>
          <w:tcPr/>
          <w:p>
            <w:pPr>
              <w:pStyle w:val="Compact"/>
              <w:jc w:val="left"/>
            </w:pPr>
            <w:r>
              <w:t xml:space="preserve">Unresolved</w:t>
            </w:r>
          </w:p>
        </w:tc>
      </w:tr>
      <w:tr>
        <w:tc>
          <w:tcPr/>
          <w:p>
            <w:pPr>
              <w:pStyle w:val="Compact"/>
              <w:jc w:val="left"/>
            </w:pPr>
            <w:r>
              <w:t xml:space="preserve">RF-10</w:t>
            </w:r>
          </w:p>
        </w:tc>
        <w:tc>
          <w:tcPr/>
          <w:p>
            <w:pPr>
              <w:pStyle w:val="Compact"/>
              <w:jc w:val="left"/>
            </w:pPr>
            <w:r>
              <w:t xml:space="preserve">PLL policy excludes gradual contamination</w:t>
            </w:r>
          </w:p>
        </w:tc>
        <w:tc>
          <w:tcPr/>
          <w:p>
            <w:pPr>
              <w:pStyle w:val="Compact"/>
              <w:jc w:val="left"/>
            </w:pPr>
            <w:r>
              <w:t xml:space="preserve">Environmental</w:t>
            </w:r>
          </w:p>
        </w:tc>
        <w:tc>
          <w:tcPr/>
          <w:p>
            <w:pPr>
              <w:pStyle w:val="Compact"/>
              <w:jc w:val="left"/>
            </w:pPr>
            <w:r>
              <w:t xml:space="preserve">HIGH</w:t>
            </w:r>
          </w:p>
        </w:tc>
        <w:tc>
          <w:tcPr/>
          <w:p>
            <w:pPr>
              <w:pStyle w:val="Compact"/>
              <w:jc w:val="left"/>
            </w:pPr>
            <w:r>
              <w:t xml:space="preserve">Full remediation cost uninsured</w:t>
            </w:r>
          </w:p>
        </w:tc>
        <w:tc>
          <w:tcPr/>
          <w:p>
            <w:pPr>
              <w:pStyle w:val="Compact"/>
              <w:jc w:val="left"/>
            </w:pPr>
            <w:r>
              <w:t xml:space="preserve">Unresolved</w:t>
            </w:r>
          </w:p>
        </w:tc>
      </w:tr>
      <w:tr>
        <w:tc>
          <w:tcPr/>
          <w:p>
            <w:pPr>
              <w:pStyle w:val="Compact"/>
              <w:jc w:val="left"/>
            </w:pPr>
            <w:r>
              <w:t xml:space="preserve">RF-11</w:t>
            </w:r>
          </w:p>
        </w:tc>
        <w:tc>
          <w:tcPr/>
          <w:p>
            <w:pPr>
              <w:pStyle w:val="Compact"/>
              <w:jc w:val="left"/>
            </w:pPr>
            <w:r>
              <w:t xml:space="preserve">Asbestos long-tail; pre-2015 work uninsured</w:t>
            </w:r>
          </w:p>
        </w:tc>
        <w:tc>
          <w:tcPr/>
          <w:p>
            <w:pPr>
              <w:pStyle w:val="Compact"/>
              <w:jc w:val="left"/>
            </w:pPr>
            <w:r>
              <w:t xml:space="preserve">Environmental</w:t>
            </w:r>
          </w:p>
        </w:tc>
        <w:tc>
          <w:tcPr/>
          <w:p>
            <w:pPr>
              <w:pStyle w:val="Compact"/>
              <w:jc w:val="left"/>
            </w:pPr>
            <w:r>
              <w:t xml:space="preserve">HIGH</w:t>
            </w:r>
          </w:p>
        </w:tc>
        <w:tc>
          <w:tcPr/>
          <w:p>
            <w:pPr>
              <w:pStyle w:val="Compact"/>
              <w:jc w:val="left"/>
            </w:pPr>
            <w:r>
              <w:t xml:space="preserve">Unquantifiable</w:t>
            </w:r>
          </w:p>
        </w:tc>
        <w:tc>
          <w:tcPr/>
          <w:p>
            <w:pPr>
              <w:pStyle w:val="Compact"/>
              <w:jc w:val="left"/>
            </w:pPr>
            <w:r>
              <w:t xml:space="preserve">Unresolved</w:t>
            </w:r>
          </w:p>
        </w:tc>
      </w:tr>
      <w:tr>
        <w:tc>
          <w:tcPr/>
          <w:p>
            <w:pPr>
              <w:pStyle w:val="Compact"/>
              <w:jc w:val="left"/>
            </w:pPr>
            <w:r>
              <w:t xml:space="preserve">RF-12</w:t>
            </w:r>
          </w:p>
        </w:tc>
        <w:tc>
          <w:tcPr/>
          <w:p>
            <w:pPr>
              <w:pStyle w:val="Compact"/>
              <w:jc w:val="left"/>
            </w:pPr>
            <w:r>
              <w:t xml:space="preserve">CDPHE NOV — no accrual; up to $1.16M penalty</w:t>
            </w:r>
          </w:p>
        </w:tc>
        <w:tc>
          <w:tcPr/>
          <w:p>
            <w:pPr>
              <w:pStyle w:val="Compact"/>
              <w:jc w:val="left"/>
            </w:pPr>
            <w:r>
              <w:t xml:space="preserve">Regulatory</w:t>
            </w:r>
          </w:p>
        </w:tc>
        <w:tc>
          <w:tcPr/>
          <w:p>
            <w:pPr>
              <w:pStyle w:val="Compact"/>
              <w:jc w:val="left"/>
            </w:pPr>
            <w:r>
              <w:t xml:space="preserve">HIGH</w:t>
            </w:r>
          </w:p>
        </w:tc>
        <w:tc>
          <w:tcPr/>
          <w:p>
            <w:pPr>
              <w:pStyle w:val="Compact"/>
              <w:jc w:val="left"/>
            </w:pPr>
            <w:r>
              <w:t xml:space="preserve">$200K–$1.16M</w:t>
            </w:r>
          </w:p>
        </w:tc>
        <w:tc>
          <w:tcPr/>
          <w:p>
            <w:pPr>
              <w:pStyle w:val="Compact"/>
              <w:jc w:val="left"/>
            </w:pPr>
            <w:r>
              <w:t xml:space="preserve">Unresolved</w:t>
            </w:r>
          </w:p>
        </w:tc>
      </w:tr>
      <w:tr>
        <w:tc>
          <w:tcPr/>
          <w:p>
            <w:pPr>
              <w:pStyle w:val="Compact"/>
              <w:jc w:val="left"/>
            </w:pPr>
            <w:r>
              <w:t xml:space="preserve">RF-13</w:t>
            </w:r>
          </w:p>
        </w:tc>
        <w:tc>
          <w:tcPr/>
          <w:p>
            <w:pPr>
              <w:pStyle w:val="Compact"/>
              <w:jc w:val="left"/>
            </w:pPr>
            <w:r>
              <w:t xml:space="preserve">Wyoming permit expired; operating under renewal</w:t>
            </w:r>
          </w:p>
        </w:tc>
        <w:tc>
          <w:tcPr/>
          <w:p>
            <w:pPr>
              <w:pStyle w:val="Compact"/>
              <w:jc w:val="left"/>
            </w:pPr>
            <w:r>
              <w:t xml:space="preserve">Regulatory</w:t>
            </w:r>
          </w:p>
        </w:tc>
        <w:tc>
          <w:tcPr/>
          <w:p>
            <w:pPr>
              <w:pStyle w:val="Compact"/>
              <w:jc w:val="left"/>
            </w:pPr>
            <w:r>
              <w:t xml:space="preserve">HIGH</w:t>
            </w:r>
          </w:p>
        </w:tc>
        <w:tc>
          <w:tcPr/>
          <w:p>
            <w:pPr>
              <w:pStyle w:val="Compact"/>
              <w:jc w:val="left"/>
            </w:pPr>
            <w:r>
              <w:t xml:space="preserve">Operational risk</w:t>
            </w:r>
          </w:p>
        </w:tc>
        <w:tc>
          <w:tcPr/>
          <w:p>
            <w:pPr>
              <w:pStyle w:val="Compact"/>
              <w:jc w:val="left"/>
            </w:pPr>
            <w:r>
              <w:t xml:space="preserve">Unresolved</w:t>
            </w:r>
          </w:p>
        </w:tc>
      </w:tr>
      <w:tr>
        <w:tc>
          <w:tcPr/>
          <w:p>
            <w:pPr>
              <w:pStyle w:val="Compact"/>
              <w:jc w:val="left"/>
            </w:pPr>
            <w:r>
              <w:t xml:space="preserve">RF-14</w:t>
            </w:r>
          </w:p>
        </w:tc>
        <w:tc>
          <w:tcPr/>
          <w:p>
            <w:pPr>
              <w:pStyle w:val="Compact"/>
              <w:jc w:val="left"/>
            </w:pPr>
            <w:r>
              <w:t xml:space="preserve">Utah SLC permit transfer pending 2.5 years</w:t>
            </w:r>
          </w:p>
        </w:tc>
        <w:tc>
          <w:tcPr/>
          <w:p>
            <w:pPr>
              <w:pStyle w:val="Compact"/>
              <w:jc w:val="left"/>
            </w:pPr>
            <w:r>
              <w:t xml:space="preserve">Regulatory</w:t>
            </w:r>
          </w:p>
        </w:tc>
        <w:tc>
          <w:tcPr/>
          <w:p>
            <w:pPr>
              <w:pStyle w:val="Compact"/>
              <w:jc w:val="left"/>
            </w:pPr>
            <w:r>
              <w:t xml:space="preserve">HIGH</w:t>
            </w:r>
          </w:p>
        </w:tc>
        <w:tc>
          <w:tcPr/>
          <w:p>
            <w:pPr>
              <w:pStyle w:val="Compact"/>
              <w:jc w:val="left"/>
            </w:pPr>
            <w:r>
              <w:t xml:space="preserve">$16.2M revenue at risk</w:t>
            </w:r>
          </w:p>
        </w:tc>
        <w:tc>
          <w:tcPr/>
          <w:p>
            <w:pPr>
              <w:pStyle w:val="Compact"/>
              <w:jc w:val="left"/>
            </w:pPr>
            <w:r>
              <w:t xml:space="preserve">Unresolved</w:t>
            </w:r>
          </w:p>
        </w:tc>
      </w:tr>
      <w:tr>
        <w:tc>
          <w:tcPr/>
          <w:p>
            <w:pPr>
              <w:pStyle w:val="Compact"/>
              <w:jc w:val="left"/>
            </w:pPr>
            <w:r>
              <w:t xml:space="preserve">RF-15</w:t>
            </w:r>
          </w:p>
        </w:tc>
        <w:tc>
          <w:tcPr/>
          <w:p>
            <w:pPr>
              <w:pStyle w:val="Compact"/>
              <w:jc w:val="left"/>
            </w:pPr>
            <w:r>
              <w:t xml:space="preserve">Credit agreement CoC — $39.2M mandatory prepayment</w:t>
            </w:r>
          </w:p>
        </w:tc>
        <w:tc>
          <w:tcPr/>
          <w:p>
            <w:pPr>
              <w:pStyle w:val="Compact"/>
              <w:jc w:val="left"/>
            </w:pPr>
            <w:r>
              <w:t xml:space="preserve">Debt</w:t>
            </w:r>
          </w:p>
        </w:tc>
        <w:tc>
          <w:tcPr/>
          <w:p>
            <w:pPr>
              <w:pStyle w:val="Compact"/>
              <w:jc w:val="left"/>
            </w:pPr>
            <w:r>
              <w:t xml:space="preserve">CRITICAL</w:t>
            </w:r>
          </w:p>
        </w:tc>
        <w:tc>
          <w:tcPr/>
          <w:p>
            <w:pPr>
              <w:pStyle w:val="Compact"/>
              <w:jc w:val="left"/>
            </w:pPr>
            <w:r>
              <w:t xml:space="preserve">$39.2M cash required at closing</w:t>
            </w:r>
          </w:p>
        </w:tc>
        <w:tc>
          <w:tcPr/>
          <w:p>
            <w:pPr>
              <w:pStyle w:val="Compact"/>
              <w:jc w:val="left"/>
            </w:pPr>
            <w:r>
              <w:t xml:space="preserve">Known; must plan</w:t>
            </w:r>
          </w:p>
        </w:tc>
      </w:tr>
      <w:tr>
        <w:tc>
          <w:tcPr/>
          <w:p>
            <w:pPr>
              <w:pStyle w:val="Compact"/>
              <w:jc w:val="left"/>
            </w:pPr>
            <w:r>
              <w:t xml:space="preserve">RF-16</w:t>
            </w:r>
          </w:p>
        </w:tc>
        <w:tc>
          <w:tcPr/>
          <w:p>
            <w:pPr>
              <w:pStyle w:val="Compact"/>
              <w:jc w:val="left"/>
            </w:pPr>
            <w:r>
              <w:t xml:space="preserve">Bank EBITDA definition excludes $5.4M add-backs</w:t>
            </w:r>
          </w:p>
        </w:tc>
        <w:tc>
          <w:tcPr/>
          <w:p>
            <w:pPr>
              <w:pStyle w:val="Compact"/>
              <w:jc w:val="left"/>
            </w:pPr>
            <w:r>
              <w:t xml:space="preserve">Debt</w:t>
            </w:r>
          </w:p>
        </w:tc>
        <w:tc>
          <w:tcPr/>
          <w:p>
            <w:pPr>
              <w:pStyle w:val="Compact"/>
              <w:jc w:val="left"/>
            </w:pPr>
            <w:r>
              <w:t xml:space="preserve">CRITICAL</w:t>
            </w:r>
          </w:p>
        </w:tc>
        <w:tc>
          <w:tcPr/>
          <w:p>
            <w:pPr>
              <w:pStyle w:val="Compact"/>
              <w:jc w:val="left"/>
            </w:pPr>
            <w:r>
              <w:t xml:space="preserve">Financing underwriting risk</w:t>
            </w:r>
          </w:p>
        </w:tc>
        <w:tc>
          <w:tcPr/>
          <w:p>
            <w:pPr>
              <w:pStyle w:val="Compact"/>
              <w:jc w:val="left"/>
            </w:pPr>
            <w:r>
              <w:t xml:space="preserve">Unresolved</w:t>
            </w:r>
          </w:p>
        </w:tc>
      </w:tr>
      <w:tr>
        <w:tc>
          <w:tcPr/>
          <w:p>
            <w:pPr>
              <w:pStyle w:val="Compact"/>
              <w:jc w:val="left"/>
            </w:pPr>
            <w:r>
              <w:t xml:space="preserve">RF-17</w:t>
            </w:r>
          </w:p>
        </w:tc>
        <w:tc>
          <w:tcPr/>
          <w:p>
            <w:pPr>
              <w:pStyle w:val="Compact"/>
              <w:jc w:val="left"/>
            </w:pPr>
            <w:r>
              <w:t xml:space="preserve">Single-trigger CoC severance — $2.625M at closing</w:t>
            </w:r>
          </w:p>
        </w:tc>
        <w:tc>
          <w:tcPr/>
          <w:p>
            <w:pPr>
              <w:pStyle w:val="Compact"/>
              <w:jc w:val="left"/>
            </w:pPr>
            <w:r>
              <w:t xml:space="preserve">Debt</w:t>
            </w:r>
          </w:p>
        </w:tc>
        <w:tc>
          <w:tcPr/>
          <w:p>
            <w:pPr>
              <w:pStyle w:val="Compact"/>
              <w:jc w:val="left"/>
            </w:pPr>
            <w:r>
              <w:t xml:space="preserve">CRITICAL</w:t>
            </w:r>
          </w:p>
        </w:tc>
        <w:tc>
          <w:tcPr/>
          <w:p>
            <w:pPr>
              <w:pStyle w:val="Compact"/>
              <w:jc w:val="left"/>
            </w:pPr>
            <w:r>
              <w:t xml:space="preserve">$2.625M–$3.775M cash at closing</w:t>
            </w:r>
          </w:p>
        </w:tc>
        <w:tc>
          <w:tcPr/>
          <w:p>
            <w:pPr>
              <w:pStyle w:val="Compact"/>
              <w:jc w:val="left"/>
            </w:pPr>
            <w:r>
              <w:t xml:space="preserve">Known; must plan</w:t>
            </w:r>
          </w:p>
        </w:tc>
      </w:tr>
      <w:tr>
        <w:tc>
          <w:tcPr/>
          <w:p>
            <w:pPr>
              <w:pStyle w:val="Compact"/>
              <w:jc w:val="left"/>
            </w:pPr>
            <w:r>
              <w:t xml:space="preserve">RF-18</w:t>
            </w:r>
          </w:p>
        </w:tc>
        <w:tc>
          <w:tcPr/>
          <w:p>
            <w:pPr>
              <w:pStyle w:val="Compact"/>
              <w:jc w:val="left"/>
            </w:pPr>
            <w:r>
              <w:t xml:space="preserve">NLRB unionization petition — 62 field technicians</w:t>
            </w:r>
          </w:p>
        </w:tc>
        <w:tc>
          <w:tcPr/>
          <w:p>
            <w:pPr>
              <w:pStyle w:val="Compact"/>
              <w:jc w:val="left"/>
            </w:pPr>
            <w:r>
              <w:t xml:space="preserve">Labor</w:t>
            </w:r>
          </w:p>
        </w:tc>
        <w:tc>
          <w:tcPr/>
          <w:p>
            <w:pPr>
              <w:pStyle w:val="Compact"/>
              <w:jc w:val="left"/>
            </w:pPr>
            <w:r>
              <w:t xml:space="preserve">HIGH</w:t>
            </w:r>
          </w:p>
        </w:tc>
        <w:tc>
          <w:tcPr/>
          <w:p>
            <w:pPr>
              <w:pStyle w:val="Compact"/>
              <w:jc w:val="left"/>
            </w:pPr>
            <w:r>
              <w:t xml:space="preserve">Labor cost escalation risk</w:t>
            </w:r>
          </w:p>
        </w:tc>
        <w:tc>
          <w:tcPr/>
          <w:p>
            <w:pPr>
              <w:pStyle w:val="Compact"/>
              <w:jc w:val="left"/>
            </w:pPr>
            <w:r>
              <w:t xml:space="preserve">Unresolved</w:t>
            </w:r>
          </w:p>
        </w:tc>
      </w:tr>
      <w:tr>
        <w:tc>
          <w:tcPr/>
          <w:p>
            <w:pPr>
              <w:pStyle w:val="Compact"/>
              <w:jc w:val="left"/>
            </w:pPr>
            <w:r>
              <w:t xml:space="preserve">RF-19</w:t>
            </w:r>
          </w:p>
        </w:tc>
        <w:tc>
          <w:tcPr/>
          <w:p>
            <w:pPr>
              <w:pStyle w:val="Compact"/>
              <w:jc w:val="left"/>
            </w:pPr>
            <w:r>
              <w:t xml:space="preserve">FLSA wage claim — $330K claimed</w:t>
            </w:r>
          </w:p>
        </w:tc>
        <w:tc>
          <w:tcPr/>
          <w:p>
            <w:pPr>
              <w:pStyle w:val="Compact"/>
              <w:jc w:val="left"/>
            </w:pPr>
            <w:r>
              <w:t xml:space="preserve">Labor</w:t>
            </w:r>
          </w:p>
        </w:tc>
        <w:tc>
          <w:tcPr/>
          <w:p>
            <w:pPr>
              <w:pStyle w:val="Compact"/>
              <w:jc w:val="left"/>
            </w:pPr>
            <w:r>
              <w:t xml:space="preserve">MEDIUM</w:t>
            </w:r>
          </w:p>
        </w:tc>
        <w:tc>
          <w:tcPr/>
          <w:p>
            <w:pPr>
              <w:pStyle w:val="Compact"/>
              <w:jc w:val="left"/>
            </w:pPr>
            <w:r>
              <w:t xml:space="preserve">$100K–$330K</w:t>
            </w:r>
          </w:p>
        </w:tc>
        <w:tc>
          <w:tcPr/>
          <w:p>
            <w:pPr>
              <w:pStyle w:val="Compact"/>
              <w:jc w:val="left"/>
            </w:pPr>
            <w:r>
              <w:t xml:space="preserve">Unresolved</w:t>
            </w:r>
          </w:p>
        </w:tc>
      </w:tr>
      <w:tr>
        <w:tc>
          <w:tcPr/>
          <w:p>
            <w:pPr>
              <w:pStyle w:val="Compact"/>
              <w:jc w:val="left"/>
            </w:pPr>
            <w:r>
              <w:t xml:space="preserve">RF-20</w:t>
            </w:r>
          </w:p>
        </w:tc>
        <w:tc>
          <w:tcPr/>
          <w:p>
            <w:pPr>
              <w:pStyle w:val="Compact"/>
              <w:jc w:val="left"/>
            </w:pPr>
            <w:r>
              <w:t xml:space="preserve">SLC lease — dual assignment default; landlord inquiry</w:t>
            </w:r>
          </w:p>
        </w:tc>
        <w:tc>
          <w:tcPr/>
          <w:p>
            <w:pPr>
              <w:pStyle w:val="Compact"/>
              <w:jc w:val="left"/>
            </w:pPr>
            <w:r>
              <w:t xml:space="preserve">Real Property</w:t>
            </w:r>
          </w:p>
        </w:tc>
        <w:tc>
          <w:tcPr/>
          <w:p>
            <w:pPr>
              <w:pStyle w:val="Compact"/>
              <w:jc w:val="left"/>
            </w:pPr>
            <w:r>
              <w:t xml:space="preserve">HIGH</w:t>
            </w:r>
          </w:p>
        </w:tc>
        <w:tc>
          <w:tcPr/>
          <w:p>
            <w:pPr>
              <w:pStyle w:val="Compact"/>
              <w:jc w:val="left"/>
            </w:pPr>
            <w:r>
              <w:t xml:space="preserve">$16.2M revenue at risk</w:t>
            </w:r>
          </w:p>
        </w:tc>
        <w:tc>
          <w:tcPr/>
          <w:p>
            <w:pPr>
              <w:pStyle w:val="Compact"/>
              <w:jc w:val="left"/>
            </w:pPr>
            <w:r>
              <w:t xml:space="preserve">Unresolved</w:t>
            </w:r>
          </w:p>
        </w:tc>
      </w:tr>
      <w:tr>
        <w:tc>
          <w:tcPr/>
          <w:p>
            <w:pPr>
              <w:pStyle w:val="Compact"/>
              <w:jc w:val="left"/>
            </w:pPr>
            <w:r>
              <w:t xml:space="preserve">RF-21</w:t>
            </w:r>
          </w:p>
        </w:tc>
        <w:tc>
          <w:tcPr/>
          <w:p>
            <w:pPr>
              <w:pStyle w:val="Compact"/>
              <w:jc w:val="left"/>
            </w:pPr>
            <w:r>
              <w:t xml:space="preserve">Claims-made PLL — tail coverage risk at CoC</w:t>
            </w:r>
          </w:p>
        </w:tc>
        <w:tc>
          <w:tcPr/>
          <w:p>
            <w:pPr>
              <w:pStyle w:val="Compact"/>
              <w:jc w:val="left"/>
            </w:pPr>
            <w:r>
              <w:t xml:space="preserve">Insurance</w:t>
            </w:r>
          </w:p>
        </w:tc>
        <w:tc>
          <w:tcPr/>
          <w:p>
            <w:pPr>
              <w:pStyle w:val="Compact"/>
              <w:jc w:val="left"/>
            </w:pPr>
            <w:r>
              <w:t xml:space="preserve">MEDIUM</w:t>
            </w:r>
          </w:p>
        </w:tc>
        <w:tc>
          <w:tcPr/>
          <w:p>
            <w:pPr>
              <w:pStyle w:val="Compact"/>
              <w:jc w:val="left"/>
            </w:pPr>
            <w:r>
              <w:t xml:space="preserve">Pollution claims uninsured post-closing</w:t>
            </w:r>
          </w:p>
        </w:tc>
        <w:tc>
          <w:tcPr/>
          <w:p>
            <w:pPr>
              <w:pStyle w:val="Compact"/>
              <w:jc w:val="left"/>
            </w:pPr>
            <w:r>
              <w:t xml:space="preserve">Unresolved</w:t>
            </w:r>
          </w:p>
        </w:tc>
      </w:tr>
    </w:tbl>
    <w:p>
      <w:r>
        <w:pict>
          <v:rect style="width:0;height:1.5pt" o:hralign="center" o:hrstd="t" o:hr="t"/>
        </w:pict>
      </w:r>
    </w:p>
    <w:bookmarkEnd w:id="52"/>
    <w:bookmarkStart w:id="53" w:name="X8d61b721203922ff8f49a4507edbcc69a39796a"/>
    <w:p>
      <w:pPr>
        <w:pStyle w:val="Heading2"/>
      </w:pPr>
      <w:r>
        <w:t xml:space="preserve">Priority Action Items Before Definitive Agreement</w:t>
      </w:r>
    </w:p>
    <w:p>
      <w:pPr>
        <w:pStyle w:val="Compact"/>
        <w:numPr>
          <w:ilvl w:val="0"/>
          <w:numId w:val="1004"/>
        </w:numPr>
      </w:pPr>
      <w:r>
        <w:rPr>
          <w:b/>
          <w:bCs/>
        </w:rPr>
        <w:t xml:space="preserve">[IMMEDIATE]</w:t>
      </w:r>
      <w:r>
        <w:t xml:space="preserve"> </w:t>
      </w:r>
      <w:r>
        <w:t xml:space="preserve">Demand reconciliation of the $1.0M EBITDA discrepancy between the CIM and QoE workbook.</w:t>
      </w:r>
    </w:p>
    <w:p>
      <w:pPr>
        <w:pStyle w:val="Compact"/>
        <w:numPr>
          <w:ilvl w:val="0"/>
          <w:numId w:val="1004"/>
        </w:numPr>
      </w:pPr>
      <w:r>
        <w:rPr>
          <w:b/>
          <w:bCs/>
        </w:rPr>
        <w:t xml:space="preserve">[IMMEDIATE]</w:t>
      </w:r>
      <w:r>
        <w:t xml:space="preserve"> </w:t>
      </w:r>
      <w:r>
        <w:t xml:space="preserve">Contact DOE Contracting Officer to assess novation requirements and ceiling modification prospects.</w:t>
      </w:r>
    </w:p>
    <w:p>
      <w:pPr>
        <w:pStyle w:val="Compact"/>
        <w:numPr>
          <w:ilvl w:val="0"/>
          <w:numId w:val="1004"/>
        </w:numPr>
      </w:pPr>
      <w:r>
        <w:rPr>
          <w:b/>
          <w:bCs/>
        </w:rPr>
        <w:t xml:space="preserve">[IMMEDIATE]</w:t>
      </w:r>
      <w:r>
        <w:t xml:space="preserve"> </w:t>
      </w:r>
      <w:r>
        <w:t xml:space="preserve">Commission an updated Phase II ESA and vapor intrusion assessment at the Grand Junction facility.</w:t>
      </w:r>
    </w:p>
    <w:p>
      <w:pPr>
        <w:pStyle w:val="Compact"/>
        <w:numPr>
          <w:ilvl w:val="0"/>
          <w:numId w:val="1004"/>
        </w:numPr>
      </w:pPr>
      <w:r>
        <w:rPr>
          <w:b/>
          <w:bCs/>
        </w:rPr>
        <w:t xml:space="preserve">[IMMEDIATE]</w:t>
      </w:r>
      <w:r>
        <w:t xml:space="preserve"> </w:t>
      </w:r>
      <w:r>
        <w:t xml:space="preserve">Engage Wasatch Industrial Properties, LLC to resolve the Salt Lake City lease assignment.</w:t>
      </w:r>
    </w:p>
    <w:p>
      <w:pPr>
        <w:pStyle w:val="Compact"/>
        <w:numPr>
          <w:ilvl w:val="0"/>
          <w:numId w:val="1004"/>
        </w:numPr>
      </w:pPr>
      <w:r>
        <w:rPr>
          <w:b/>
          <w:bCs/>
        </w:rPr>
        <w:t xml:space="preserve">[BEFORE SPA SIGNING]</w:t>
      </w:r>
      <w:r>
        <w:t xml:space="preserve"> </w:t>
      </w:r>
      <w:r>
        <w:t xml:space="preserve">Obtain independent fleet appraisal and recast normalized maintenance capex.</w:t>
      </w:r>
    </w:p>
    <w:p>
      <w:pPr>
        <w:pStyle w:val="Compact"/>
        <w:numPr>
          <w:ilvl w:val="0"/>
          <w:numId w:val="1004"/>
        </w:numPr>
      </w:pPr>
      <w:r>
        <w:rPr>
          <w:b/>
          <w:bCs/>
        </w:rPr>
        <w:t xml:space="preserve">[BEFORE SPA SIGNING]</w:t>
      </w:r>
      <w:r>
        <w:t xml:space="preserve"> </w:t>
      </w:r>
      <w:r>
        <w:t xml:space="preserve">Obtain full briefing on NLRB petition status and labor counsel assessment.</w:t>
      </w:r>
    </w:p>
    <w:p>
      <w:pPr>
        <w:pStyle w:val="Compact"/>
        <w:numPr>
          <w:ilvl w:val="0"/>
          <w:numId w:val="1004"/>
        </w:numPr>
      </w:pPr>
      <w:r>
        <w:rPr>
          <w:b/>
          <w:bCs/>
        </w:rPr>
        <w:t xml:space="preserve">[BEFORE SPA SIGNING]</w:t>
      </w:r>
      <w:r>
        <w:t xml:space="preserve"> </w:t>
      </w:r>
      <w:r>
        <w:t xml:space="preserve">Confirm Ramirez insurance coverage determination from Frontier.</w:t>
      </w:r>
    </w:p>
    <w:p>
      <w:pPr>
        <w:pStyle w:val="Compact"/>
        <w:numPr>
          <w:ilvl w:val="0"/>
          <w:numId w:val="1004"/>
        </w:numPr>
      </w:pPr>
      <w:r>
        <w:rPr>
          <w:b/>
          <w:bCs/>
        </w:rPr>
        <w:t xml:space="preserve">[BEFORE SPA SIGNING]</w:t>
      </w:r>
      <w:r>
        <w:t xml:space="preserve"> </w:t>
      </w:r>
      <w:r>
        <w:t xml:space="preserve">Negotiate conversion of Calloway single-trigger CoC severance to double-trigger.</w:t>
      </w:r>
    </w:p>
    <w:p>
      <w:pPr>
        <w:pStyle w:val="Compact"/>
        <w:numPr>
          <w:ilvl w:val="0"/>
          <w:numId w:val="1004"/>
        </w:numPr>
      </w:pPr>
      <w:r>
        <w:rPr>
          <w:b/>
          <w:bCs/>
        </w:rPr>
        <w:t xml:space="preserve">[BEFORE CLOSING]</w:t>
      </w:r>
      <w:r>
        <w:t xml:space="preserve"> </w:t>
      </w:r>
      <w:r>
        <w:t xml:space="preserve">Arrange acquisition financing sufficient to repay $39.2M credit facility.</w:t>
      </w:r>
    </w:p>
    <w:p>
      <w:pPr>
        <w:pStyle w:val="Compact"/>
        <w:numPr>
          <w:ilvl w:val="0"/>
          <w:numId w:val="1004"/>
        </w:numPr>
      </w:pPr>
      <w:r>
        <w:rPr>
          <w:b/>
          <w:bCs/>
        </w:rPr>
        <w:t xml:space="preserve">[BEFORE CLOSING]</w:t>
      </w:r>
      <w:r>
        <w:t xml:space="preserve"> </w:t>
      </w:r>
      <w:r>
        <w:t xml:space="preserve">Require resolution of CDPHE enforcement action or negotiate specific indemnity escrow.</w:t>
      </w:r>
    </w:p>
    <w:p>
      <w:r>
        <w:pict>
          <v:rect style="width:0;height:1.5pt" o:hralign="center" o:hrstd="t" o:hr="t"/>
        </w:pict>
      </w:r>
    </w:p>
    <w:p>
      <w:pPr>
        <w:pStyle w:val="FirstParagraph"/>
      </w:pPr>
      <w:r>
        <w:rPr>
          <w:i/>
          <w:iCs/>
        </w:rPr>
        <w:t xml:space="preserve">This memorandum is prepared for the exclusive use of Sycamore Capital Partners, LP and Thornfield &amp; Associates LLP in connection with Project Ridgeline. It is subject to attorney-client privilege and work product protection. All findings are based solely on documents provided in the Project Ridgeline virtual data room as of December 2024 and should be verified through independent investigation.</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2026-08-25T10:03:15Z</dcterms:created>
  <dcterms:modified xsi:type="dcterms:W3CDTF">2026-08-25T10:03:15Z</dcterms:modified>
</cp:coreProperties>
</file>

<file path=docProps/custom.xml><?xml version="1.0" encoding="utf-8"?>
<Properties xmlns="http://schemas.openxmlformats.org/officeDocument/2006/custom-properties" xmlns:vt="http://schemas.openxmlformats.org/officeDocument/2006/docPropsVTypes"/>
</file>