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RIDGELINE ENVIRONMENTAL SERVICES, INC.</w:t>
      </w:r>
    </w:p>
    <w:p>
      <w:pPr>
        <w:pStyle w:val="Heading1"/>
        <w:jc w:val="center"/>
      </w:pPr>
      <w:r>
        <w:rPr>
          <w:sz w:val="24"/>
        </w:rPr>
        <w:t>ACQUISITION DUE DILIGENCE RED FLAG ANALYSIS</w:t>
      </w:r>
    </w:p>
    <w:p/>
    <w:p>
      <w:pPr>
        <w:jc w:val="center"/>
      </w:pPr>
      <w:r>
        <w:rPr>
          <w:b/>
        </w:rPr>
        <w:t>CONFIDENTIAL MEMORANDUM</w:t>
      </w:r>
    </w:p>
    <w:tbl>
      <w:tblPr>
        <w:tblW w:type="auto" w:w="0"/>
        <w:tblLayout w:type="fixed"/>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TO: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Sycamore Capital Partners, LP - Project Ridgeline Deal Team</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FROM: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Due Diligence Review Team</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DATE: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December 16, 2024</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RE: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Ridgeline Environmental Services, Inc. - Acquisition Red Flag Analysis</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b/>
              </w:rPr>
              <w:t>PROJECT: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Project Ridgeline - 100% Stock Acquisition</w:t>
            </w:r>
          </w:p>
        </w:tc>
      </w:tr>
    </w:tbl>
    <w:p/>
    <w:p>
      <w:pPr>
        <w:pStyle w:val="Heading1"/>
      </w:pPr>
      <w:r>
        <w:t>EXECUTIVE SUMMARY</w:t>
      </w:r>
    </w:p>
    <w:p>
      <w:r>
        <w:t>This memorandum presents a comprehensive analysis of material risks and red flags identified during the review of Ridgeline Environmental Services, Inc. ("RES" or the "Company") in connection with the proposed acquisition by Sycamore Capital Partners, LP. The analysis is based on a detailed review of financial statements, contracts, regulatory filings, litigation records, environmental assessments, and operational documentation provided in the Project Ridgeline virtual data room.</w:t>
        <w:br/>
        <w:br/>
        <w:t>KEY FINDINGS:</w:t>
        <w:br/>
        <w:br/>
        <w:t>• CRITICAL ISSUES (3): Revenue concentration risk (DOE contract ceiling exhaustion), mandatory debt prepayment on change of control, and environmental liability at owned facility</w:t>
        <w:br/>
        <w:t>• HIGH SEVERITY ISSUES (6): Customer concentration, regulatory enforcement action, litigation exposure, lease assignment risk, permit transfer delays, and executive severance obligations</w:t>
        <w:br/>
        <w:t>• MEDIUM SEVERITY ISSUES (6): EBITDA adjustment discrepancies, fleet replacement backlog, asbestos tail liability, threatened labor action, insurance coverage gaps, and management continuity</w:t>
        <w:br/>
        <w:t>• LOW SEVERITY ISSUES (3): Threatened wage claim, incomplete Pinnacle integration, and lease expiration timing</w:t>
        <w:br/>
        <w:br/>
        <w:t>AGGREGATE FINANCIAL EXPOSURE: Estimated $15-25M+ in contingent liabilities and operational risks, representing 8-14% of the proposed enterprise value range ($182M-$205M).</w:t>
        <w:br/>
        <w:br/>
        <w:t>RECOMMENDATION: Proceed with acquisition subject to satisfactory resolution of critical issues, particularly: (1) DOE contract ceiling modification or new contract award; (2) debt refinancing or payoff arrangement; (3) updated environmental assessment and remediation plan; and (4) resolution of CDPHE enforcement action.</w:t>
      </w:r>
    </w:p>
    <w:p/>
    <w:p>
      <w:pPr>
        <w:pStyle w:val="Heading1"/>
      </w:pPr>
      <w:r>
        <w:t>I. CRITICAL ISSUES</w:t>
      </w:r>
    </w:p>
    <w:p>
      <w:pPr>
        <w:pStyle w:val="Heading2"/>
      </w:pPr>
      <w:r>
        <w:t>RF-001: DOE Contract Revenue Cliff Risk</w:t>
      </w:r>
    </w:p>
    <w:p>
      <w:r>
        <w:t>The U.S. Department of Energy IDIQ contract (DE-EM-0005523) represents the Company's largest customer relationship, generating $24.4M (19.2% of TTM revenue). The contract has a $45M ceiling value, of which $32.7M has been utilized through September 30, 2024, leaving only $12.3M remaining.</w:t>
        <w:br/>
        <w:br/>
        <w:t>At the Company's current run rate of approximately $24.4M annually ($2.03M/month), the remaining ceiling will be exhausted by approximately April-May 2025 — only 6 months from the target closing date. The contract does not expire until August 31, 2026, creating a 16-month period of unfunded contract authority.</w:t>
        <w:br/>
        <w:br/>
        <w:t>FINANCIAL IMPACT: If the ceiling is not increased or a new contract awarded, DOE revenue could decline from $24.4M (FY2024) to approximately $12.3M or less in FY2025, representing a potential revenue headwind of $12.1M+ (9.5% of current total revenue). This would materially impact EBITDA and leverage ratios post-closing.</w:t>
      </w:r>
    </w:p>
    <w:p>
      <w:r>
        <w:rPr>
          <w:b/>
        </w:rPr>
        <w:t>RECOMMENDED ACTIONS:</w:t>
      </w:r>
    </w:p>
    <w:p>
      <w:r>
        <w:t>1. Immediate engagement with DOE Contracting Officer to discuss ceiling modification or supplemental contract opportunities</w:t>
        <w:br/>
        <w:t>2. Obtain written confirmation of DOE's intent to increase ceiling or award new contract</w:t>
        <w:br/>
        <w:t>3. Develop contingency revenue plan assuming ceiling exhaustion</w:t>
        <w:br/>
        <w:t>4. Evaluate impact on post-closing leverage covenants and cash flow projections</w:t>
        <w:br/>
        <w:t>5. Consider earn-out or holdback adjustment tied to DOE revenue performance</w:t>
      </w:r>
    </w:p>
    <w:p/>
    <w:p>
      <w:pPr>
        <w:pStyle w:val="Heading2"/>
      </w:pPr>
      <w:r>
        <w:t>RF-003: Mandatory Debt Prepayment on Change of Control</w:t>
      </w:r>
    </w:p>
    <w:p>
      <w:r>
        <w:t>The Company's senior secured credit facility with High Plains National Bank ($38.7M outstanding as of September 30, 2024) contains a mandatory prepayment provision triggered by a change of control. The proposed 100% stock acquisition by Sycamore Capital would trigger this provision.</w:t>
        <w:br/>
        <w:br/>
        <w:t>KEY TERMS:</w:t>
        <w:br/>
        <w:t>• Total outstanding debt: $38.7M ($12.4M revolving facility + $26.3M term loan)</w:t>
        <w:br/>
        <w:t>• Prepayment premium: 1.0% of term loan principal if closing occurs between January 17, 2025 and January 16, 2026 (estimated $263K)</w:t>
        <w:br/>
        <w:t>• Mandatory prepayment required within 5 business days of closing</w:t>
        <w:br/>
        <w:t>• No consent or waiver mechanism available under the credit agreement</w:t>
        <w:br/>
        <w:br/>
        <w:t>FINANCIAL IMPACT: Approximately $39.2M+ cash requirement at closing to repay debt plus prepayment premium. This represents a material cash outflow that must be funded through refinancing, new lender arrangement, or seller financing.</w:t>
      </w:r>
    </w:p>
    <w:p>
      <w:r>
        <w:rPr>
          <w:b/>
        </w:rPr>
        <w:t>RECOMMENDED ACTIONS:</w:t>
      </w:r>
    </w:p>
    <w:p>
      <w:r>
        <w:t>1. Immediately contact High Plains National Bank to discuss refinancing or payoff options</w:t>
        <w:br/>
        <w:t>2. Evaluate alternative lenders for replacement financing post-closing</w:t>
        <w:br/>
        <w:t>3. Negotiate waiver or modification of change-of-control provision with current lender</w:t>
        <w:br/>
        <w:t>4. Budget for prepayment premium ($263K) in transaction costs</w:t>
        <w:br/>
        <w:t>5. Confirm debt payoff mechanics and timing in definitive SPA</w:t>
        <w:br/>
        <w:t>6. Consider seller note or earnout to fund debt repayment</w:t>
      </w:r>
    </w:p>
    <w:p/>
    <w:p>
      <w:pPr>
        <w:pStyle w:val="Heading2"/>
      </w:pPr>
      <w:r>
        <w:t>RF-004: Environmental Liability at Grand Junction Facility</w:t>
      </w:r>
    </w:p>
    <w:p>
      <w:r>
        <w:t>The Company's owned headquarters facility at 8750 Industrial Parkway, Grand Junction, Colorado (appraised at $6.8M in 2022) has documented soil and groundwater contamination resulting from pre-acquisition industrial operations.</w:t>
        <w:br/>
        <w:br/>
        <w:t>CONTAMINATION DETAILS:</w:t>
        <w:br/>
        <w:t>• Petroleum hydrocarbons (diesel-range organics) in western portion from former UST operations (1972-2005)</w:t>
        <w:br/>
        <w:t>• Chlorinated solvents (TCE, PCE) in eastern portion from former degreasing operations (1985-2003)</w:t>
        <w:br/>
        <w:t>• Groundwater impact confirmed in monitoring wells</w:t>
        <w:br/>
        <w:t>• Soil gas survey indicates potential vapor intrusion into occupied building</w:t>
        <w:br/>
        <w:t>• Phase II ESA completed June 2019; no updated assessment since then</w:t>
        <w:br/>
        <w:br/>
        <w:t>REMEDIATION COST ESTIMATE: $1.8M-$2.6M (2019 dollars, likely higher in 2024)</w:t>
        <w:br/>
        <w:t>ACCRUAL ON BALANCE SHEET: $3.2M (across all facilities)</w:t>
        <w:br/>
        <w:br/>
        <w:t>RISKS:</w:t>
        <w:br/>
        <w:t>• Actual remediation costs may exceed accrual if conditions have worsened</w:t>
        <w:br/>
        <w:t>• Vapor intrusion assessment not completed; potential occupational health exposure</w:t>
        <w:br/>
        <w:t>• Off-site groundwater migration not fully characterized</w:t>
        <w:br/>
        <w:t>• Remediation timeline and regulatory requirements uncertain</w:t>
        <w:br/>
        <w:t>• Environmental liability could impact property value and operational capacity</w:t>
      </w:r>
    </w:p>
    <w:p>
      <w:r>
        <w:rPr>
          <w:b/>
        </w:rPr>
        <w:t>RECOMMENDED ACTIONS:</w:t>
      </w:r>
    </w:p>
    <w:p>
      <w:r>
        <w:t>1. Commission updated Phase II ESA prior to closing (budget $50-75K)</w:t>
        <w:br/>
        <w:t>2. Conduct vapor intrusion assessment of occupied building (budget $25-40K)</w:t>
        <w:br/>
        <w:t>3. Install off-site downgradient monitoring wells to confirm plume containment</w:t>
        <w:br/>
        <w:t>4. Obtain environmental counsel opinion on remediation requirements and timeline</w:t>
        <w:br/>
        <w:t>5. Evaluate adequacy of $3.2M accrual; adjust if necessary</w:t>
        <w:br/>
        <w:t>6. Develop detailed remediation plan with CDPHE</w:t>
        <w:br/>
        <w:t>7. Consider environmental indemnity insurance or escrow holdback for environmental liabilities</w:t>
      </w:r>
    </w:p>
    <w:p/>
    <w:p>
      <w:pPr>
        <w:pStyle w:val="Heading1"/>
      </w:pPr>
      <w:r>
        <w:t>II. HIGH SEVERITY ISSUES</w:t>
      </w:r>
    </w:p>
    <w:p>
      <w:r>
        <w:rPr>
          <w:b/>
        </w:rPr>
        <w:t>RF-002: Customer Concentration Risk</w:t>
      </w:r>
    </w:p>
    <w:p>
      <w:r>
        <w:t>Top 10 customers = 67% of revenue; Top 5 = 50.4%. Consolidated Mining (11.4% of revenue) has 60-day termination for convenience clause. Loss of major customer would materially impact revenue and profitability.</w:t>
      </w:r>
    </w:p>
    <w:p>
      <w:r>
        <w:rPr>
          <w:b/>
        </w:rPr>
        <w:t>RF-005: CDPHE Regulatory Enforcement Action</w:t>
      </w:r>
    </w:p>
    <w:p>
      <w:r>
        <w:t>Notice of Violation (Docket CDPHE-HW-2024-0093) for improper hazardous waste storage. Company position: 12-day violation ($200-450K penalty); CDPHE position: 31-day violation ($1.16M penalty). Settlement negotiations ongoing with no resolution date.</w:t>
      </w:r>
    </w:p>
    <w:p>
      <w:r>
        <w:rPr>
          <w:b/>
        </w:rPr>
        <w:t>RF-006: Pending Personal Injury Litigation</w:t>
      </w:r>
    </w:p>
    <w:p>
      <w:r>
        <w:t>Ramirez v. RES (U.S. District Court, D. Wyoming) alleges occupational exposure to VOCs/heavy metals without adequate PPE. Plaintiff seeks $4.8M; estimated exposure $500K-$1.5M. Insurance coverage determination pending.</w:t>
      </w:r>
    </w:p>
    <w:p>
      <w:r>
        <w:rPr>
          <w:b/>
        </w:rPr>
        <w:t>RF-007: Salt Lake City Lease Assignment Risk</w:t>
      </w:r>
    </w:p>
    <w:p>
      <w:r>
        <w:t>Lease contains change-of-control clause requiring landlord consent. Assignment request submitted April 2022 (post-Pinnacle acquisition) but consent NOT received as of December 2024. Facility generates ~$16.2M annual revenue (12.7% of total).</w:t>
      </w:r>
    </w:p>
    <w:p>
      <w:r>
        <w:rPr>
          <w:b/>
        </w:rPr>
        <w:t>RF-009: Executive Change-of-Control Severance</w:t>
      </w:r>
    </w:p>
    <w:p>
      <w:r>
        <w:t>Total severance obligations: $3.775M. Derek &amp; Jason Calloway: $1.3125M each (single-trigger, payable at closing). Other executives: $1.15M (double-trigger). Severance = 16.5% of enterprise value at midpoint.</w:t>
      </w:r>
    </w:p>
    <w:p>
      <w:r>
        <w:rPr>
          <w:b/>
        </w:rPr>
        <w:t>RF-008: Permit Transfer Status</w:t>
      </w:r>
    </w:p>
    <w:p>
      <w:r>
        <w:t>Salt Lake City transfer station permit (UTH-0441) originally issued to Pinnacle Waste Solutions, LLC. Transfer application to RES submitted but NOT completed as of December 2024 (2.75 years post-acquisition). Facility operating under Pinnacle permit name.</w:t>
      </w:r>
    </w:p>
    <w:p/>
    <w:p>
      <w:pPr>
        <w:pStyle w:val="Heading1"/>
      </w:pPr>
      <w:r>
        <w:t>III. MEDIUM SEVERITY ISSUES</w:t>
      </w:r>
    </w:p>
    <w:p>
      <w:r>
        <w:t>The following issues present material but manageable risks that should be addressed during due diligence and transaction documentation:</w:t>
        <w:br/>
        <w:br/>
        <w:t>• RF-010: EBITDA Adjustment Discrepancy ($1.0M unexplained variance between CIM and detailed schedule; buyer may challenge adjustment categories)</w:t>
        <w:br/>
        <w:t>• RF-011: Fleet Age &amp; Capex Backlog (44.7% of fleet past useful life; $9.8M replacement cost; significant catch-up capex required post-closing)</w:t>
        <w:br/>
        <w:t>• RF-012: Asbestos Long-Tail Liability (11-year service line; 2 open workers' comp claims; uninsured exposure for pre-2015 work)</w:t>
        <w:br/>
        <w:t>• RF-013: Threatened Labor Action (NLRB election petition filed November 2024 covering 62 field technicians; unionization could increase labor costs)</w:t>
        <w:br/>
        <w:t>• RF-018: Insurance Coverage Gaps (CGL policy excludes asbestos claims; Pollution liability policy excludes gradual contamination at owned facilities)</w:t>
        <w:br/>
        <w:t>• RF-020: Management Continuity (Founder departure risk if post-closing employment arrangements unsatisfactory)</w:t>
      </w:r>
    </w:p>
    <w:p/>
    <w:p>
      <w:pPr>
        <w:pStyle w:val="Heading1"/>
      </w:pPr>
      <w:r>
        <w:t>IV. LOW SEVERITY ISSUES</w:t>
      </w:r>
    </w:p>
    <w:p>
      <w:r>
        <w:t>The following issues are lower priority but should be monitored and resolved:</w:t>
        <w:br/>
        <w:br/>
        <w:t>• RF-014: Threatened Wage Claim (Demand letter from 8 former asbestos employees; estimated exposure $100-200K)</w:t>
        <w:br/>
        <w:t>• RF-016: Pinnacle Integration Incomplete (Entity not formally dissolved; administrative items remain open 2.75 years post-acquisition)</w:t>
        <w:br/>
        <w:t>• RF-017: Lease Expiration Timing (Pueblo Storage Yard lease expires April 30, 2025; renewal negotiations underway)</w:t>
      </w:r>
    </w:p>
    <w:p/>
    <w:p>
      <w:pPr>
        <w:pStyle w:val="Heading1"/>
      </w:pPr>
      <w:r>
        <w:t>V. RED FLAG SUMMARY TABLE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Severity</w:t>
            </w:r>
          </w:p>
        </w:tc>
        <w:tc>
          <w:tcPr>
            <w:tcW w:type="dxa" w:w="1872"/>
          </w:tcPr>
          <w:p>
            <w:r>
              <w:t>Count</w:t>
            </w:r>
          </w:p>
        </w:tc>
        <w:tc>
          <w:tcPr>
            <w:tcW w:type="dxa" w:w="1872"/>
          </w:tcPr>
          <w:p>
            <w:r>
              <w:t>Est. Financial Exposure</w:t>
            </w:r>
          </w:p>
        </w:tc>
        <w:tc>
          <w:tcPr>
            <w:tcW w:type="dxa" w:w="1872"/>
          </w:tcPr>
          <w:p>
            <w:r>
              <w:t>Key Risks</w:t>
            </w:r>
          </w:p>
        </w:tc>
        <w:tc>
          <w:tcPr>
            <w:tcW w:type="dxa" w:w="1872"/>
          </w:tcPr>
          <w:p>
            <w:r>
              <w:t>Timeline</w:t>
            </w:r>
          </w:p>
        </w:tc>
      </w:tr>
      <w:tr>
        <w:tc>
          <w:tcPr>
            <w:tcW w:type="dxa" w:w="1872"/>
          </w:tcPr>
          <w:p>
            <w:r>
              <w:t>CRITICAL</w:t>
            </w:r>
          </w:p>
        </w:tc>
        <w:tc>
          <w:tcPr>
            <w:tcW w:type="dxa" w:w="1872"/>
          </w:tcPr>
          <w:p>
            <w:r>
              <w:t>3</w:t>
            </w:r>
          </w:p>
        </w:tc>
        <w:tc>
          <w:tcPr>
            <w:tcW w:type="dxa" w:w="1872"/>
          </w:tcPr>
          <w:p>
            <w:r>
              <w:t>$39.2M+ (debt) + $12.1M+ (revenue) + $1.8-2.6M (environmental)</w:t>
            </w:r>
          </w:p>
        </w:tc>
        <w:tc>
          <w:tcPr>
            <w:tcW w:type="dxa" w:w="1872"/>
          </w:tcPr>
          <w:p>
            <w:r>
              <w:t>Debt prepayment, DOE revenue cliff, environmental liability</w:t>
            </w:r>
          </w:p>
        </w:tc>
        <w:tc>
          <w:tcPr>
            <w:tcW w:type="dxa" w:w="1872"/>
          </w:tcPr>
          <w:p>
            <w:r>
              <w:t>Immediate</w:t>
            </w:r>
          </w:p>
        </w:tc>
      </w:tr>
      <w:tr>
        <w:tc>
          <w:tcPr>
            <w:tcW w:type="dxa" w:w="1872"/>
          </w:tcPr>
          <w:p>
            <w:r>
              <w:t>HIGH</w:t>
            </w:r>
          </w:p>
        </w:tc>
        <w:tc>
          <w:tcPr>
            <w:tcW w:type="dxa" w:w="1872"/>
          </w:tcPr>
          <w:p>
            <w:r>
              <w:t>6</w:t>
            </w:r>
          </w:p>
        </w:tc>
        <w:tc>
          <w:tcPr>
            <w:tcW w:type="dxa" w:w="1872"/>
          </w:tcPr>
          <w:p>
            <w:r>
              <w:t>$3.8M+ (severance, penalties, litigation)</w:t>
            </w:r>
          </w:p>
        </w:tc>
        <w:tc>
          <w:tcPr>
            <w:tcW w:type="dxa" w:w="1872"/>
          </w:tcPr>
          <w:p>
            <w:r>
              <w:t>Customer concentration, regulatory action, litigation, lease risk</w:t>
            </w:r>
          </w:p>
        </w:tc>
        <w:tc>
          <w:tcPr>
            <w:tcW w:type="dxa" w:w="1872"/>
          </w:tcPr>
          <w:p>
            <w:r>
              <w:t>Pre-closing</w:t>
            </w:r>
          </w:p>
        </w:tc>
      </w:tr>
      <w:tr>
        <w:tc>
          <w:tcPr>
            <w:tcW w:type="dxa" w:w="1872"/>
          </w:tcPr>
          <w:p>
            <w:r>
              <w:t>MEDIUM</w:t>
            </w:r>
          </w:p>
        </w:tc>
        <w:tc>
          <w:tcPr>
            <w:tcW w:type="dxa" w:w="1872"/>
          </w:tcPr>
          <w:p>
            <w:r>
              <w:t>6</w:t>
            </w:r>
          </w:p>
        </w:tc>
        <w:tc>
          <w:tcPr>
            <w:tcW w:type="dxa" w:w="1872"/>
          </w:tcPr>
          <w:p>
            <w:r>
              <w:t>$2-5M (estimated)</w:t>
            </w:r>
          </w:p>
        </w:tc>
        <w:tc>
          <w:tcPr>
            <w:tcW w:type="dxa" w:w="1872"/>
          </w:tcPr>
          <w:p>
            <w:r>
              <w:t>EBITDA adjustments, fleet capex, labor risk, insurance gaps</w:t>
            </w:r>
          </w:p>
        </w:tc>
        <w:tc>
          <w:tcPr>
            <w:tcW w:type="dxa" w:w="1872"/>
          </w:tcPr>
          <w:p>
            <w:r>
              <w:t>Pre/Post-closing</w:t>
            </w:r>
          </w:p>
        </w:tc>
      </w:tr>
      <w:tr>
        <w:tc>
          <w:tcPr>
            <w:tcW w:type="dxa" w:w="1872"/>
          </w:tcPr>
          <w:p>
            <w:r>
              <w:t>LOW</w:t>
            </w:r>
          </w:p>
        </w:tc>
        <w:tc>
          <w:tcPr>
            <w:tcW w:type="dxa" w:w="1872"/>
          </w:tcPr>
          <w:p>
            <w:r>
              <w:t>3</w:t>
            </w:r>
          </w:p>
        </w:tc>
        <w:tc>
          <w:tcPr>
            <w:tcW w:type="dxa" w:w="1872"/>
          </w:tcPr>
          <w:p>
            <w:r>
              <w:t>&lt;$1M (estimated)</w:t>
            </w:r>
          </w:p>
        </w:tc>
        <w:tc>
          <w:tcPr>
            <w:tcW w:type="dxa" w:w="1872"/>
          </w:tcPr>
          <w:p>
            <w:r>
              <w:t>Wage claims, Pinnacle integration, lease expiration</w:t>
            </w:r>
          </w:p>
        </w:tc>
        <w:tc>
          <w:tcPr>
            <w:tcW w:type="dxa" w:w="1872"/>
          </w:tcPr>
          <w:p>
            <w:r>
              <w:t>Post-closing</w:t>
            </w:r>
          </w:p>
        </w:tc>
      </w:tr>
    </w:tbl>
    <w:p/>
    <w:p>
      <w:pPr>
        <w:pStyle w:val="Heading1"/>
      </w:pPr>
      <w:r>
        <w:t>VI. OVERALL RECOMMENDATIONS</w:t>
      </w:r>
    </w:p>
    <w:p>
      <w:r>
        <w:t>PROCEED WITH ACQUISITION subject to satisfactory resolution of the following critical items:</w:t>
        <w:br/>
        <w:br/>
        <w:t>1. DOE CONTRACT CEILING: Obtain written confirmation from DOE Contracting Officer regarding ceiling modification or new contract award. If ceiling exhaustion is imminent, develop contingency revenue plan and adjust valuation accordingly.</w:t>
        <w:br/>
        <w:br/>
        <w:t>2. DEBT REFINANCING: Negotiate refinancing or payoff arrangement with High Plains National Bank prior to closing. Confirm debt payoff mechanics and budget for prepayment premium.</w:t>
        <w:br/>
        <w:br/>
        <w:t>3. ENVIRONMENTAL ASSESSMENT: Commission updated Phase II ESA and vapor intrusion assessment. Confirm adequacy of environmental accrual and develop remediation plan with CDPHE.</w:t>
        <w:br/>
        <w:br/>
        <w:t>4. REGULATORY RESOLUTION: Accelerate settlement negotiations with CDPHE on enforcement action. Obtain legal opinion on likely penalty outcome and establish appropriate reserve.</w:t>
        <w:br/>
        <w:br/>
        <w:t>5. LEASE ASSIGNMENT: Obtain landlord consent to Pinnacle-to-RES assignment and separate consent for Sycamore acquisition at Salt Lake City facility. Evaluate lease renewal/renegotiation.</w:t>
        <w:br/>
        <w:br/>
        <w:t>6. SEVERANCE NEGOTIATION: Negotiate reduction or elimination of change-of-control severance with Calloway brothers. Confirm treatment as transaction expense vs. purchase price adjustment.</w:t>
        <w:br/>
        <w:br/>
        <w:t>7. INSURANCE COVERAGE: Obtain insurance counsel opinion on coverage gaps. Evaluate supplemental coverage for environmental liability and confirm Ramirez claim coverage determination.</w:t>
        <w:br/>
        <w:br/>
        <w:t>8. VALUATION VALIDATION: Obtain independent valuation analysis. Validate EBITDA adjustments with buyer's advisors and confirm comparable company multiples support valuation range.</w:t>
        <w:br/>
        <w:br/>
        <w:t>CONTINGENT ITEMS FOR POST-CLOSING:</w:t>
        <w:br/>
        <w:br/>
        <w:t>• Fleet replacement plan and capex budget ($7-8M annually for FY2025-FY2027)</w:t>
        <w:br/>
        <w:t>• Permit transfer completion (Salt Lake City)</w:t>
        <w:br/>
        <w:t>• Management retention agreements with Calloway brothers and other executives</w:t>
        <w:br/>
        <w:t>• Labor relations strategy in response to NLRB election petition</w:t>
        <w:br/>
        <w:t>• Asbestos tail coverage procurement</w:t>
        <w:br/>
        <w:br/>
        <w:t>ESTIMATED AGGREGATE EXPOSURE: $15-25M+ in contingent liabilities and operational risks (8-14% of enterprise value). This exposure should be reflected in purchase price adjustments, escrow holdbacks, or indemnification provisions in the definitive SPA.</w:t>
      </w:r>
    </w:p>
    <w:p/>
    <w:p>
      <w:pPr>
        <w:pStyle w:val="Heading1"/>
      </w:pPr>
      <w:r>
        <w:t>VII. CONCLUSION</w:t>
      </w:r>
    </w:p>
    <w:p>
      <w:r>
        <w:t>Ridgeline Environmental Services represents a strategically attractive acquisition platform with strong market positioning, diversified service offerings, and solid financial performance. However, the transaction presents material risks that must be addressed prior to closing, particularly regarding DOE contract sustainability, debt refinancing, environmental liability, and regulatory matters.</w:t>
        <w:br/>
        <w:br/>
        <w:t>The critical issues identified in this analysis are manageable but require immediate attention and negotiation. With satisfactory resolution of these items, the acquisition presents a compelling opportunity for Sycamore Capital to establish a leading environmental services platform in the Mountain West region.</w:t>
        <w:br/>
        <w:br/>
        <w:t>This analysis should be reviewed in conjunction with the detailed red flag tracker spreadsheet, which provides additional detail on each identified issue, financial impact estimates, and recommended actions.</w:t>
      </w:r>
    </w:p>
    <w:p/>
    <w:p/>
    <w:p>
      <w:pPr>
        <w:jc w:val="center"/>
      </w:pPr>
      <w:r>
        <w:rPr>
          <w:b/>
          <w:sz w:val="18"/>
        </w:rPr>
        <w:t>CONFIDENTIAL - FOR AUTHORIZED RECIPIENTS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