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val="clear" w:color="auto" w:fill="1F3864"/>
      </w:pPr>
      <w:r>
        <w:rPr>
          <w:rFonts w:ascii="Calibri" w:hAnsi="Calibri"/>
          <w:b/>
          <w:i w:val="0"/>
          <w:color w:val="FFFFFF"/>
          <w:sz w:val="32"/>
        </w:rPr>
        <w:t>PROJECT RIDGELINE — DUE DILIGENCE RED FLAG MEMORANDUM</w:t>
      </w:r>
    </w:p>
    <w:p>
      <w:pPr>
        <w:spacing w:before="0" w:after="120"/>
        <w:jc w:val="center"/>
        <w:shd w:val="clear" w:color="auto" w:fill="2E75B6"/>
      </w:pPr>
      <w:r>
        <w:rPr>
          <w:rFonts w:ascii="Calibri" w:hAnsi="Calibri"/>
          <w:b w:val="0"/>
          <w:i/>
          <w:color w:val="FFFFFF"/>
          <w:sz w:val="18"/>
        </w:rPr>
        <w:t>Ridgeline Environmental Services, Inc.  |  Sycamore Capital Partners, LP  |  December 2024  |  PRIVILEGED &amp; CONFIDENTIAL</w:t>
      </w:r>
    </w:p>
    <w:tbl>
      <w:tblPr>
        <w:tblStyle w:val="TableGrid"/>
        <w:tblW w:type="auto" w:w="0"/>
        <w:tblLayout w:type="fixed"/>
        <w:tblLook w:firstColumn="1" w:firstRow="1" w:lastColumn="0" w:lastRow="0" w:noHBand="0" w:noVBand="1" w:val="04A0"/>
      </w:tblPr>
      <w:tblGrid>
        <w:gridCol w:w="2016"/>
        <w:gridCol w:w="8064"/>
      </w:tblGrid>
      <w:tr>
        <w:tc>
          <w:tcPr>
            <w:tcW w:type="dxa" w:w="4680"/>
          </w:tcPr>
          <w:p>
            <w:r>
              <w:rPr>
                <w:b/>
                <w:sz w:val="18"/>
              </w:rPr>
              <w:t>To:</w:t>
            </w:r>
          </w:p>
        </w:tc>
        <w:tc>
          <w:tcPr>
            <w:tcW w:type="dxa" w:w="4680"/>
          </w:tcPr>
          <w:p>
            <w:r>
              <w:rPr>
                <w:sz w:val="18"/>
              </w:rPr>
              <w:t>Sycamore Capital Partners, LP — Deal Team</w:t>
            </w:r>
          </w:p>
        </w:tc>
      </w:tr>
      <w:tr>
        <w:tc>
          <w:tcPr>
            <w:tcW w:type="dxa" w:w="4680"/>
          </w:tcPr>
          <w:p>
            <w:r>
              <w:rPr>
                <w:b/>
                <w:sz w:val="18"/>
              </w:rPr>
              <w:t>From:</w:t>
            </w:r>
          </w:p>
        </w:tc>
        <w:tc>
          <w:tcPr>
            <w:tcW w:type="dxa" w:w="4680"/>
          </w:tcPr>
          <w:p>
            <w:r>
              <w:rPr>
                <w:sz w:val="18"/>
              </w:rPr>
              <w:t>Buyer's Diligence Team</w:t>
            </w:r>
          </w:p>
        </w:tc>
      </w:tr>
      <w:tr>
        <w:tc>
          <w:tcPr>
            <w:tcW w:type="dxa" w:w="4680"/>
          </w:tcPr>
          <w:p>
            <w:r>
              <w:rPr>
                <w:b/>
                <w:sz w:val="18"/>
              </w:rPr>
              <w:t>Date:</w:t>
            </w:r>
          </w:p>
        </w:tc>
        <w:tc>
          <w:tcPr>
            <w:tcW w:type="dxa" w:w="4680"/>
          </w:tcPr>
          <w:p>
            <w:r>
              <w:rPr>
                <w:sz w:val="18"/>
              </w:rPr>
              <w:t>December 2024</w:t>
            </w:r>
          </w:p>
        </w:tc>
      </w:tr>
      <w:tr>
        <w:tc>
          <w:tcPr>
            <w:tcW w:type="dxa" w:w="4680"/>
          </w:tcPr>
          <w:p>
            <w:r>
              <w:rPr>
                <w:b/>
                <w:sz w:val="18"/>
              </w:rPr>
              <w:t>Re:</w:t>
            </w:r>
          </w:p>
        </w:tc>
        <w:tc>
          <w:tcPr>
            <w:tcW w:type="dxa" w:w="4680"/>
          </w:tcPr>
          <w:p>
            <w:r>
              <w:rPr>
                <w:sz w:val="18"/>
              </w:rPr>
              <w:t>Red Flag Analysis — Ridgeline Environmental Services, Inc.</w:t>
            </w:r>
          </w:p>
        </w:tc>
      </w:tr>
    </w:tbl>
    <w:p/>
    <w:p>
      <w:pPr>
        <w:spacing w:before="200" w:after="40"/>
        <w:jc w:val="left"/>
      </w:pPr>
      <w:r>
        <w:rPr>
          <w:rFonts w:ascii="Calibri" w:hAnsi="Calibri"/>
          <w:b/>
          <w:i w:val="0"/>
          <w:color w:val="1F3864"/>
          <w:sz w:val="26"/>
        </w:rPr>
        <w:t>I. EXECUTIVE SUMMARY</w:t>
      </w:r>
    </w:p>
    <w:p>
      <w:pPr>
        <w:spacing w:before="40" w:after="80"/>
        <w:pBdr>
          <w:bottom w:val="single" w:sz="8" w:space="1" w:color="1F3864"/>
        </w:pBdr>
      </w:pPr>
    </w:p>
    <w:p>
      <w:pPr>
        <w:spacing w:before="0" w:after="80"/>
        <w:jc w:val="left"/>
      </w:pPr>
      <w:r>
        <w:rPr>
          <w:rFonts w:ascii="Calibri" w:hAnsi="Calibri"/>
          <w:b w:val="0"/>
          <w:i w:val="0"/>
          <w:sz w:val="20"/>
        </w:rPr>
        <w:t>This memorandum summarizes the material red flags identified during our review of the Project Ridgeline data room for the proposed acquisition of Ridgeline Environmental Services, Inc. ("RES" or the "Company") by Sycamore Capital Partners, LP ("Buyer"). The proposed transaction is structured as a 100% stock acquisition at an indicative enterprise value of $182M–$205M (8.0x–9.0x management's stated Adjusted EBITDA of $22.8M).</w:t>
      </w:r>
    </w:p>
    <w:p>
      <w:pPr>
        <w:spacing w:before="0" w:after="120"/>
        <w:jc w:val="left"/>
      </w:pPr>
      <w:r>
        <w:rPr>
          <w:rFonts w:ascii="Calibri" w:hAnsi="Calibri"/>
          <w:b w:val="0"/>
          <w:i w:val="0"/>
          <w:sz w:val="20"/>
        </w:rPr>
        <w:t>Our review identified 29 discrete red flags across 8 categories. The issues range from a fundamental discrepancy in the EBITDA figure underpinning the valuation, to an active federal regulatory enforcement action, to a near-term revenue cliff in the Company's largest customer relationship. Several issues are deal-critical and must be resolved before the Buyer can proceed to signing with confidence.</w:t>
      </w:r>
    </w:p>
    <w:p>
      <w:pPr>
        <w:spacing w:before="0" w:after="40"/>
        <w:jc w:val="left"/>
      </w:pPr>
      <w:r>
        <w:rPr>
          <w:rFonts w:ascii="Calibri" w:hAnsi="Calibri"/>
          <w:b/>
          <w:i w:val="0"/>
          <w:sz w:val="20"/>
        </w:rPr>
        <w:t>Summary by Severity:</w:t>
      </w:r>
    </w:p>
    <w:tbl>
      <w:tblPr>
        <w:tblStyle w:val="TableGrid"/>
        <w:tblW w:type="auto" w:w="0"/>
        <w:tblLayout w:type="fixed"/>
        <w:tblLook w:firstColumn="1" w:firstRow="1" w:lastColumn="0" w:lastRow="0" w:noHBand="0" w:noVBand="1" w:val="04A0"/>
      </w:tblPr>
      <w:tblGrid>
        <w:gridCol w:w="1728"/>
        <w:gridCol w:w="1008"/>
        <w:gridCol w:w="7344"/>
      </w:tblGrid>
      <w:tr>
        <w:tc>
          <w:tcPr>
            <w:tcW w:type="dxa" w:w="3120"/>
          </w:tcPr>
          <w:p>
            <w:pPr>
              <w:shd w:val="clear" w:color="auto" w:fill="1F3864"/>
            </w:pPr>
            <w:r>
              <w:rPr>
                <w:rFonts w:ascii="Calibri" w:hAnsi="Calibri"/>
                <w:b/>
                <w:color w:val="FFFFFF"/>
                <w:sz w:val="18"/>
              </w:rPr>
              <w:t>Severity</w:t>
            </w:r>
          </w:p>
        </w:tc>
        <w:tc>
          <w:tcPr>
            <w:tcW w:type="dxa" w:w="3120"/>
          </w:tcPr>
          <w:p>
            <w:pPr>
              <w:shd w:val="clear" w:color="auto" w:fill="1F3864"/>
            </w:pPr>
            <w:r>
              <w:rPr>
                <w:rFonts w:ascii="Calibri" w:hAnsi="Calibri"/>
                <w:b/>
                <w:color w:val="FFFFFF"/>
                <w:sz w:val="18"/>
              </w:rPr>
              <w:t>Count</w:t>
            </w:r>
          </w:p>
        </w:tc>
        <w:tc>
          <w:tcPr>
            <w:tcW w:type="dxa" w:w="3120"/>
          </w:tcPr>
          <w:p>
            <w:pPr>
              <w:shd w:val="clear" w:color="auto" w:fill="1F3864"/>
            </w:pPr>
            <w:r>
              <w:rPr>
                <w:rFonts w:ascii="Calibri" w:hAnsi="Calibri"/>
                <w:b/>
                <w:color w:val="FFFFFF"/>
                <w:sz w:val="18"/>
              </w:rPr>
              <w:t>Key Themes</w:t>
            </w:r>
          </w:p>
        </w:tc>
      </w:tr>
      <w:tr>
        <w:tc>
          <w:tcPr>
            <w:tcW w:type="dxa" w:w="3120"/>
          </w:tcPr>
          <w:p>
            <w:pPr>
              <w:shd w:val="clear" w:color="auto" w:fill="F2F2F2"/>
            </w:pPr>
            <w:r>
              <w:rPr>
                <w:rFonts w:ascii="Calibri" w:hAnsi="Calibri"/>
                <w:sz w:val="18"/>
              </w:rPr>
              <w:t>CRITICAL</w:t>
            </w:r>
          </w:p>
        </w:tc>
        <w:tc>
          <w:tcPr>
            <w:tcW w:type="dxa" w:w="3120"/>
          </w:tcPr>
          <w:p>
            <w:pPr>
              <w:shd w:val="clear" w:color="auto" w:fill="F2F2F2"/>
            </w:pPr>
            <w:r>
              <w:rPr>
                <w:rFonts w:ascii="Calibri" w:hAnsi="Calibri"/>
                <w:sz w:val="18"/>
              </w:rPr>
              <w:t>5</w:t>
            </w:r>
          </w:p>
        </w:tc>
        <w:tc>
          <w:tcPr>
            <w:tcW w:type="dxa" w:w="3120"/>
          </w:tcPr>
          <w:p>
            <w:pPr>
              <w:shd w:val="clear" w:color="auto" w:fill="F2F2F2"/>
            </w:pPr>
            <w:r>
              <w:rPr>
                <w:rFonts w:ascii="Calibri" w:hAnsi="Calibri"/>
                <w:sz w:val="18"/>
              </w:rPr>
              <w:t>EBITDA discrepancy; DOE ceiling exhaustion; SLC lease default; CDPHE enforcement; CoC severance</w:t>
            </w:r>
          </w:p>
        </w:tc>
      </w:tr>
      <w:tr>
        <w:tc>
          <w:tcPr>
            <w:tcW w:type="dxa" w:w="3120"/>
          </w:tcPr>
          <w:p>
            <w:pPr>
              <w:shd w:val="clear" w:color="auto" w:fill="FFFFFF"/>
            </w:pPr>
            <w:r>
              <w:rPr>
                <w:rFonts w:ascii="Calibri" w:hAnsi="Calibri"/>
                <w:sz w:val="18"/>
              </w:rPr>
              <w:t>HIGH</w:t>
            </w:r>
          </w:p>
        </w:tc>
        <w:tc>
          <w:tcPr>
            <w:tcW w:type="dxa" w:w="3120"/>
          </w:tcPr>
          <w:p>
            <w:pPr>
              <w:shd w:val="clear" w:color="auto" w:fill="FFFFFF"/>
            </w:pPr>
            <w:r>
              <w:rPr>
                <w:rFonts w:ascii="Calibri" w:hAnsi="Calibri"/>
                <w:sz w:val="18"/>
              </w:rPr>
              <w:t>6</w:t>
            </w:r>
          </w:p>
        </w:tc>
        <w:tc>
          <w:tcPr>
            <w:tcW w:type="dxa" w:w="3120"/>
          </w:tcPr>
          <w:p>
            <w:pPr>
              <w:shd w:val="clear" w:color="auto" w:fill="FFFFFF"/>
            </w:pPr>
            <w:r>
              <w:rPr>
                <w:rFonts w:ascii="Calibri" w:hAnsi="Calibri"/>
                <w:sz w:val="18"/>
              </w:rPr>
              <w:t>Stale Phase II ESA; permit in Pinnacle name; multiple lease consents; credit facility payoff; NLRB petition</w:t>
            </w:r>
          </w:p>
        </w:tc>
      </w:tr>
      <w:tr>
        <w:tc>
          <w:tcPr>
            <w:tcW w:type="dxa" w:w="3120"/>
          </w:tcPr>
          <w:p>
            <w:pPr>
              <w:shd w:val="clear" w:color="auto" w:fill="F2F2F2"/>
            </w:pPr>
            <w:r>
              <w:rPr>
                <w:rFonts w:ascii="Calibri" w:hAnsi="Calibri"/>
                <w:sz w:val="18"/>
              </w:rPr>
              <w:t>MEDIUM</w:t>
            </w:r>
          </w:p>
        </w:tc>
        <w:tc>
          <w:tcPr>
            <w:tcW w:type="dxa" w:w="3120"/>
          </w:tcPr>
          <w:p>
            <w:pPr>
              <w:shd w:val="clear" w:color="auto" w:fill="F2F2F2"/>
            </w:pPr>
            <w:r>
              <w:rPr>
                <w:rFonts w:ascii="Calibri" w:hAnsi="Calibri"/>
                <w:sz w:val="18"/>
              </w:rPr>
              <w:t>6</w:t>
            </w:r>
          </w:p>
        </w:tc>
        <w:tc>
          <w:tcPr>
            <w:tcW w:type="dxa" w:w="3120"/>
          </w:tcPr>
          <w:p>
            <w:pPr>
              <w:shd w:val="clear" w:color="auto" w:fill="F2F2F2"/>
            </w:pPr>
            <w:r>
              <w:rPr>
                <w:rFonts w:ascii="Calibri" w:hAnsi="Calibri"/>
                <w:sz w:val="18"/>
              </w:rPr>
              <w:t>Fleet replacement backlog; Ramirez litigation; insurance gaps; customer concentration; asbestos tail</w:t>
            </w:r>
          </w:p>
        </w:tc>
      </w:tr>
      <w:tr>
        <w:tc>
          <w:tcPr>
            <w:tcW w:type="dxa" w:w="3120"/>
          </w:tcPr>
          <w:p>
            <w:pPr>
              <w:shd w:val="clear" w:color="auto" w:fill="FFFFFF"/>
            </w:pPr>
            <w:r>
              <w:rPr>
                <w:rFonts w:ascii="Calibri" w:hAnsi="Calibri"/>
                <w:sz w:val="18"/>
              </w:rPr>
              <w:t>LOW</w:t>
            </w:r>
          </w:p>
        </w:tc>
        <w:tc>
          <w:tcPr>
            <w:tcW w:type="dxa" w:w="3120"/>
          </w:tcPr>
          <w:p>
            <w:pPr>
              <w:shd w:val="clear" w:color="auto" w:fill="FFFFFF"/>
            </w:pPr>
            <w:r>
              <w:rPr>
                <w:rFonts w:ascii="Calibri" w:hAnsi="Calibri"/>
                <w:sz w:val="18"/>
              </w:rPr>
              <w:t>2</w:t>
            </w:r>
          </w:p>
        </w:tc>
        <w:tc>
          <w:tcPr>
            <w:tcW w:type="dxa" w:w="3120"/>
          </w:tcPr>
          <w:p>
            <w:pPr>
              <w:shd w:val="clear" w:color="auto" w:fill="FFFFFF"/>
            </w:pPr>
            <w:r>
              <w:rPr>
                <w:rFonts w:ascii="Calibri" w:hAnsi="Calibri"/>
                <w:sz w:val="18"/>
              </w:rPr>
              <w:t>Dormant subsidiary; board governance</w:t>
            </w:r>
          </w:p>
        </w:tc>
      </w:tr>
    </w:tbl>
    <w:p/>
    <w:p>
      <w:pPr>
        <w:spacing w:before="0" w:after="120"/>
        <w:jc w:val="left"/>
      </w:pPr>
      <w:r>
        <w:rPr>
          <w:rFonts w:ascii="Calibri" w:hAnsi="Calibri"/>
          <w:b/>
          <w:i w:val="0"/>
          <w:sz w:val="20"/>
        </w:rPr>
        <w:t>Bottom line: RES is a fundamentally sound environmental services platform with real competitive advantages — a strong permit portfolio, a diversified customer base, and a capable management team. However, the data room reveals a pattern of deferred maintenance — regulatory, physical, and legal — that creates material risk for a buyer. The valuation must be stress-tested against a scrubbed EBITDA figure, and several issues require resolution as conditions precedent to closing.</w:t>
      </w:r>
    </w:p>
    <w:p>
      <w:r>
        <w:br w:type="page"/>
      </w:r>
    </w:p>
    <w:p>
      <w:pPr>
        <w:spacing w:before="200" w:after="40"/>
        <w:jc w:val="left"/>
      </w:pPr>
      <w:r>
        <w:rPr>
          <w:rFonts w:ascii="Calibri" w:hAnsi="Calibri"/>
          <w:b/>
          <w:i w:val="0"/>
          <w:color w:val="1F3864"/>
          <w:sz w:val="26"/>
        </w:rPr>
        <w:t>II. FINANCIAL AND QUALITY OF EARNINGS</w:t>
      </w:r>
    </w:p>
    <w:p>
      <w:pPr>
        <w:spacing w:before="40" w:after="80"/>
        <w:pBdr>
          <w:bottom w:val="single" w:sz="8" w:space="1" w:color="1F3864"/>
        </w:pBdr>
      </w:pPr>
    </w:p>
    <w:p>
      <w:pPr>
        <w:spacing w:before="160" w:after="40"/>
        <w:jc w:val="left"/>
        <w:shd w:val="clear" w:color="auto" w:fill="C00000"/>
      </w:pPr>
      <w:r>
        <w:rPr>
          <w:rFonts w:ascii="Calibri" w:hAnsi="Calibri"/>
          <w:b/>
          <w:i w:val="0"/>
          <w:color w:val="FFFFFF"/>
          <w:sz w:val="20"/>
        </w:rPr>
        <w:t xml:space="preserve">  RF-01  ·  CRITICAL  ·  Adjusted EBITDA Discrepancy: CIM vs. QofE Schedule ($1.0M Gap)</w:t>
      </w:r>
    </w:p>
    <w:p>
      <w:pPr>
        <w:spacing w:before="20" w:after="40"/>
        <w:ind w:left="216"/>
      </w:pPr>
      <w:r>
        <w:rPr>
          <w:rFonts w:ascii="Calibri" w:hAnsi="Calibri"/>
          <w:b/>
          <w:color w:val="1F3864"/>
          <w:sz w:val="18"/>
        </w:rPr>
        <w:t xml:space="preserve">Source: </w:t>
      </w:r>
      <w:r>
        <w:rPr>
          <w:rFonts w:ascii="Calibri" w:hAnsi="Calibri"/>
          <w:b w:val="0"/>
          <w:sz w:val="18"/>
        </w:rPr>
        <w:t>QofE Data Request Response (EBITDA Bridge tab); CIM §VI.B</w:t>
      </w:r>
    </w:p>
    <w:p>
      <w:pPr>
        <w:spacing w:before="20" w:after="40"/>
        <w:ind w:left="216"/>
      </w:pPr>
      <w:r>
        <w:rPr>
          <w:rFonts w:ascii="Calibri" w:hAnsi="Calibri"/>
          <w:b/>
          <w:color w:val="1F3864"/>
          <w:sz w:val="18"/>
        </w:rPr>
        <w:t xml:space="preserve">Finding: </w:t>
      </w:r>
      <w:r>
        <w:rPr>
          <w:rFonts w:ascii="Calibri" w:hAnsi="Calibri"/>
          <w:b w:val="0"/>
          <w:sz w:val="18"/>
        </w:rPr>
        <w:t>The CIM states Adjusted EBITDA of $22.8M. The QofE data package EBITDA Bridge tab calculates Adjusted EBITDA of $23.8M — a $1.0M unexplained difference. Management acknowledges the discrepancy and states it 'intends to reconcile' but has not identified the specific adjustment causing it. This is a fundamental data integrity issue at the core of the valuation.</w:t>
      </w:r>
    </w:p>
    <w:p>
      <w:pPr>
        <w:spacing w:before="20" w:after="40"/>
        <w:ind w:left="216"/>
      </w:pPr>
      <w:r>
        <w:rPr>
          <w:rFonts w:ascii="Calibri" w:hAnsi="Calibri"/>
          <w:b/>
          <w:color w:val="1F3864"/>
          <w:sz w:val="18"/>
        </w:rPr>
        <w:t xml:space="preserve">Quantified Exposure: </w:t>
      </w:r>
      <w:r>
        <w:rPr>
          <w:rFonts w:ascii="Calibri" w:hAnsi="Calibri"/>
          <w:b w:val="0"/>
          <w:sz w:val="18"/>
        </w:rPr>
        <w:t>$1.0M unexplained gap; at 8–9x multiple = $8M–$9M valuation impact if EBITDA is confirmed at the lower figure.</w:t>
      </w:r>
    </w:p>
    <w:p>
      <w:pPr>
        <w:spacing w:before="20" w:after="40"/>
        <w:ind w:left="216"/>
      </w:pPr>
      <w:r>
        <w:rPr>
          <w:rFonts w:ascii="Calibri" w:hAnsi="Calibri"/>
          <w:b/>
          <w:color w:val="1F3864"/>
          <w:sz w:val="18"/>
        </w:rPr>
        <w:t xml:space="preserve">Buyer Action: </w:t>
      </w:r>
      <w:r>
        <w:rPr>
          <w:rFonts w:ascii="Calibri" w:hAnsi="Calibri"/>
          <w:b w:val="0"/>
          <w:sz w:val="18"/>
        </w:rPr>
        <w:t>Require full reconciliation before confirming the LOI price. Use the lower figure ($22.8M) pending resolution. Condition the Enterprise Value on QofE findings per LOI §3.2.</w:t>
      </w:r>
    </w:p>
    <w:p>
      <w:pPr>
        <w:spacing w:before="20" w:after="40"/>
        <w:ind w:left="216"/>
      </w:pPr>
      <w:r>
        <w:rPr>
          <w:rFonts w:ascii="Calibri" w:hAnsi="Calibri"/>
          <w:b/>
          <w:color w:val="1F3864"/>
          <w:sz w:val="18"/>
        </w:rPr>
        <w:t xml:space="preserve">SPA Mechanism: </w:t>
      </w:r>
      <w:r>
        <w:rPr>
          <w:rFonts w:ascii="Calibri" w:hAnsi="Calibri"/>
          <w:b w:val="0"/>
          <w:sz w:val="18"/>
        </w:rPr>
        <w:t>Condition precedent to signing; rep/warranty on Adjusted EBITDA calculation; specific indemnity for any shortfall.</w:t>
      </w:r>
    </w:p>
    <w:p>
      <w:pPr>
        <w:spacing w:before="160" w:after="40"/>
        <w:jc w:val="left"/>
        <w:shd w:val="clear" w:color="auto" w:fill="C00000"/>
      </w:pPr>
      <w:r>
        <w:rPr>
          <w:rFonts w:ascii="Calibri" w:hAnsi="Calibri"/>
          <w:b/>
          <w:i w:val="0"/>
          <w:color w:val="FFFFFF"/>
          <w:sz w:val="20"/>
        </w:rPr>
        <w:t xml:space="preserve">  RF-02  ·  CRITICAL  ·  Aggressive EBITDA Add-Backs: $5.4M Total; Bank Definition Allows $0</w:t>
      </w:r>
    </w:p>
    <w:p>
      <w:pPr>
        <w:spacing w:before="20" w:after="40"/>
        <w:ind w:left="216"/>
      </w:pPr>
      <w:r>
        <w:rPr>
          <w:rFonts w:ascii="Calibri" w:hAnsi="Calibri"/>
          <w:b/>
          <w:color w:val="1F3864"/>
          <w:sz w:val="18"/>
        </w:rPr>
        <w:t xml:space="preserve">Source: </w:t>
      </w:r>
      <w:r>
        <w:rPr>
          <w:rFonts w:ascii="Calibri" w:hAnsi="Calibri"/>
          <w:b w:val="0"/>
          <w:sz w:val="18"/>
        </w:rPr>
        <w:t>QofE EBITDA Bridge tab; Credit Agreement Summary §4</w:t>
      </w:r>
    </w:p>
    <w:p>
      <w:pPr>
        <w:spacing w:before="20" w:after="40"/>
        <w:ind w:left="216"/>
      </w:pPr>
      <w:r>
        <w:rPr>
          <w:rFonts w:ascii="Calibri" w:hAnsi="Calibri"/>
          <w:b/>
          <w:color w:val="1F3864"/>
          <w:sz w:val="18"/>
        </w:rPr>
        <w:t xml:space="preserve">Finding: </w:t>
      </w:r>
      <w:r>
        <w:rPr>
          <w:rFonts w:ascii="Calibri" w:hAnsi="Calibri"/>
          <w:b w:val="0"/>
          <w:sz w:val="18"/>
        </w:rPr>
        <w:t>Management adds back $5.4M to reach Adjusted EBITDA from reported EBITDA of $18.4M. Key concerns: (1) The $1.2M 'litigation settlement' add-back is a RECEIPT of cash from Clearwater Logistics — income, not an expense; adding it back inflates Adjusted EBITDA by treating income as a non-recurring cost. (2) The $800K Pinnacle integration add-back persists 2.5 years post-close — arguably recurring. (3) The $1.8M asbestos wind-down add-back relates to a service line with negative margins for two years prior to discontinuation. (4) The $650K ERP add-back relates to a Phase 2 implementation expected to continue into Q2 FY2025. Critically, the Company's credit agreement with High Plains National Bank explicitly disallows all five add-back categories, yielding bank-defined Consolidated EBITDA of approximately $18.4M.</w:t>
      </w:r>
    </w:p>
    <w:p>
      <w:pPr>
        <w:spacing w:before="20" w:after="40"/>
        <w:ind w:left="216"/>
      </w:pPr>
      <w:r>
        <w:rPr>
          <w:rFonts w:ascii="Calibri" w:hAnsi="Calibri"/>
          <w:b/>
          <w:color w:val="1F3864"/>
          <w:sz w:val="18"/>
        </w:rPr>
        <w:t xml:space="preserve">Quantified Exposure: </w:t>
      </w:r>
      <w:r>
        <w:rPr>
          <w:rFonts w:ascii="Calibri" w:hAnsi="Calibri"/>
          <w:b w:val="0"/>
          <w:sz w:val="18"/>
        </w:rPr>
        <w:t>Bank EBITDA = $18.4M vs. management $22.8M–$23.8M; at 8–9x = $36M–$49M valuation gap vs. bank definition. Buyer-adjusted EBITDA (applying 50% haircuts to defensible add-backs) ≈ $20.1M, implying EV of $141M–$181M at 7.0x–9.0x.</w:t>
      </w:r>
    </w:p>
    <w:p>
      <w:pPr>
        <w:spacing w:before="20" w:after="40"/>
        <w:ind w:left="216"/>
      </w:pPr>
      <w:r>
        <w:rPr>
          <w:rFonts w:ascii="Calibri" w:hAnsi="Calibri"/>
          <w:b/>
          <w:color w:val="1F3864"/>
          <w:sz w:val="18"/>
        </w:rPr>
        <w:t xml:space="preserve">Buyer Action: </w:t>
      </w:r>
      <w:r>
        <w:rPr>
          <w:rFonts w:ascii="Calibri" w:hAnsi="Calibri"/>
          <w:b w:val="0"/>
          <w:sz w:val="18"/>
        </w:rPr>
        <w:t>Commission independent QofE; challenge each add-back; use bank EBITDA as the floor for valuation sensitivity. Negotiate multiple on a scrubbed EBITDA figure.</w:t>
      </w:r>
    </w:p>
    <w:p>
      <w:pPr>
        <w:spacing w:before="20" w:after="40"/>
        <w:ind w:left="216"/>
      </w:pPr>
      <w:r>
        <w:rPr>
          <w:rFonts w:ascii="Calibri" w:hAnsi="Calibri"/>
          <w:b/>
          <w:color w:val="1F3864"/>
          <w:sz w:val="18"/>
        </w:rPr>
        <w:t xml:space="preserve">SPA Mechanism: </w:t>
      </w:r>
      <w:r>
        <w:rPr>
          <w:rFonts w:ascii="Calibri" w:hAnsi="Calibri"/>
          <w:b w:val="0"/>
          <w:sz w:val="18"/>
        </w:rPr>
        <w:t>QofE findings to drive final Enterprise Value per LOI §3.2; rep/warranty on financial statements; specific indemnity for add-back reversals.</w:t>
      </w:r>
    </w:p>
    <w:p>
      <w:pPr>
        <w:spacing w:before="160" w:after="40"/>
        <w:jc w:val="left"/>
        <w:shd w:val="clear" w:color="auto" w:fill="ED7D31"/>
      </w:pPr>
      <w:r>
        <w:rPr>
          <w:rFonts w:ascii="Calibri" w:hAnsi="Calibri"/>
          <w:b/>
          <w:i w:val="0"/>
          <w:color w:val="FFFFFF"/>
          <w:sz w:val="20"/>
        </w:rPr>
        <w:t xml:space="preserve">  RF-03  ·  HIGH  ·  Revenue Deceleration and Organic Growth Concerns</w:t>
      </w:r>
    </w:p>
    <w:p>
      <w:pPr>
        <w:spacing w:before="20" w:after="40"/>
        <w:ind w:left="216"/>
      </w:pPr>
      <w:r>
        <w:rPr>
          <w:rFonts w:ascii="Calibri" w:hAnsi="Calibri"/>
          <w:b/>
          <w:color w:val="1F3864"/>
          <w:sz w:val="18"/>
        </w:rPr>
        <w:t xml:space="preserve">Source: </w:t>
      </w:r>
      <w:r>
        <w:rPr>
          <w:rFonts w:ascii="Calibri" w:hAnsi="Calibri"/>
          <w:b w:val="0"/>
          <w:sz w:val="18"/>
        </w:rPr>
        <w:t>QofE Historical P&amp;L tab; Customer Contract Summary (Historical Revenue tab)</w:t>
      </w:r>
    </w:p>
    <w:p>
      <w:pPr>
        <w:spacing w:before="20" w:after="40"/>
        <w:ind w:left="216"/>
      </w:pPr>
      <w:r>
        <w:rPr>
          <w:rFonts w:ascii="Calibri" w:hAnsi="Calibri"/>
          <w:b/>
          <w:color w:val="1F3864"/>
          <w:sz w:val="18"/>
        </w:rPr>
        <w:t xml:space="preserve">Finding: </w:t>
      </w:r>
      <w:r>
        <w:rPr>
          <w:rFonts w:ascii="Calibri" w:hAnsi="Calibri"/>
          <w:b w:val="0"/>
          <w:sz w:val="18"/>
        </w:rPr>
        <w:t>Revenue growth decelerated from 19.0% (FY2022) to 17.2% (FY2023) to 11.1% (FY2024 TTM). Reported EBITDA fell 27% year-over-year (FY2023: $25.2M → FY2024: $18.4M). The Industrial Cleaning revenue spike in FY2024 (+48% YoY) is partly attributable to absorbing former asbestos clients — a one-time benefit. The 'All Other Customers' revenue cohort declined 30.7% YoY, suggesting the long tail of smaller accounts is eroding.</w:t>
      </w:r>
    </w:p>
    <w:p>
      <w:pPr>
        <w:spacing w:before="20" w:after="40"/>
        <w:ind w:left="216"/>
      </w:pPr>
      <w:r>
        <w:rPr>
          <w:rFonts w:ascii="Calibri" w:hAnsi="Calibri"/>
          <w:b/>
          <w:color w:val="1F3864"/>
          <w:sz w:val="18"/>
        </w:rPr>
        <w:t xml:space="preserve">Buyer Action: </w:t>
      </w:r>
      <w:r>
        <w:rPr>
          <w:rFonts w:ascii="Calibri" w:hAnsi="Calibri"/>
          <w:b w:val="0"/>
          <w:sz w:val="18"/>
        </w:rPr>
        <w:t>Obtain FY2025 budget and pipeline; stress-test revenue projections; consider earnout structure tied to FY2025 revenue performance.</w:t>
      </w:r>
    </w:p>
    <w:p>
      <w:pPr>
        <w:spacing w:before="160" w:after="40"/>
        <w:jc w:val="left"/>
        <w:shd w:val="clear" w:color="auto" w:fill="FFD966"/>
      </w:pPr>
      <w:r>
        <w:rPr>
          <w:rFonts w:ascii="Calibri" w:hAnsi="Calibri"/>
          <w:b/>
          <w:i w:val="0"/>
          <w:color w:val="000000"/>
          <w:sz w:val="20"/>
        </w:rPr>
        <w:t xml:space="preserve">  RF-04  ·  MEDIUM  ·  Maintenance CapEx Understated; $9.8M Fleet Replacement Backlog</w:t>
      </w:r>
    </w:p>
    <w:p>
      <w:pPr>
        <w:spacing w:before="20" w:after="40"/>
        <w:ind w:left="216"/>
      </w:pPr>
      <w:r>
        <w:rPr>
          <w:rFonts w:ascii="Calibri" w:hAnsi="Calibri"/>
          <w:b/>
          <w:color w:val="1F3864"/>
          <w:sz w:val="18"/>
        </w:rPr>
        <w:t xml:space="preserve">Source: </w:t>
      </w:r>
      <w:r>
        <w:rPr>
          <w:rFonts w:ascii="Calibri" w:hAnsi="Calibri"/>
          <w:b w:val="0"/>
          <w:sz w:val="18"/>
        </w:rPr>
        <w:t>QofE Fleet &amp; Equipment Schedule; Capex Detail tab</w:t>
      </w:r>
    </w:p>
    <w:p>
      <w:pPr>
        <w:spacing w:before="20" w:after="40"/>
        <w:ind w:left="216"/>
      </w:pPr>
      <w:r>
        <w:rPr>
          <w:rFonts w:ascii="Calibri" w:hAnsi="Calibri"/>
          <w:b/>
          <w:color w:val="1F3864"/>
          <w:sz w:val="18"/>
        </w:rPr>
        <w:t xml:space="preserve">Finding: </w:t>
      </w:r>
      <w:r>
        <w:rPr>
          <w:rFonts w:ascii="Calibri" w:hAnsi="Calibri"/>
          <w:b w:val="0"/>
          <w:sz w:val="18"/>
        </w:rPr>
        <w:t>Management normalizes maintenance capex at $4.0M–$4.5M/year. The fleet schedule shows 38 of 85 assets (44.7%) are at or past stated useful life, with $9.8M in replacement cost for past-life units. Spreading this backlog over 3 years implies ~$3.3M/year in catch-up capex above the current run-rate. True normalized maintenance capex is likely $6.5M–$7.5M/year, reducing free cash flow by $2M–$3M vs. management's presentation.</w:t>
      </w:r>
    </w:p>
    <w:p>
      <w:pPr>
        <w:spacing w:before="20" w:after="40"/>
        <w:ind w:left="216"/>
      </w:pPr>
      <w:r>
        <w:rPr>
          <w:rFonts w:ascii="Calibri" w:hAnsi="Calibri"/>
          <w:b/>
          <w:color w:val="1F3864"/>
          <w:sz w:val="18"/>
        </w:rPr>
        <w:t xml:space="preserve">Quantified Exposure: </w:t>
      </w:r>
      <w:r>
        <w:rPr>
          <w:rFonts w:ascii="Calibri" w:hAnsi="Calibri"/>
          <w:b w:val="0"/>
          <w:sz w:val="18"/>
        </w:rPr>
        <w:t>$2M–$3M annual FCF overstatement; $9.8M fleet replacement backlog.</w:t>
      </w:r>
    </w:p>
    <w:p>
      <w:pPr>
        <w:spacing w:before="20" w:after="40"/>
        <w:ind w:left="216"/>
      </w:pPr>
      <w:r>
        <w:rPr>
          <w:rFonts w:ascii="Calibri" w:hAnsi="Calibri"/>
          <w:b/>
          <w:color w:val="1F3864"/>
          <w:sz w:val="18"/>
        </w:rPr>
        <w:t xml:space="preserve">Buyer Action: </w:t>
      </w:r>
      <w:r>
        <w:rPr>
          <w:rFonts w:ascii="Calibri" w:hAnsi="Calibri"/>
          <w:b w:val="0"/>
          <w:sz w:val="18"/>
        </w:rPr>
        <w:t>Commission independent fleet inspection; adjust normalized capex in valuation model; negotiate purchase price reduction or escrow for deferred fleet maintenance.</w:t>
      </w:r>
    </w:p>
    <w:p>
      <w:r>
        <w:br w:type="page"/>
      </w:r>
    </w:p>
    <w:p>
      <w:pPr>
        <w:spacing w:before="200" w:after="40"/>
        <w:jc w:val="left"/>
      </w:pPr>
      <w:r>
        <w:rPr>
          <w:rFonts w:ascii="Calibri" w:hAnsi="Calibri"/>
          <w:b/>
          <w:i w:val="0"/>
          <w:color w:val="1F3864"/>
          <w:sz w:val="26"/>
        </w:rPr>
        <w:t>III. ENVIRONMENTAL AND REGULATORY</w:t>
      </w:r>
    </w:p>
    <w:p>
      <w:pPr>
        <w:spacing w:before="40" w:after="80"/>
        <w:pBdr>
          <w:bottom w:val="single" w:sz="8" w:space="1" w:color="1F3864"/>
        </w:pBdr>
      </w:pPr>
    </w:p>
    <w:p>
      <w:pPr>
        <w:spacing w:before="160" w:after="40"/>
        <w:jc w:val="left"/>
        <w:shd w:val="clear" w:color="auto" w:fill="C00000"/>
      </w:pPr>
      <w:r>
        <w:rPr>
          <w:rFonts w:ascii="Calibri" w:hAnsi="Calibri"/>
          <w:b/>
          <w:i w:val="0"/>
          <w:color w:val="FFFFFF"/>
          <w:sz w:val="20"/>
        </w:rPr>
        <w:t xml:space="preserve">  RF-05  ·  CRITICAL  ·  Active CDPHE RCRA Enforcement Action at Grand Junction</w:t>
      </w:r>
    </w:p>
    <w:p>
      <w:pPr>
        <w:spacing w:before="20" w:after="40"/>
        <w:ind w:left="216"/>
      </w:pPr>
      <w:r>
        <w:rPr>
          <w:rFonts w:ascii="Calibri" w:hAnsi="Calibri"/>
          <w:b/>
          <w:color w:val="1F3864"/>
          <w:sz w:val="18"/>
        </w:rPr>
        <w:t xml:space="preserve">Source: </w:t>
      </w:r>
      <w:r>
        <w:rPr>
          <w:rFonts w:ascii="Calibri" w:hAnsi="Calibri"/>
          <w:b w:val="0"/>
          <w:sz w:val="18"/>
        </w:rPr>
        <w:t>Litigation &amp; Regulatory Summary §III.A; Environmental Permit Schedule §2.1</w:t>
      </w:r>
    </w:p>
    <w:p>
      <w:pPr>
        <w:spacing w:before="20" w:after="40"/>
        <w:ind w:left="216"/>
      </w:pPr>
      <w:r>
        <w:rPr>
          <w:rFonts w:ascii="Calibri" w:hAnsi="Calibri"/>
          <w:b/>
          <w:color w:val="1F3864"/>
          <w:sz w:val="18"/>
        </w:rPr>
        <w:t xml:space="preserve">Finding: </w:t>
      </w:r>
      <w:r>
        <w:rPr>
          <w:rFonts w:ascii="Calibri" w:hAnsi="Calibri"/>
          <w:b w:val="0"/>
          <w:sz w:val="18"/>
        </w:rPr>
        <w:t>CDPHE issued a Notice of Violation (Docket No. CDPHE-HW-2024-0093) on July 18, 2024, alleging unauthorized hazardous waste storage at the Grand Junction RCRA Part B facility. The parties dispute the violation period: the Company claims 12 days (maximum penalty $450K); CDPHE claims 31 days (maximum penalty $1.16M). No accrual has been recorded. A settlement conference is expected in Q1 2025. A RCRA violation at the Company's primary permitted facility creates reputational risk with the DOE and state regulators, and could result in permit conditions that restrict operations.</w:t>
      </w:r>
    </w:p>
    <w:p>
      <w:pPr>
        <w:spacing w:before="20" w:after="40"/>
        <w:ind w:left="216"/>
      </w:pPr>
      <w:r>
        <w:rPr>
          <w:rFonts w:ascii="Calibri" w:hAnsi="Calibri"/>
          <w:b/>
          <w:color w:val="1F3864"/>
          <w:sz w:val="18"/>
        </w:rPr>
        <w:t xml:space="preserve">Quantified Exposure: </w:t>
      </w:r>
      <w:r>
        <w:rPr>
          <w:rFonts w:ascii="Calibri" w:hAnsi="Calibri"/>
          <w:b w:val="0"/>
          <w:sz w:val="18"/>
        </w:rPr>
        <w:t>Penalty range: $200K–$1.16M; potential permit conditions; reputational risk with DOE and state regulators.</w:t>
      </w:r>
    </w:p>
    <w:p>
      <w:pPr>
        <w:spacing w:before="20" w:after="40"/>
        <w:ind w:left="216"/>
      </w:pPr>
      <w:r>
        <w:rPr>
          <w:rFonts w:ascii="Calibri" w:hAnsi="Calibri"/>
          <w:b/>
          <w:color w:val="1F3864"/>
          <w:sz w:val="18"/>
        </w:rPr>
        <w:t xml:space="preserve">Buyer Action: </w:t>
      </w:r>
      <w:r>
        <w:rPr>
          <w:rFonts w:ascii="Calibri" w:hAnsi="Calibri"/>
          <w:b w:val="0"/>
          <w:sz w:val="18"/>
        </w:rPr>
        <w:t>Require resolution or escrow before closing; obtain CDPHE status update; assess permit condition risk; verify no impact on DOE performance ratings.</w:t>
      </w:r>
    </w:p>
    <w:p>
      <w:pPr>
        <w:spacing w:before="20" w:after="40"/>
        <w:ind w:left="216"/>
      </w:pPr>
      <w:r>
        <w:rPr>
          <w:rFonts w:ascii="Calibri" w:hAnsi="Calibri"/>
          <w:b/>
          <w:color w:val="1F3864"/>
          <w:sz w:val="18"/>
        </w:rPr>
        <w:t xml:space="preserve">SPA Mechanism: </w:t>
      </w:r>
      <w:r>
        <w:rPr>
          <w:rFonts w:ascii="Calibri" w:hAnsi="Calibri"/>
          <w:b w:val="0"/>
          <w:sz w:val="18"/>
        </w:rPr>
        <w:t>Specific indemnity for CDPHE penalty; environmental rep/warranty; 6-year survival; separate escrow bucket.</w:t>
      </w:r>
    </w:p>
    <w:p>
      <w:pPr>
        <w:spacing w:before="160" w:after="40"/>
        <w:jc w:val="left"/>
        <w:shd w:val="clear" w:color="auto" w:fill="C00000"/>
      </w:pPr>
      <w:r>
        <w:rPr>
          <w:rFonts w:ascii="Calibri" w:hAnsi="Calibri"/>
          <w:b/>
          <w:i w:val="0"/>
          <w:color w:val="FFFFFF"/>
          <w:sz w:val="20"/>
        </w:rPr>
        <w:t xml:space="preserve">  RF-06  ·  CRITICAL  ·  Stale Phase II ESA (5+ Years Old); Vapor Intrusion Unassessed</w:t>
      </w:r>
    </w:p>
    <w:p>
      <w:pPr>
        <w:spacing w:before="20" w:after="40"/>
        <w:ind w:left="216"/>
      </w:pPr>
      <w:r>
        <w:rPr>
          <w:rFonts w:ascii="Calibri" w:hAnsi="Calibri"/>
          <w:b/>
          <w:color w:val="1F3864"/>
          <w:sz w:val="18"/>
        </w:rPr>
        <w:t xml:space="preserve">Source: </w:t>
      </w:r>
      <w:r>
        <w:rPr>
          <w:rFonts w:ascii="Calibri" w:hAnsi="Calibri"/>
          <w:b w:val="0"/>
          <w:sz w:val="18"/>
        </w:rPr>
        <w:t>Phase II ESA Executive Summary (June 2019); Litigation Summary §VI.A</w:t>
      </w:r>
    </w:p>
    <w:p>
      <w:pPr>
        <w:spacing w:before="20" w:after="40"/>
        <w:ind w:left="216"/>
      </w:pPr>
      <w:r>
        <w:rPr>
          <w:rFonts w:ascii="Calibri" w:hAnsi="Calibri"/>
          <w:b/>
          <w:color w:val="1F3864"/>
          <w:sz w:val="18"/>
        </w:rPr>
        <w:t xml:space="preserve">Finding: </w:t>
      </w:r>
      <w:r>
        <w:rPr>
          <w:rFonts w:ascii="Calibri" w:hAnsi="Calibri"/>
          <w:b w:val="0"/>
          <w:sz w:val="18"/>
        </w:rPr>
        <w:t>The only Phase II ESA for the owned Grand Junction property is dated June 2019 — over five years old. The ESA consultant explicitly recommended updating the assessment before any property transaction. Key unresolved issues: (1) Vapor intrusion pathway into the 28,000 sq ft vehicle maintenance building (PCE at 450 µg/m³, TCE at 120 µg/m³ — both above EPA RSLs) was identified but never assessed; (2) Off-site groundwater migration not confirmed — no sentinel wells installed; (3) DNAPL migration risk for chlorinated solvents could substantially increase remediation scope; (4) The 2019 cost estimate of $1.8M–$2.6M is in 2019 dollars and excludes vapor intrusion mitigation and off-site remediation.</w:t>
      </w:r>
    </w:p>
    <w:p>
      <w:pPr>
        <w:spacing w:before="20" w:after="40"/>
        <w:ind w:left="216"/>
      </w:pPr>
      <w:r>
        <w:rPr>
          <w:rFonts w:ascii="Calibri" w:hAnsi="Calibri"/>
          <w:b/>
          <w:color w:val="1F3864"/>
          <w:sz w:val="18"/>
        </w:rPr>
        <w:t xml:space="preserve">Quantified Exposure: </w:t>
      </w:r>
      <w:r>
        <w:rPr>
          <w:rFonts w:ascii="Calibri" w:hAnsi="Calibri"/>
          <w:b w:val="0"/>
          <w:sz w:val="18"/>
        </w:rPr>
        <w:t>Remediation cost potentially $3M–$6M+ if vapor intrusion and off-site migration confirmed; 2019 estimate materially stale.</w:t>
      </w:r>
    </w:p>
    <w:p>
      <w:pPr>
        <w:spacing w:before="20" w:after="40"/>
        <w:ind w:left="216"/>
      </w:pPr>
      <w:r>
        <w:rPr>
          <w:rFonts w:ascii="Calibri" w:hAnsi="Calibri"/>
          <w:b/>
          <w:color w:val="1F3864"/>
          <w:sz w:val="18"/>
        </w:rPr>
        <w:t xml:space="preserve">Buyer Action: </w:t>
      </w:r>
      <w:r>
        <w:rPr>
          <w:rFonts w:ascii="Calibri" w:hAnsi="Calibri"/>
          <w:b w:val="0"/>
          <w:sz w:val="18"/>
        </w:rPr>
        <w:t>Commission updated Phase II ESA and vapor intrusion assessment immediately as a condition precedent to signing. Do not close without current environmental data.</w:t>
      </w:r>
    </w:p>
    <w:p>
      <w:pPr>
        <w:spacing w:before="20" w:after="40"/>
        <w:ind w:left="216"/>
      </w:pPr>
      <w:r>
        <w:rPr>
          <w:rFonts w:ascii="Calibri" w:hAnsi="Calibri"/>
          <w:b/>
          <w:color w:val="1F3864"/>
          <w:sz w:val="18"/>
        </w:rPr>
        <w:t xml:space="preserve">SPA Mechanism: </w:t>
      </w:r>
      <w:r>
        <w:rPr>
          <w:rFonts w:ascii="Calibri" w:hAnsi="Calibri"/>
          <w:b w:val="0"/>
          <w:sz w:val="18"/>
        </w:rPr>
        <w:t>Environmental rep/warranty with 6-year survival; specific environmental indemnity; separate environmental escrow; condition precedent: updated Phase II ESA.</w:t>
      </w:r>
    </w:p>
    <w:p>
      <w:pPr>
        <w:spacing w:before="160" w:after="40"/>
        <w:jc w:val="left"/>
        <w:shd w:val="clear" w:color="auto" w:fill="ED7D31"/>
      </w:pPr>
      <w:r>
        <w:rPr>
          <w:rFonts w:ascii="Calibri" w:hAnsi="Calibri"/>
          <w:b/>
          <w:i w:val="0"/>
          <w:color w:val="FFFFFF"/>
          <w:sz w:val="20"/>
        </w:rPr>
        <w:t xml:space="preserve">  RF-07  ·  HIGH  ·  Grand Junction Remediation Accrual Potentially Inadequate</w:t>
      </w:r>
    </w:p>
    <w:p>
      <w:pPr>
        <w:spacing w:before="20" w:after="40"/>
        <w:ind w:left="216"/>
      </w:pPr>
      <w:r>
        <w:rPr>
          <w:rFonts w:ascii="Calibri" w:hAnsi="Calibri"/>
          <w:b/>
          <w:color w:val="1F3864"/>
          <w:sz w:val="18"/>
        </w:rPr>
        <w:t xml:space="preserve">Finding: </w:t>
      </w:r>
      <w:r>
        <w:rPr>
          <w:rFonts w:ascii="Calibri" w:hAnsi="Calibri"/>
          <w:b w:val="0"/>
          <w:sz w:val="18"/>
        </w:rPr>
        <w:t>The $2.2M Grand Junction remediation accrual is based on a 2019 cost estimate that explicitly excludes vapor intrusion assessment/mitigation, off-site groundwater remediation, natural resource damages, and inflation. The Buyer's updated assessment suggests potential remediation costs of $3M–$6M+. The accrual shortfall could be $800K–$3.8M or more.</w:t>
      </w:r>
    </w:p>
    <w:p>
      <w:pPr>
        <w:spacing w:before="20" w:after="40"/>
        <w:ind w:left="216"/>
      </w:pPr>
      <w:r>
        <w:rPr>
          <w:rFonts w:ascii="Calibri" w:hAnsi="Calibri"/>
          <w:b/>
          <w:color w:val="1F3864"/>
          <w:sz w:val="18"/>
        </w:rPr>
        <w:t xml:space="preserve">Buyer Action: </w:t>
      </w:r>
      <w:r>
        <w:rPr>
          <w:rFonts w:ascii="Calibri" w:hAnsi="Calibri"/>
          <w:b w:val="0"/>
          <w:sz w:val="18"/>
        </w:rPr>
        <w:t>Require updated cost estimate; negotiate environmental escrow above current accrual; obtain environmental impairment liability coverage or specific indemnity.</w:t>
      </w:r>
    </w:p>
    <w:p>
      <w:pPr>
        <w:spacing w:before="160" w:after="40"/>
        <w:jc w:val="left"/>
        <w:shd w:val="clear" w:color="auto" w:fill="FFD966"/>
      </w:pPr>
      <w:r>
        <w:rPr>
          <w:rFonts w:ascii="Calibri" w:hAnsi="Calibri"/>
          <w:b/>
          <w:i w:val="0"/>
          <w:color w:val="000000"/>
          <w:sz w:val="20"/>
        </w:rPr>
        <w:t xml:space="preserve">  RF-08  ·  MEDIUM  ·  Asbestos Long-Tail Liability; Pre-2015 Coverage Gap</w:t>
      </w:r>
    </w:p>
    <w:p>
      <w:pPr>
        <w:spacing w:before="20" w:after="40"/>
        <w:ind w:left="216"/>
      </w:pPr>
      <w:r>
        <w:rPr>
          <w:rFonts w:ascii="Calibri" w:hAnsi="Calibri"/>
          <w:b/>
          <w:color w:val="1F3864"/>
          <w:sz w:val="18"/>
        </w:rPr>
        <w:t xml:space="preserve">Finding: </w:t>
      </w:r>
      <w:r>
        <w:rPr>
          <w:rFonts w:ascii="Calibri" w:hAnsi="Calibri"/>
          <w:b w:val="0"/>
          <w:sz w:val="18"/>
        </w:rPr>
        <w:t>RES operated asbestos abatement at approximately 145 sites from 2012 through September 2023. The current PLL policy has a retroactive date of January 1, 2015, leaving work performed from 2012 through 2014 without pollution liability coverage. The CGL policy contains a blanket asbestos exclusion. No completed operations tail coverage has been procured. Two workers' compensation claims from former asbestos employees remain open.</w:t>
      </w:r>
    </w:p>
    <w:p>
      <w:pPr>
        <w:spacing w:before="20" w:after="40"/>
        <w:ind w:left="216"/>
      </w:pPr>
      <w:r>
        <w:rPr>
          <w:rFonts w:ascii="Calibri" w:hAnsi="Calibri"/>
          <w:b/>
          <w:color w:val="1F3864"/>
          <w:sz w:val="18"/>
        </w:rPr>
        <w:t xml:space="preserve">Buyer Action: </w:t>
      </w:r>
      <w:r>
        <w:rPr>
          <w:rFonts w:ascii="Calibri" w:hAnsi="Calibri"/>
          <w:b w:val="0"/>
          <w:sz w:val="18"/>
        </w:rPr>
        <w:t>Require asbestos-specific completed operations tail coverage as a closing condition; negotiate specific indemnity for pre-2015 asbestos claims.</w:t>
      </w:r>
    </w:p>
    <w:p>
      <w:r>
        <w:br w:type="page"/>
      </w:r>
    </w:p>
    <w:p>
      <w:pPr>
        <w:spacing w:before="200" w:after="40"/>
        <w:jc w:val="left"/>
      </w:pPr>
      <w:r>
        <w:rPr>
          <w:rFonts w:ascii="Calibri" w:hAnsi="Calibri"/>
          <w:b/>
          <w:i w:val="0"/>
          <w:color w:val="1F3864"/>
          <w:sz w:val="26"/>
        </w:rPr>
        <w:t>IV. DOE CONTRACT AND REVENUE SUSTAINABILITY</w:t>
      </w:r>
    </w:p>
    <w:p>
      <w:pPr>
        <w:spacing w:before="40" w:after="80"/>
        <w:pBdr>
          <w:bottom w:val="single" w:sz="8" w:space="1" w:color="1F3864"/>
        </w:pBdr>
      </w:pPr>
    </w:p>
    <w:p>
      <w:pPr>
        <w:spacing w:before="160" w:after="40"/>
        <w:jc w:val="left"/>
        <w:shd w:val="clear" w:color="auto" w:fill="C00000"/>
      </w:pPr>
      <w:r>
        <w:rPr>
          <w:rFonts w:ascii="Calibri" w:hAnsi="Calibri"/>
          <w:b/>
          <w:i w:val="0"/>
          <w:color w:val="FFFFFF"/>
          <w:sz w:val="20"/>
        </w:rPr>
        <w:t xml:space="preserve">  RF-09  ·  CRITICAL  ·  DOE IDIQ Ceiling Near Exhaustion; $12M+ FY2025 Revenue Headwind</w:t>
      </w:r>
    </w:p>
    <w:p>
      <w:pPr>
        <w:spacing w:before="20" w:after="40"/>
        <w:ind w:left="216"/>
      </w:pPr>
      <w:r>
        <w:rPr>
          <w:rFonts w:ascii="Calibri" w:hAnsi="Calibri"/>
          <w:b/>
          <w:color w:val="1F3864"/>
          <w:sz w:val="18"/>
        </w:rPr>
        <w:t xml:space="preserve">Source: </w:t>
      </w:r>
      <w:r>
        <w:rPr>
          <w:rFonts w:ascii="Calibri" w:hAnsi="Calibri"/>
          <w:b w:val="0"/>
          <w:sz w:val="18"/>
        </w:rPr>
        <w:t>Customer Contract Summary (DOE IDIQ Utilization tab); CIM §VI.D</w:t>
      </w:r>
    </w:p>
    <w:p>
      <w:pPr>
        <w:spacing w:before="20" w:after="40"/>
        <w:ind w:left="216"/>
      </w:pPr>
      <w:r>
        <w:rPr>
          <w:rFonts w:ascii="Calibri" w:hAnsi="Calibri"/>
          <w:b/>
          <w:color w:val="1F3864"/>
          <w:sz w:val="18"/>
        </w:rPr>
        <w:t xml:space="preserve">Finding: </w:t>
      </w:r>
      <w:r>
        <w:rPr>
          <w:rFonts w:ascii="Calibri" w:hAnsi="Calibri"/>
          <w:b w:val="0"/>
          <w:sz w:val="18"/>
        </w:rPr>
        <w:t>The DOE IDIQ contract (DE-EM-0005523, $45M ceiling) is the Company's largest customer at $24.4M (19.2% of revenue). As of October 2024, $32.7M (72.7%) of the ceiling has been consumed in 61.7% of the contract period. At the FY2024 run rate of ~$2.03M/month, the remaining $12.3M ceiling will be exhausted by approximately April–May 2025 — coinciding with the target closing date. The contract does not expire until August 31, 2026, leaving approximately 16 months of unfunded contract period. If the ceiling is not increased, FY2025 DOE revenue could decline from $24.4M to $12.3M or less — a $12.1M revenue headwind (9.5% of total revenue). The CIM presents the DOE relationship as providing 'substantial near-term revenue visibility' — a characterization that is materially misleading given the ceiling utilization data.</w:t>
      </w:r>
    </w:p>
    <w:p>
      <w:pPr>
        <w:spacing w:before="20" w:after="40"/>
        <w:ind w:left="216"/>
      </w:pPr>
      <w:r>
        <w:rPr>
          <w:rFonts w:ascii="Calibri" w:hAnsi="Calibri"/>
          <w:b/>
          <w:color w:val="1F3864"/>
          <w:sz w:val="18"/>
        </w:rPr>
        <w:t xml:space="preserve">Quantified Exposure: </w:t>
      </w:r>
      <w:r>
        <w:rPr>
          <w:rFonts w:ascii="Calibri" w:hAnsi="Calibri"/>
          <w:b w:val="0"/>
          <w:sz w:val="18"/>
        </w:rPr>
        <w:t>$12.1M potential FY2025 revenue decline; at 8–9x = $97M–$109M valuation impact on run-rate EBITDA.</w:t>
      </w:r>
    </w:p>
    <w:p>
      <w:pPr>
        <w:spacing w:before="20" w:after="40"/>
        <w:ind w:left="216"/>
      </w:pPr>
      <w:r>
        <w:rPr>
          <w:rFonts w:ascii="Calibri" w:hAnsi="Calibri"/>
          <w:b/>
          <w:color w:val="1F3864"/>
          <w:sz w:val="18"/>
        </w:rPr>
        <w:t xml:space="preserve">Buyer Action: </w:t>
      </w:r>
      <w:r>
        <w:rPr>
          <w:rFonts w:ascii="Calibri" w:hAnsi="Calibri"/>
          <w:b w:val="0"/>
          <w:sz w:val="18"/>
        </w:rPr>
        <w:t>Obtain written confirmation from the DOE Contracting Officer on ceiling modification status before signing. Model the downside scenario with DOE revenue at $12.3M. Consider earnout tied to DOE revenue or purchase price adjustment if ceiling is not modified pre-close.</w:t>
      </w:r>
    </w:p>
    <w:p>
      <w:pPr>
        <w:spacing w:before="20" w:after="40"/>
        <w:ind w:left="216"/>
      </w:pPr>
      <w:r>
        <w:rPr>
          <w:rFonts w:ascii="Calibri" w:hAnsi="Calibri"/>
          <w:b/>
          <w:color w:val="1F3864"/>
          <w:sz w:val="18"/>
        </w:rPr>
        <w:t xml:space="preserve">SPA Mechanism: </w:t>
      </w:r>
      <w:r>
        <w:rPr>
          <w:rFonts w:ascii="Calibri" w:hAnsi="Calibri"/>
          <w:b w:val="0"/>
          <w:sz w:val="18"/>
        </w:rPr>
        <w:t>Rep/warranty on DOE contract status; earnout tied to DOE revenue; purchase price adjustment if ceiling not modified pre-close.</w:t>
      </w:r>
    </w:p>
    <w:p>
      <w:pPr>
        <w:spacing w:before="160" w:after="40"/>
        <w:jc w:val="left"/>
        <w:shd w:val="clear" w:color="auto" w:fill="C00000"/>
      </w:pPr>
      <w:r>
        <w:rPr>
          <w:rFonts w:ascii="Calibri" w:hAnsi="Calibri"/>
          <w:b/>
          <w:i w:val="0"/>
          <w:color w:val="FFFFFF"/>
          <w:sz w:val="20"/>
        </w:rPr>
        <w:t xml:space="preserve">  RF-10  ·  CRITICAL  ·  DOE Contract Non-Assignability and Novation Risk</w:t>
      </w:r>
    </w:p>
    <w:p>
      <w:pPr>
        <w:spacing w:before="20" w:after="40"/>
        <w:ind w:left="216"/>
      </w:pPr>
      <w:r>
        <w:rPr>
          <w:rFonts w:ascii="Calibri" w:hAnsi="Calibri"/>
          <w:b/>
          <w:color w:val="1F3864"/>
          <w:sz w:val="18"/>
        </w:rPr>
        <w:t xml:space="preserve">Source: </w:t>
      </w:r>
      <w:r>
        <w:rPr>
          <w:rFonts w:ascii="Calibri" w:hAnsi="Calibri"/>
          <w:b w:val="0"/>
          <w:sz w:val="18"/>
        </w:rPr>
        <w:t>Customer Contract Summary (Top 20 tab, DOE footnote); LOI §8(d)</w:t>
      </w:r>
    </w:p>
    <w:p>
      <w:pPr>
        <w:spacing w:before="20" w:after="40"/>
        <w:ind w:left="216"/>
      </w:pPr>
      <w:r>
        <w:rPr>
          <w:rFonts w:ascii="Calibri" w:hAnsi="Calibri"/>
          <w:b/>
          <w:color w:val="1F3864"/>
          <w:sz w:val="18"/>
        </w:rPr>
        <w:t xml:space="preserve">Finding: </w:t>
      </w:r>
      <w:r>
        <w:rPr>
          <w:rFonts w:ascii="Calibri" w:hAnsi="Calibri"/>
          <w:b w:val="0"/>
          <w:sz w:val="18"/>
        </w:rPr>
        <w:t>The DOE IDIQ contract is non-assignable per the Anti-Assignment Act (41 U.S.C. §6305) and FAR 42.12. Contract Clause H-12 requires written notification to the Contracting Officer within 30 days of any change in ownership. While a stock acquisition may not technically constitute an assignment, the DOE may require a novation agreement — a process that can take 3–6 months. Failure to notify could be grounds for termination for default. The LOI lists governmental approvals as a closing condition but does not specifically address DOE novation.</w:t>
      </w:r>
    </w:p>
    <w:p>
      <w:pPr>
        <w:spacing w:before="20" w:after="40"/>
        <w:ind w:left="216"/>
      </w:pPr>
      <w:r>
        <w:rPr>
          <w:rFonts w:ascii="Calibri" w:hAnsi="Calibri"/>
          <w:b/>
          <w:color w:val="1F3864"/>
          <w:sz w:val="18"/>
        </w:rPr>
        <w:t xml:space="preserve">Quantified Exposure: </w:t>
      </w:r>
      <w:r>
        <w:rPr>
          <w:rFonts w:ascii="Calibri" w:hAnsi="Calibri"/>
          <w:b w:val="0"/>
          <w:sz w:val="18"/>
        </w:rPr>
        <w:t>Risk of contract termination for default; $24.4M revenue at risk; novation process can take 3–6 months.</w:t>
      </w:r>
    </w:p>
    <w:p>
      <w:pPr>
        <w:spacing w:before="20" w:after="40"/>
        <w:ind w:left="216"/>
      </w:pPr>
      <w:r>
        <w:rPr>
          <w:rFonts w:ascii="Calibri" w:hAnsi="Calibri"/>
          <w:b/>
          <w:color w:val="1F3864"/>
          <w:sz w:val="18"/>
        </w:rPr>
        <w:t xml:space="preserve">Buyer Action: </w:t>
      </w:r>
      <w:r>
        <w:rPr>
          <w:rFonts w:ascii="Calibri" w:hAnsi="Calibri"/>
          <w:b w:val="0"/>
          <w:sz w:val="18"/>
        </w:rPr>
        <w:t>Engage the DOE Contracting Officer immediately to determine novation requirements. Build the novation timeline into the deal schedule. Do not close without Contracting Officer acknowledgment.</w:t>
      </w:r>
    </w:p>
    <w:p>
      <w:r>
        <w:br w:type="page"/>
      </w:r>
    </w:p>
    <w:p>
      <w:pPr>
        <w:spacing w:before="200" w:after="40"/>
        <w:jc w:val="left"/>
      </w:pPr>
      <w:r>
        <w:rPr>
          <w:rFonts w:ascii="Calibri" w:hAnsi="Calibri"/>
          <w:b/>
          <w:i w:val="0"/>
          <w:color w:val="1F3864"/>
          <w:sz w:val="26"/>
        </w:rPr>
        <w:t>V. REAL PROPERTY AND LEASES</w:t>
      </w:r>
    </w:p>
    <w:p>
      <w:pPr>
        <w:spacing w:before="40" w:after="80"/>
        <w:pBdr>
          <w:bottom w:val="single" w:sz="8" w:space="1" w:color="1F3864"/>
        </w:pBdr>
      </w:pPr>
    </w:p>
    <w:p>
      <w:pPr>
        <w:spacing w:before="160" w:after="40"/>
        <w:jc w:val="left"/>
        <w:shd w:val="clear" w:color="auto" w:fill="C00000"/>
      </w:pPr>
      <w:r>
        <w:rPr>
          <w:rFonts w:ascii="Calibri" w:hAnsi="Calibri"/>
          <w:b/>
          <w:i w:val="0"/>
          <w:color w:val="FFFFFF"/>
          <w:sz w:val="20"/>
        </w:rPr>
        <w:t xml:space="preserve">  RF-11  ·  CRITICAL  ·  Salt Lake City Lease: Unconsented Assignment Since March 2022</w:t>
      </w:r>
    </w:p>
    <w:p>
      <w:pPr>
        <w:spacing w:before="20" w:after="40"/>
        <w:ind w:left="216"/>
      </w:pPr>
      <w:r>
        <w:rPr>
          <w:rFonts w:ascii="Calibri" w:hAnsi="Calibri"/>
          <w:b/>
          <w:color w:val="1F3864"/>
          <w:sz w:val="18"/>
        </w:rPr>
        <w:t xml:space="preserve">Source: </w:t>
      </w:r>
      <w:r>
        <w:rPr>
          <w:rFonts w:ascii="Calibri" w:hAnsi="Calibri"/>
          <w:b w:val="0"/>
          <w:sz w:val="18"/>
        </w:rPr>
        <w:t>Real Property &amp; Lease Schedule §4.1; Customer Contract Summary (SLC customers)</w:t>
      </w:r>
    </w:p>
    <w:p>
      <w:pPr>
        <w:spacing w:before="20" w:after="40"/>
        <w:ind w:left="216"/>
      </w:pPr>
      <w:r>
        <w:rPr>
          <w:rFonts w:ascii="Calibri" w:hAnsi="Calibri"/>
          <w:b/>
          <w:color w:val="1F3864"/>
          <w:sz w:val="18"/>
        </w:rPr>
        <w:t xml:space="preserve">Finding: </w:t>
      </w:r>
      <w:r>
        <w:rPr>
          <w:rFonts w:ascii="Calibri" w:hAnsi="Calibri"/>
          <w:b w:val="0"/>
          <w:sz w:val="18"/>
        </w:rPr>
        <w:t>The SLC transfer station lease (Wasatch Industrial Properties) was originally executed by Pinnacle Waste Solutions, LLC. RES requested landlord consent to assignment on April 12, 2022 — over 2.5 years ago. No written consent has been received. The lease explicitly defines any change of control of the tenant as an assignment requiring consent. RES has been in technical default since March 2022. The proposed Sycamore acquisition would layer a second change-of-control event on top of the unresolved prior assignment. The SLC facility serves approximately $16.2M of annual revenue (12.7% of total). The landlord has recently sent correspondence inquiring about the change of control — suggesting awareness of the issue.</w:t>
      </w:r>
    </w:p>
    <w:p>
      <w:pPr>
        <w:spacing w:before="20" w:after="40"/>
        <w:ind w:left="216"/>
      </w:pPr>
      <w:r>
        <w:rPr>
          <w:rFonts w:ascii="Calibri" w:hAnsi="Calibri"/>
          <w:b/>
          <w:color w:val="1F3864"/>
          <w:sz w:val="18"/>
        </w:rPr>
        <w:t xml:space="preserve">Quantified Exposure: </w:t>
      </w:r>
      <w:r>
        <w:rPr>
          <w:rFonts w:ascii="Calibri" w:hAnsi="Calibri"/>
          <w:b w:val="0"/>
          <w:sz w:val="18"/>
        </w:rPr>
        <w:t>$16.2M revenue at risk if landlord exercises termination right; facility also hosts UTH-0441 permit (still in Pinnacle name).</w:t>
      </w:r>
    </w:p>
    <w:p>
      <w:pPr>
        <w:spacing w:before="20" w:after="40"/>
        <w:ind w:left="216"/>
      </w:pPr>
      <w:r>
        <w:rPr>
          <w:rFonts w:ascii="Calibri" w:hAnsi="Calibri"/>
          <w:b/>
          <w:color w:val="1F3864"/>
          <w:sz w:val="18"/>
        </w:rPr>
        <w:t xml:space="preserve">Buyer Action: </w:t>
      </w:r>
      <w:r>
        <w:rPr>
          <w:rFonts w:ascii="Calibri" w:hAnsi="Calibri"/>
          <w:b w:val="0"/>
          <w:sz w:val="18"/>
        </w:rPr>
        <w:t>Obtain written landlord consent before closing as a condition precedent. If consent is refused, assess alternative facility options. Do not close without resolution.</w:t>
      </w:r>
    </w:p>
    <w:p>
      <w:pPr>
        <w:spacing w:before="20" w:after="40"/>
        <w:ind w:left="216"/>
      </w:pPr>
      <w:r>
        <w:rPr>
          <w:rFonts w:ascii="Calibri" w:hAnsi="Calibri"/>
          <w:b/>
          <w:color w:val="1F3864"/>
          <w:sz w:val="18"/>
        </w:rPr>
        <w:t xml:space="preserve">SPA Mechanism: </w:t>
      </w:r>
      <w:r>
        <w:rPr>
          <w:rFonts w:ascii="Calibri" w:hAnsi="Calibri"/>
          <w:b w:val="0"/>
          <w:sz w:val="18"/>
        </w:rPr>
        <w:t>Condition precedent: written landlord consent; rep/warranty on lease compliance; specific indemnity for lease termination; holdback allocation.</w:t>
      </w:r>
    </w:p>
    <w:p>
      <w:pPr>
        <w:spacing w:before="160" w:after="40"/>
        <w:jc w:val="left"/>
        <w:shd w:val="clear" w:color="auto" w:fill="ED7D31"/>
      </w:pPr>
      <w:r>
        <w:rPr>
          <w:rFonts w:ascii="Calibri" w:hAnsi="Calibri"/>
          <w:b/>
          <w:i w:val="0"/>
          <w:color w:val="FFFFFF"/>
          <w:sz w:val="20"/>
        </w:rPr>
        <w:t xml:space="preserve">  RF-12  ·  HIGH  ·  Multiple Leases Require Landlord Consent for Sycamore Acquisition</w:t>
      </w:r>
    </w:p>
    <w:p>
      <w:pPr>
        <w:spacing w:before="20" w:after="40"/>
        <w:ind w:left="216"/>
      </w:pPr>
      <w:r>
        <w:rPr>
          <w:rFonts w:ascii="Calibri" w:hAnsi="Calibri"/>
          <w:b/>
          <w:color w:val="1F3864"/>
          <w:sz w:val="18"/>
        </w:rPr>
        <w:t xml:space="preserve">Finding: </w:t>
      </w:r>
      <w:r>
        <w:rPr>
          <w:rFonts w:ascii="Calibri" w:hAnsi="Calibri"/>
          <w:b w:val="0"/>
          <w:sz w:val="18"/>
        </w:rPr>
        <w:t>Seven of ten leased facilities require landlord consent for assignment or change of control. Beyond the SLC issue, operationally critical leases at Casper (10-year term, $22K/month) and Billings (5-year term, $14.2K/month) require consent. Failure to obtain consents could result in lease terminations affecting key operational hubs.</w:t>
      </w:r>
    </w:p>
    <w:p>
      <w:pPr>
        <w:spacing w:before="20" w:after="40"/>
        <w:ind w:left="216"/>
      </w:pPr>
      <w:r>
        <w:rPr>
          <w:rFonts w:ascii="Calibri" w:hAnsi="Calibri"/>
          <w:b/>
          <w:color w:val="1F3864"/>
          <w:sz w:val="18"/>
        </w:rPr>
        <w:t xml:space="preserve">Buyer Action: </w:t>
      </w:r>
      <w:r>
        <w:rPr>
          <w:rFonts w:ascii="Calibri" w:hAnsi="Calibri"/>
          <w:b w:val="0"/>
          <w:sz w:val="18"/>
        </w:rPr>
        <w:t>Begin landlord consent process immediately for all seven leases. Prioritize Casper and Billings. Build consent timeline into the deal schedule.</w:t>
      </w:r>
    </w:p>
    <w:p>
      <w:pPr>
        <w:spacing w:before="160" w:after="40"/>
        <w:jc w:val="left"/>
        <w:shd w:val="clear" w:color="auto" w:fill="FFD966"/>
      </w:pPr>
      <w:r>
        <w:rPr>
          <w:rFonts w:ascii="Calibri" w:hAnsi="Calibri"/>
          <w:b/>
          <w:i w:val="0"/>
          <w:color w:val="000000"/>
          <w:sz w:val="20"/>
        </w:rPr>
        <w:t xml:space="preserve">  RF-13  ·  MEDIUM  ·  Pueblo Storage Yard Lease Expiring at Target Closing Date</w:t>
      </w:r>
    </w:p>
    <w:p>
      <w:pPr>
        <w:spacing w:before="20" w:after="40"/>
        <w:ind w:left="216"/>
      </w:pPr>
      <w:r>
        <w:rPr>
          <w:rFonts w:ascii="Calibri" w:hAnsi="Calibri"/>
          <w:b/>
          <w:color w:val="1F3864"/>
          <w:sz w:val="18"/>
        </w:rPr>
        <w:t xml:space="preserve">Finding: </w:t>
      </w:r>
      <w:r>
        <w:rPr>
          <w:rFonts w:ascii="Calibri" w:hAnsi="Calibri"/>
          <w:b w:val="0"/>
          <w:sz w:val="18"/>
        </w:rPr>
        <w:t>The Pueblo, CO equipment storage yard lease expires April 30, 2025 — the same date as the target closing. Renewal negotiations are underway but no terms have been agreed. If the lease is not renewed, equipment and vehicles must be relocated, incurring costs and operational disruption.</w:t>
      </w:r>
    </w:p>
    <w:p>
      <w:pPr>
        <w:spacing w:before="20" w:after="40"/>
        <w:ind w:left="216"/>
      </w:pPr>
      <w:r>
        <w:rPr>
          <w:rFonts w:ascii="Calibri" w:hAnsi="Calibri"/>
          <w:b/>
          <w:color w:val="1F3864"/>
          <w:sz w:val="18"/>
        </w:rPr>
        <w:t xml:space="preserve">Buyer Action: </w:t>
      </w:r>
      <w:r>
        <w:rPr>
          <w:rFonts w:ascii="Calibri" w:hAnsi="Calibri"/>
          <w:b w:val="0"/>
          <w:sz w:val="18"/>
        </w:rPr>
        <w:t>Confirm renewal status before closing; if not renewed, assess relocation costs and include in purchase price adjustment.</w:t>
      </w:r>
    </w:p>
    <w:p>
      <w:r>
        <w:br w:type="page"/>
      </w:r>
    </w:p>
    <w:p>
      <w:pPr>
        <w:spacing w:before="200" w:after="40"/>
        <w:jc w:val="left"/>
      </w:pPr>
      <w:r>
        <w:rPr>
          <w:rFonts w:ascii="Calibri" w:hAnsi="Calibri"/>
          <w:b/>
          <w:i w:val="0"/>
          <w:color w:val="1F3864"/>
          <w:sz w:val="26"/>
        </w:rPr>
        <w:t>VI. PERMITTING AND REGULATORY COMPLIANCE</w:t>
      </w:r>
    </w:p>
    <w:p>
      <w:pPr>
        <w:spacing w:before="40" w:after="80"/>
        <w:pBdr>
          <w:bottom w:val="single" w:sz="8" w:space="1" w:color="1F3864"/>
        </w:pBdr>
      </w:pPr>
    </w:p>
    <w:p>
      <w:pPr>
        <w:spacing w:before="160" w:after="40"/>
        <w:jc w:val="left"/>
        <w:shd w:val="clear" w:color="auto" w:fill="ED7D31"/>
      </w:pPr>
      <w:r>
        <w:rPr>
          <w:rFonts w:ascii="Calibri" w:hAnsi="Calibri"/>
          <w:b/>
          <w:i w:val="0"/>
          <w:color w:val="FFFFFF"/>
          <w:sz w:val="20"/>
        </w:rPr>
        <w:t xml:space="preserve">  RF-14  ·  HIGH  ·  SLC Transfer Station Permit (UTH-0441) Still in Pinnacle's Name</w:t>
      </w:r>
    </w:p>
    <w:p>
      <w:pPr>
        <w:spacing w:before="20" w:after="40"/>
        <w:ind w:left="216"/>
      </w:pPr>
      <w:r>
        <w:rPr>
          <w:rFonts w:ascii="Calibri" w:hAnsi="Calibri"/>
          <w:b/>
          <w:color w:val="1F3864"/>
          <w:sz w:val="18"/>
        </w:rPr>
        <w:t xml:space="preserve">Source: </w:t>
      </w:r>
      <w:r>
        <w:rPr>
          <w:rFonts w:ascii="Calibri" w:hAnsi="Calibri"/>
          <w:b w:val="0"/>
          <w:sz w:val="18"/>
        </w:rPr>
        <w:t>Environmental Permit Schedule §2.2; Litigation Summary §III.C</w:t>
      </w:r>
    </w:p>
    <w:p>
      <w:pPr>
        <w:spacing w:before="20" w:after="40"/>
        <w:ind w:left="216"/>
      </w:pPr>
      <w:r>
        <w:rPr>
          <w:rFonts w:ascii="Calibri" w:hAnsi="Calibri"/>
          <w:b/>
          <w:color w:val="1F3864"/>
          <w:sz w:val="18"/>
        </w:rPr>
        <w:t xml:space="preserve">Finding: </w:t>
      </w:r>
      <w:r>
        <w:rPr>
          <w:rFonts w:ascii="Calibri" w:hAnsi="Calibri"/>
          <w:b w:val="0"/>
          <w:sz w:val="18"/>
        </w:rPr>
        <w:t>The Utah hazardous waste transfer station permit for the SLC facility (UTH-0441) remains in the name of Pinnacle Waste Solutions, LLC — 2.5 years after the acquisition. The transfer application is pending with the Utah Division of Waste Management. Under Utah Administrative Code R315-3, permit modifications require Division approval before becoming effective. Operating under a permit in a different entity's name creates regulatory compliance risk and could be challenged in connection with the proposed transaction. By contrast, the Ogden permit (UTH-0587) was successfully transferred in June 2022, demonstrating the process is achievable.</w:t>
      </w:r>
    </w:p>
    <w:p>
      <w:pPr>
        <w:spacing w:before="20" w:after="40"/>
        <w:ind w:left="216"/>
      </w:pPr>
      <w:r>
        <w:rPr>
          <w:rFonts w:ascii="Calibri" w:hAnsi="Calibri"/>
          <w:b/>
          <w:color w:val="1F3864"/>
          <w:sz w:val="18"/>
        </w:rPr>
        <w:t xml:space="preserve">Buyer Action: </w:t>
      </w:r>
      <w:r>
        <w:rPr>
          <w:rFonts w:ascii="Calibri" w:hAnsi="Calibri"/>
          <w:b w:val="0"/>
          <w:sz w:val="18"/>
        </w:rPr>
        <w:t>Accelerate the permit transfer application; engage Utah DEQ proactively; assess whether the proposed transaction triggers additional permit review. Do not close without transfer or written Division confirmation.</w:t>
      </w:r>
    </w:p>
    <w:p>
      <w:pPr>
        <w:spacing w:before="20" w:after="40"/>
        <w:ind w:left="216"/>
      </w:pPr>
      <w:r>
        <w:rPr>
          <w:rFonts w:ascii="Calibri" w:hAnsi="Calibri"/>
          <w:b/>
          <w:color w:val="1F3864"/>
          <w:sz w:val="18"/>
        </w:rPr>
        <w:t xml:space="preserve">SPA Mechanism: </w:t>
      </w:r>
      <w:r>
        <w:rPr>
          <w:rFonts w:ascii="Calibri" w:hAnsi="Calibri"/>
          <w:b w:val="0"/>
          <w:sz w:val="18"/>
        </w:rPr>
        <w:t>Condition precedent: permit transfer or Division written confirmation; rep/warranty on permit compliance; specific indemnity.</w:t>
      </w:r>
    </w:p>
    <w:p>
      <w:r>
        <w:br w:type="page"/>
      </w:r>
    </w:p>
    <w:p>
      <w:pPr>
        <w:spacing w:before="200" w:after="40"/>
        <w:jc w:val="left"/>
      </w:pPr>
      <w:r>
        <w:rPr>
          <w:rFonts w:ascii="Calibri" w:hAnsi="Calibri"/>
          <w:b/>
          <w:i w:val="0"/>
          <w:color w:val="1F3864"/>
          <w:sz w:val="26"/>
        </w:rPr>
        <w:t>VII. DEBT AND CHANGE OF CONTROL</w:t>
      </w:r>
    </w:p>
    <w:p>
      <w:pPr>
        <w:spacing w:before="40" w:after="80"/>
        <w:pBdr>
          <w:bottom w:val="single" w:sz="8" w:space="1" w:color="1F3864"/>
        </w:pBdr>
      </w:pPr>
    </w:p>
    <w:p>
      <w:pPr>
        <w:spacing w:before="160" w:after="40"/>
        <w:jc w:val="left"/>
        <w:shd w:val="clear" w:color="auto" w:fill="ED7D31"/>
      </w:pPr>
      <w:r>
        <w:rPr>
          <w:rFonts w:ascii="Calibri" w:hAnsi="Calibri"/>
          <w:b/>
          <w:i w:val="0"/>
          <w:color w:val="FFFFFF"/>
          <w:sz w:val="20"/>
        </w:rPr>
        <w:t xml:space="preserve">  RF-15  ·  HIGH  ·  Mandatory Credit Facility Payoff: $39.2M+ with Prepayment Premium</w:t>
      </w:r>
    </w:p>
    <w:p>
      <w:pPr>
        <w:spacing w:before="20" w:after="40"/>
        <w:ind w:left="216"/>
      </w:pPr>
      <w:r>
        <w:rPr>
          <w:rFonts w:ascii="Calibri" w:hAnsi="Calibri"/>
          <w:b/>
          <w:color w:val="1F3864"/>
          <w:sz w:val="18"/>
        </w:rPr>
        <w:t xml:space="preserve">Source: </w:t>
      </w:r>
      <w:r>
        <w:rPr>
          <w:rFonts w:ascii="Calibri" w:hAnsi="Calibri"/>
          <w:b w:val="0"/>
          <w:sz w:val="18"/>
        </w:rPr>
        <w:t>Credit Agreement Summary §8, §9</w:t>
      </w:r>
    </w:p>
    <w:p>
      <w:pPr>
        <w:spacing w:before="20" w:after="40"/>
        <w:ind w:left="216"/>
      </w:pPr>
      <w:r>
        <w:rPr>
          <w:rFonts w:ascii="Calibri" w:hAnsi="Calibri"/>
          <w:b/>
          <w:color w:val="1F3864"/>
          <w:sz w:val="18"/>
        </w:rPr>
        <w:t xml:space="preserve">Finding: </w:t>
      </w:r>
      <w:r>
        <w:rPr>
          <w:rFonts w:ascii="Calibri" w:hAnsi="Calibri"/>
          <w:b w:val="0"/>
          <w:sz w:val="18"/>
        </w:rPr>
        <w:t>The proposed acquisition triggers the Change of Control definition under the High Plains National Bank credit agreement (Calloway family ceasing to hold 51%; Sycamore acquiring more than 50%). This requires mandatory prepayment of all obligations within five business days of closing. The credit agreement provides no waiver or consent mechanism — the only option is payoff or refinancing. Total estimated payoff: approximately $39.2M–$39.3M (principal $38.7M + 1% prepayment premium on term loan $263K + accrued interest $200K–$300K + SOFR breakage costs TBD). The LOI's Net Debt adjustment captures the principal but may not fully account for the prepayment premium and breakage costs.</w:t>
      </w:r>
    </w:p>
    <w:p>
      <w:pPr>
        <w:spacing w:before="20" w:after="40"/>
        <w:ind w:left="216"/>
      </w:pPr>
      <w:r>
        <w:rPr>
          <w:rFonts w:ascii="Calibri" w:hAnsi="Calibri"/>
          <w:b/>
          <w:color w:val="1F3864"/>
          <w:sz w:val="18"/>
        </w:rPr>
        <w:t xml:space="preserve">Quantified Exposure: </w:t>
      </w:r>
      <w:r>
        <w:rPr>
          <w:rFonts w:ascii="Calibri" w:hAnsi="Calibri"/>
          <w:b w:val="0"/>
          <w:sz w:val="18"/>
        </w:rPr>
        <w:t>$39.2M–$39.3M mandatory payoff; $263K prepayment premium; SOFR breakage costs TBD.</w:t>
      </w:r>
    </w:p>
    <w:p>
      <w:pPr>
        <w:spacing w:before="20" w:after="40"/>
        <w:ind w:left="216"/>
      </w:pPr>
      <w:r>
        <w:rPr>
          <w:rFonts w:ascii="Calibri" w:hAnsi="Calibri"/>
          <w:b/>
          <w:color w:val="1F3864"/>
          <w:sz w:val="18"/>
        </w:rPr>
        <w:t xml:space="preserve">Buyer Action: </w:t>
      </w:r>
      <w:r>
        <w:rPr>
          <w:rFonts w:ascii="Calibri" w:hAnsi="Calibri"/>
          <w:b w:val="0"/>
          <w:sz w:val="18"/>
        </w:rPr>
        <w:t>Confirm payoff amount with High Plains National Bank; obtain payoff letter; ensure acquisition financing covers the full payoff including premium; include prepayment premium and breakage costs in the Net Debt definition in the SPA.</w:t>
      </w:r>
    </w:p>
    <w:p>
      <w:pPr>
        <w:spacing w:before="160" w:after="40"/>
        <w:jc w:val="left"/>
        <w:shd w:val="clear" w:color="auto" w:fill="FFD966"/>
      </w:pPr>
      <w:r>
        <w:rPr>
          <w:rFonts w:ascii="Calibri" w:hAnsi="Calibri"/>
          <w:b/>
          <w:i w:val="0"/>
          <w:color w:val="000000"/>
          <w:sz w:val="20"/>
        </w:rPr>
        <w:t xml:space="preserve">  RF-16  ·  MEDIUM  ·  Derek Calloway 'Key Man' Covenant in Credit Agreement</w:t>
      </w:r>
    </w:p>
    <w:p>
      <w:pPr>
        <w:spacing w:before="20" w:after="40"/>
        <w:ind w:left="216"/>
      </w:pPr>
      <w:r>
        <w:rPr>
          <w:rFonts w:ascii="Calibri" w:hAnsi="Calibri"/>
          <w:b/>
          <w:color w:val="1F3864"/>
          <w:sz w:val="18"/>
        </w:rPr>
        <w:t xml:space="preserve">Finding: </w:t>
      </w:r>
      <w:r>
        <w:rPr>
          <w:rFonts w:ascii="Calibri" w:hAnsi="Calibri"/>
          <w:b w:val="0"/>
          <w:sz w:val="18"/>
        </w:rPr>
        <w:t>The credit agreement requires Derek Calloway to remain as CEO and devote substantially full-time attention to the business. His departure without a Lender-approved successor constitutes an Event of Default. While the facility will be repaid at closing, this covenant underscores the key-man dependency risk for the business.</w:t>
      </w:r>
    </w:p>
    <w:p>
      <w:pPr>
        <w:spacing w:before="20" w:after="40"/>
        <w:ind w:left="216"/>
      </w:pPr>
      <w:r>
        <w:rPr>
          <w:rFonts w:ascii="Calibri" w:hAnsi="Calibri"/>
          <w:b/>
          <w:color w:val="1F3864"/>
          <w:sz w:val="18"/>
        </w:rPr>
        <w:t xml:space="preserve">Buyer Action: </w:t>
      </w:r>
      <w:r>
        <w:rPr>
          <w:rFonts w:ascii="Calibri" w:hAnsi="Calibri"/>
          <w:b w:val="0"/>
          <w:sz w:val="18"/>
        </w:rPr>
        <w:t>Confirm Calloway's post-close commitment; negotiate employment agreement before closing; assess key-man life insurance.</w:t>
      </w:r>
    </w:p>
    <w:p>
      <w:r>
        <w:br w:type="page"/>
      </w:r>
    </w:p>
    <w:p>
      <w:pPr>
        <w:spacing w:before="200" w:after="40"/>
        <w:jc w:val="left"/>
      </w:pPr>
      <w:r>
        <w:rPr>
          <w:rFonts w:ascii="Calibri" w:hAnsi="Calibri"/>
          <w:b/>
          <w:i w:val="0"/>
          <w:color w:val="1F3864"/>
          <w:sz w:val="26"/>
        </w:rPr>
        <w:t>VIII. EMPLOYMENT AND HUMAN CAPITAL</w:t>
      </w:r>
    </w:p>
    <w:p>
      <w:pPr>
        <w:spacing w:before="40" w:after="80"/>
        <w:pBdr>
          <w:bottom w:val="single" w:sz="8" w:space="1" w:color="1F3864"/>
        </w:pBdr>
      </w:pPr>
    </w:p>
    <w:p>
      <w:pPr>
        <w:spacing w:before="160" w:after="40"/>
        <w:jc w:val="left"/>
        <w:shd w:val="clear" w:color="auto" w:fill="C00000"/>
      </w:pPr>
      <w:r>
        <w:rPr>
          <w:rFonts w:ascii="Calibri" w:hAnsi="Calibri"/>
          <w:b/>
          <w:i w:val="0"/>
          <w:color w:val="FFFFFF"/>
          <w:sz w:val="20"/>
        </w:rPr>
        <w:t xml:space="preserve">  RF-17  ·  CRITICAL  ·  Single-Trigger Change-of-Control Severance: $2.625M Payable at Closing</w:t>
      </w:r>
    </w:p>
    <w:p>
      <w:pPr>
        <w:spacing w:before="20" w:after="40"/>
        <w:ind w:left="216"/>
      </w:pPr>
      <w:r>
        <w:rPr>
          <w:rFonts w:ascii="Calibri" w:hAnsi="Calibri"/>
          <w:b/>
          <w:color w:val="1F3864"/>
          <w:sz w:val="18"/>
        </w:rPr>
        <w:t xml:space="preserve">Source: </w:t>
      </w:r>
      <w:r>
        <w:rPr>
          <w:rFonts w:ascii="Calibri" w:hAnsi="Calibri"/>
          <w:b w:val="0"/>
          <w:sz w:val="18"/>
        </w:rPr>
        <w:t>Employment Agreements Summary §8; QofE Executive Compensation tab</w:t>
      </w:r>
    </w:p>
    <w:p>
      <w:pPr>
        <w:spacing w:before="20" w:after="40"/>
        <w:ind w:left="216"/>
      </w:pPr>
      <w:r>
        <w:rPr>
          <w:rFonts w:ascii="Calibri" w:hAnsi="Calibri"/>
          <w:b/>
          <w:color w:val="1F3864"/>
          <w:sz w:val="18"/>
        </w:rPr>
        <w:t xml:space="preserve">Finding: </w:t>
      </w:r>
      <w:r>
        <w:rPr>
          <w:rFonts w:ascii="Calibri" w:hAnsi="Calibri"/>
          <w:b w:val="0"/>
          <w:sz w:val="18"/>
        </w:rPr>
        <w:t>Derek and Jason Calloway each have single-trigger change-of-control severance provisions entitling them to 18 months of base salary ($1,312,500 each) payable within 30 days of closing, regardless of post-close employment status. Total: $2,625,000. This is a certain cash outflow at closing. The LOI's Transaction Expenses definition does not explicitly address these payments. If classified as Transaction Expenses, they reduce the purchase price; if buyer-borne, they are an additional cost. The QofE data package flags this as unresolved. The three remaining executives have double-trigger provisions totaling $1,150,000 — contingent on post-close termination or material diminution of duties.</w:t>
      </w:r>
    </w:p>
    <w:p>
      <w:pPr>
        <w:spacing w:before="20" w:after="40"/>
        <w:ind w:left="216"/>
      </w:pPr>
      <w:r>
        <w:rPr>
          <w:rFonts w:ascii="Calibri" w:hAnsi="Calibri"/>
          <w:b/>
          <w:color w:val="1F3864"/>
          <w:sz w:val="18"/>
        </w:rPr>
        <w:t xml:space="preserve">Quantified Exposure: </w:t>
      </w:r>
      <w:r>
        <w:rPr>
          <w:rFonts w:ascii="Calibri" w:hAnsi="Calibri"/>
          <w:b w:val="0"/>
          <w:sz w:val="18"/>
        </w:rPr>
        <w:t>$2,625,000 certain cash outflow at closing; classification as Transaction Expense vs. buyer cost unresolved.</w:t>
      </w:r>
    </w:p>
    <w:p>
      <w:pPr>
        <w:spacing w:before="20" w:after="40"/>
        <w:ind w:left="216"/>
      </w:pPr>
      <w:r>
        <w:rPr>
          <w:rFonts w:ascii="Calibri" w:hAnsi="Calibri"/>
          <w:b/>
          <w:color w:val="1F3864"/>
          <w:sz w:val="18"/>
        </w:rPr>
        <w:t xml:space="preserve">Buyer Action: </w:t>
      </w:r>
      <w:r>
        <w:rPr>
          <w:rFonts w:ascii="Calibri" w:hAnsi="Calibri"/>
          <w:b w:val="0"/>
          <w:sz w:val="18"/>
        </w:rPr>
        <w:t>Resolve classification in SPA negotiations. If seller-borne, deduct from purchase price. Negotiate new post-close employment agreements with the Calloway brothers to potentially restructure the severance obligation.</w:t>
      </w:r>
    </w:p>
    <w:p>
      <w:pPr>
        <w:spacing w:before="160" w:after="40"/>
        <w:jc w:val="left"/>
        <w:shd w:val="clear" w:color="auto" w:fill="ED7D31"/>
      </w:pPr>
      <w:r>
        <w:rPr>
          <w:rFonts w:ascii="Calibri" w:hAnsi="Calibri"/>
          <w:b/>
          <w:i w:val="0"/>
          <w:color w:val="FFFFFF"/>
          <w:sz w:val="20"/>
        </w:rPr>
        <w:t xml:space="preserve">  RF-18  ·  HIGH  ·  NLRB Union Election Petition: 62 Field Technicians at Grand Junction and Casper</w:t>
      </w:r>
    </w:p>
    <w:p>
      <w:pPr>
        <w:spacing w:before="20" w:after="40"/>
        <w:ind w:left="216"/>
      </w:pPr>
      <w:r>
        <w:rPr>
          <w:rFonts w:ascii="Calibri" w:hAnsi="Calibri"/>
          <w:b/>
          <w:color w:val="1F3864"/>
          <w:sz w:val="18"/>
        </w:rPr>
        <w:t xml:space="preserve">Source: </w:t>
      </w:r>
      <w:r>
        <w:rPr>
          <w:rFonts w:ascii="Calibri" w:hAnsi="Calibri"/>
          <w:b w:val="0"/>
          <w:sz w:val="18"/>
        </w:rPr>
        <w:t>Employee Benefits Summary §7 (footnote 1)</w:t>
      </w:r>
    </w:p>
    <w:p>
      <w:pPr>
        <w:spacing w:before="20" w:after="40"/>
        <w:ind w:left="216"/>
      </w:pPr>
      <w:r>
        <w:rPr>
          <w:rFonts w:ascii="Calibri" w:hAnsi="Calibri"/>
          <w:b/>
          <w:color w:val="1F3864"/>
          <w:sz w:val="18"/>
        </w:rPr>
        <w:t xml:space="preserve">Finding: </w:t>
      </w:r>
      <w:r>
        <w:rPr>
          <w:rFonts w:ascii="Calibri" w:hAnsi="Calibri"/>
          <w:b w:val="0"/>
          <w:sz w:val="18"/>
        </w:rPr>
        <w:t>An NLRB election petition was filed November 4, 2024 by the International Brotherhood of Teamsters Local 455, covering 62 field technicians at the Grand Junction and Casper facilities. This was disclosed only in a footnote to the Employee Benefits Summary — it does not appear in the CIM, the Litigation and Regulatory Summary, or any other primary data room document. The CIM prominently cites the Company's non-union status as a competitive advantage. If the union wins an election, it could result in collective bargaining, wage increases of 10–20% for 62 employees, work rule changes, and reduced operational flexibility. The failure to disclose this in the CIM or litigation summary is itself a red flag regarding disclosure completeness.</w:t>
      </w:r>
    </w:p>
    <w:p>
      <w:pPr>
        <w:spacing w:before="20" w:after="40"/>
        <w:ind w:left="216"/>
      </w:pPr>
      <w:r>
        <w:rPr>
          <w:rFonts w:ascii="Calibri" w:hAnsi="Calibri"/>
          <w:b/>
          <w:color w:val="1F3864"/>
          <w:sz w:val="18"/>
        </w:rPr>
        <w:t xml:space="preserve">Quantified Exposure: </w:t>
      </w:r>
      <w:r>
        <w:rPr>
          <w:rFonts w:ascii="Calibri" w:hAnsi="Calibri"/>
          <w:b w:val="0"/>
          <w:sz w:val="18"/>
        </w:rPr>
        <w:t>Potential wage increases of 10–20% for 62 employees; reduced operational flexibility; CIM representation of non-union status may be misleading.</w:t>
      </w:r>
    </w:p>
    <w:p>
      <w:pPr>
        <w:spacing w:before="20" w:after="40"/>
        <w:ind w:left="216"/>
      </w:pPr>
      <w:r>
        <w:rPr>
          <w:rFonts w:ascii="Calibri" w:hAnsi="Calibri"/>
          <w:b/>
          <w:color w:val="1F3864"/>
          <w:sz w:val="18"/>
        </w:rPr>
        <w:t xml:space="preserve">Buyer Action: </w:t>
      </w:r>
      <w:r>
        <w:rPr>
          <w:rFonts w:ascii="Calibri" w:hAnsi="Calibri"/>
          <w:b w:val="0"/>
          <w:sz w:val="18"/>
        </w:rPr>
        <w:t>Obtain full details on the NLRB petition immediately; assess election timeline; evaluate labor counsel strategy; ensure disclosure in SPA representations.</w:t>
      </w:r>
    </w:p>
    <w:p>
      <w:pPr>
        <w:spacing w:before="160" w:after="40"/>
        <w:jc w:val="left"/>
        <w:shd w:val="clear" w:color="auto" w:fill="FFD966"/>
      </w:pPr>
      <w:r>
        <w:rPr>
          <w:rFonts w:ascii="Calibri" w:hAnsi="Calibri"/>
          <w:b/>
          <w:i w:val="0"/>
          <w:color w:val="000000"/>
          <w:sz w:val="20"/>
        </w:rPr>
        <w:t xml:space="preserve">  RF-19  ·  MEDIUM  ·  FLSA Wage Claim: Former Asbestos Abatement Employees</w:t>
      </w:r>
    </w:p>
    <w:p>
      <w:pPr>
        <w:spacing w:before="20" w:after="40"/>
        <w:ind w:left="216"/>
      </w:pPr>
      <w:r>
        <w:rPr>
          <w:rFonts w:ascii="Calibri" w:hAnsi="Calibri"/>
          <w:b/>
          <w:color w:val="1F3864"/>
          <w:sz w:val="18"/>
        </w:rPr>
        <w:t xml:space="preserve">Finding: </w:t>
      </w:r>
      <w:r>
        <w:rPr>
          <w:rFonts w:ascii="Calibri" w:hAnsi="Calibri"/>
          <w:b w:val="0"/>
          <w:sz w:val="18"/>
        </w:rPr>
        <w:t>Eight former asbestos abatement employees filed a demand letter in October 2024 alleging unpaid overtime under the FLSA and Colorado COMPS Order. Claimed exposure: approximately $330K (including liquidated damages). No lawsuit has been filed. Management estimates exposure at $100K–$200K and cites the motor carrier exemption as a defense.</w:t>
      </w:r>
    </w:p>
    <w:p>
      <w:pPr>
        <w:spacing w:before="20" w:after="40"/>
        <w:ind w:left="216"/>
      </w:pPr>
      <w:r>
        <w:rPr>
          <w:rFonts w:ascii="Calibri" w:hAnsi="Calibri"/>
          <w:b/>
          <w:color w:val="1F3864"/>
          <w:sz w:val="18"/>
        </w:rPr>
        <w:t xml:space="preserve">Buyer Action: </w:t>
      </w:r>
      <w:r>
        <w:rPr>
          <w:rFonts w:ascii="Calibri" w:hAnsi="Calibri"/>
          <w:b w:val="0"/>
          <w:sz w:val="18"/>
        </w:rPr>
        <w:t>Obtain employment counsel analysis; assess exemption applicability; consider pre-close settlement; ensure indemnity coverage in SPA.</w:t>
      </w:r>
    </w:p>
    <w:p>
      <w:r>
        <w:br w:type="page"/>
      </w:r>
    </w:p>
    <w:p>
      <w:pPr>
        <w:spacing w:before="200" w:after="40"/>
        <w:jc w:val="left"/>
      </w:pPr>
      <w:r>
        <w:rPr>
          <w:rFonts w:ascii="Calibri" w:hAnsi="Calibri"/>
          <w:b/>
          <w:i w:val="0"/>
          <w:color w:val="1F3864"/>
          <w:sz w:val="26"/>
        </w:rPr>
        <w:t>IX. FLEET, INSURANCE, AND LITIGATION</w:t>
      </w:r>
    </w:p>
    <w:p>
      <w:pPr>
        <w:spacing w:before="40" w:after="80"/>
        <w:pBdr>
          <w:bottom w:val="single" w:sz="8" w:space="1" w:color="1F3864"/>
        </w:pBdr>
      </w:pPr>
    </w:p>
    <w:p>
      <w:pPr>
        <w:spacing w:before="160" w:after="40"/>
        <w:jc w:val="left"/>
        <w:shd w:val="clear" w:color="auto" w:fill="FFD966"/>
      </w:pPr>
      <w:r>
        <w:rPr>
          <w:rFonts w:ascii="Calibri" w:hAnsi="Calibri"/>
          <w:b/>
          <w:i w:val="0"/>
          <w:color w:val="000000"/>
          <w:sz w:val="20"/>
        </w:rPr>
        <w:t xml:space="preserve">  RF-20  ·  MEDIUM  ·  Fleet Age and Deferred Replacement: Operational and DOT Risk</w:t>
      </w:r>
    </w:p>
    <w:p>
      <w:pPr>
        <w:spacing w:before="20" w:after="40"/>
        <w:ind w:left="216"/>
      </w:pPr>
      <w:r>
        <w:rPr>
          <w:rFonts w:ascii="Calibri" w:hAnsi="Calibri"/>
          <w:b/>
          <w:color w:val="1F3864"/>
          <w:sz w:val="18"/>
        </w:rPr>
        <w:t xml:space="preserve">Finding: </w:t>
      </w:r>
      <w:r>
        <w:rPr>
          <w:rFonts w:ascii="Calibri" w:hAnsi="Calibri"/>
          <w:b w:val="0"/>
          <w:sz w:val="18"/>
        </w:rPr>
        <w:t>38 of 85 fleet assets (44.7%) are at or past stated useful life. Average fleet age is 8.2 years vs. 7.0-year useful life. Several assets are marked 'At End of Life — No Replacement Scheduled.' An aging fleet increases breakdown risk, maintenance costs, and DOT compliance risk for hazardous waste transportation. FMCSA out-of-service violations on hazmat vehicles can result in operational shutdowns.</w:t>
      </w:r>
    </w:p>
    <w:p>
      <w:pPr>
        <w:spacing w:before="20" w:after="40"/>
        <w:ind w:left="216"/>
      </w:pPr>
      <w:r>
        <w:rPr>
          <w:rFonts w:ascii="Calibri" w:hAnsi="Calibri"/>
          <w:b/>
          <w:color w:val="1F3864"/>
          <w:sz w:val="18"/>
        </w:rPr>
        <w:t xml:space="preserve">Buyer Action: </w:t>
      </w:r>
      <w:r>
        <w:rPr>
          <w:rFonts w:ascii="Calibri" w:hAnsi="Calibri"/>
          <w:b w:val="0"/>
          <w:sz w:val="18"/>
        </w:rPr>
        <w:t>Commission independent fleet inspection; obtain DOT compliance records; adjust normalized capex; negotiate purchase price reduction for deferred maintenance.</w:t>
      </w:r>
    </w:p>
    <w:p>
      <w:pPr>
        <w:spacing w:before="160" w:after="40"/>
        <w:jc w:val="left"/>
        <w:shd w:val="clear" w:color="auto" w:fill="FFD966"/>
      </w:pPr>
      <w:r>
        <w:rPr>
          <w:rFonts w:ascii="Calibri" w:hAnsi="Calibri"/>
          <w:b/>
          <w:i w:val="0"/>
          <w:color w:val="000000"/>
          <w:sz w:val="20"/>
        </w:rPr>
        <w:t xml:space="preserve">  RF-21  ·  MEDIUM  ·  Growth CapEx Elevated; 'Other Growth Initiatives' Unexplained</w:t>
      </w:r>
    </w:p>
    <w:p>
      <w:pPr>
        <w:spacing w:before="20" w:after="40"/>
        <w:ind w:left="216"/>
      </w:pPr>
      <w:r>
        <w:rPr>
          <w:rFonts w:ascii="Calibri" w:hAnsi="Calibri"/>
          <w:b/>
          <w:color w:val="1F3864"/>
          <w:sz w:val="18"/>
        </w:rPr>
        <w:t xml:space="preserve">Finding: </w:t>
      </w:r>
      <w:r>
        <w:rPr>
          <w:rFonts w:ascii="Calibri" w:hAnsi="Calibri"/>
          <w:b w:val="0"/>
          <w:sz w:val="18"/>
        </w:rPr>
        <w:t>Growth capex has averaged $3.9M/year over five years and was $4.5M in FY2024. The 'Other Growth Initiatives' line jumped from $650K (FY2023) to $2.0M (FY2024) with limited explanation. If growth capex is reduced post-close, revenue growth may slow; if maintained, free cash flow is lower than management's normalized presentation suggests.</w:t>
      </w:r>
    </w:p>
    <w:p>
      <w:pPr>
        <w:spacing w:before="20" w:after="40"/>
        <w:ind w:left="216"/>
      </w:pPr>
      <w:r>
        <w:rPr>
          <w:rFonts w:ascii="Calibri" w:hAnsi="Calibri"/>
          <w:b/>
          <w:color w:val="1F3864"/>
          <w:sz w:val="18"/>
        </w:rPr>
        <w:t xml:space="preserve">Buyer Action: </w:t>
      </w:r>
      <w:r>
        <w:rPr>
          <w:rFonts w:ascii="Calibri" w:hAnsi="Calibri"/>
          <w:b w:val="0"/>
          <w:sz w:val="18"/>
        </w:rPr>
        <w:t>Obtain detail on the $2.0M 'Other Growth Initiatives' line; assess which growth capex is truly discretionary vs. required to maintain revenue; adjust the FCF model accordingly.</w:t>
      </w:r>
    </w:p>
    <w:p>
      <w:pPr>
        <w:spacing w:before="160" w:after="40"/>
        <w:jc w:val="left"/>
        <w:shd w:val="clear" w:color="auto" w:fill="FFD966"/>
      </w:pPr>
      <w:r>
        <w:rPr>
          <w:rFonts w:ascii="Calibri" w:hAnsi="Calibri"/>
          <w:b/>
          <w:i w:val="0"/>
          <w:color w:val="000000"/>
          <w:sz w:val="20"/>
        </w:rPr>
        <w:t xml:space="preserve">  RF-22  ·  MEDIUM  ·  Ramirez Personal Injury Claim: $4.8M Sought; Coverage Uncertain</w:t>
      </w:r>
    </w:p>
    <w:p>
      <w:pPr>
        <w:spacing w:before="20" w:after="40"/>
        <w:ind w:left="216"/>
      </w:pPr>
      <w:r>
        <w:rPr>
          <w:rFonts w:ascii="Calibri" w:hAnsi="Calibri"/>
          <w:b/>
          <w:color w:val="1F3864"/>
          <w:sz w:val="18"/>
        </w:rPr>
        <w:t xml:space="preserve">Source: </w:t>
      </w:r>
      <w:r>
        <w:rPr>
          <w:rFonts w:ascii="Calibri" w:hAnsi="Calibri"/>
          <w:b w:val="0"/>
          <w:sz w:val="18"/>
        </w:rPr>
        <w:t>Litigation Summary §II.B; Insurance Program Summary §2, §4</w:t>
      </w:r>
    </w:p>
    <w:p>
      <w:pPr>
        <w:spacing w:before="20" w:after="40"/>
        <w:ind w:left="216"/>
      </w:pPr>
      <w:r>
        <w:rPr>
          <w:rFonts w:ascii="Calibri" w:hAnsi="Calibri"/>
          <w:b/>
          <w:color w:val="1F3864"/>
          <w:sz w:val="18"/>
        </w:rPr>
        <w:t xml:space="preserve">Finding: </w:t>
      </w:r>
      <w:r>
        <w:rPr>
          <w:rFonts w:ascii="Calibri" w:hAnsi="Calibri"/>
          <w:b w:val="0"/>
          <w:sz w:val="18"/>
        </w:rPr>
        <w:t>Miguel Ramirez (former field technician) filed suit in August 2024 alleging VOC and heavy metal exposure at a Sheridan, Wyoming remediation site, seeking $4.8M including punitive damages. The insurer issued a reservation of rights letter on September 19, 2024 — coverage determination is pending. If the CGL policy's pollution exclusion applies, or if the PLL policy's gradual contamination exclusion applies, the Company could bear the full exposure. No accrual has been recorded.</w:t>
      </w:r>
    </w:p>
    <w:p>
      <w:pPr>
        <w:spacing w:before="20" w:after="40"/>
        <w:ind w:left="216"/>
      </w:pPr>
      <w:r>
        <w:rPr>
          <w:rFonts w:ascii="Calibri" w:hAnsi="Calibri"/>
          <w:b/>
          <w:color w:val="1F3864"/>
          <w:sz w:val="18"/>
        </w:rPr>
        <w:t xml:space="preserve">Quantified Exposure: </w:t>
      </w:r>
      <w:r>
        <w:rPr>
          <w:rFonts w:ascii="Calibri" w:hAnsi="Calibri"/>
          <w:b w:val="0"/>
          <w:sz w:val="18"/>
        </w:rPr>
        <w:t>$500K–$4.8M exposure; coverage uncertain; no accrual recorded.</w:t>
      </w:r>
    </w:p>
    <w:p>
      <w:pPr>
        <w:spacing w:before="20" w:after="40"/>
        <w:ind w:left="216"/>
      </w:pPr>
      <w:r>
        <w:rPr>
          <w:rFonts w:ascii="Calibri" w:hAnsi="Calibri"/>
          <w:b/>
          <w:color w:val="1F3864"/>
          <w:sz w:val="18"/>
        </w:rPr>
        <w:t xml:space="preserve">Buyer Action: </w:t>
      </w:r>
      <w:r>
        <w:rPr>
          <w:rFonts w:ascii="Calibri" w:hAnsi="Calibri"/>
          <w:b w:val="0"/>
          <w:sz w:val="18"/>
        </w:rPr>
        <w:t>Obtain coverage determination status from Frontier Specialty; assess litigation strategy; ensure indemnity covers uncovered exposure; allocate holdback accordingly.</w:t>
      </w:r>
    </w:p>
    <w:p>
      <w:pPr>
        <w:spacing w:before="160" w:after="40"/>
        <w:jc w:val="left"/>
        <w:shd w:val="clear" w:color="auto" w:fill="FFD966"/>
      </w:pPr>
      <w:r>
        <w:rPr>
          <w:rFonts w:ascii="Calibri" w:hAnsi="Calibri"/>
          <w:b/>
          <w:i w:val="0"/>
          <w:color w:val="000000"/>
          <w:sz w:val="20"/>
        </w:rPr>
        <w:t xml:space="preserve">  RF-23  ·  MEDIUM  ·  OSHA Recordkeeping Violations: Potential Safety Record Overstatement</w:t>
      </w:r>
    </w:p>
    <w:p>
      <w:pPr>
        <w:spacing w:before="20" w:after="40"/>
        <w:ind w:left="216"/>
      </w:pPr>
      <w:r>
        <w:rPr>
          <w:rFonts w:ascii="Calibri" w:hAnsi="Calibri"/>
          <w:b/>
          <w:color w:val="1F3864"/>
          <w:sz w:val="18"/>
        </w:rPr>
        <w:t xml:space="preserve">Finding: </w:t>
      </w:r>
      <w:r>
        <w:rPr>
          <w:rFonts w:ascii="Calibri" w:hAnsi="Calibri"/>
          <w:b w:val="0"/>
          <w:sz w:val="18"/>
        </w:rPr>
        <w:t>OSHA Region VIII found that RES failed to timely record three recordable injuries in calendar year 2023 at Grand Junction and Casper. While the financial penalty ($4,580) is minimal, the finding raises questions about whether the Company's TRIR of 2.8 is accurate, and whether the safety record presented in the CIM is overstated. The Ramirez lawsuit also alleges inadequate PPE and air monitoring — consistent with a pattern of safety compliance gaps.</w:t>
      </w:r>
    </w:p>
    <w:p>
      <w:pPr>
        <w:spacing w:before="20" w:after="40"/>
        <w:ind w:left="216"/>
      </w:pPr>
      <w:r>
        <w:rPr>
          <w:rFonts w:ascii="Calibri" w:hAnsi="Calibri"/>
          <w:b/>
          <w:color w:val="1F3864"/>
          <w:sz w:val="18"/>
        </w:rPr>
        <w:t xml:space="preserve">Buyer Action: </w:t>
      </w:r>
      <w:r>
        <w:rPr>
          <w:rFonts w:ascii="Calibri" w:hAnsi="Calibri"/>
          <w:b w:val="0"/>
          <w:sz w:val="18"/>
        </w:rPr>
        <w:t>Request full OSHA inspection history; verify TRIR calculation; assess whether additional unreported incidents exist; review site-specific health and safety plans.</w:t>
      </w:r>
    </w:p>
    <w:p>
      <w:pPr>
        <w:spacing w:before="160" w:after="40"/>
        <w:jc w:val="left"/>
        <w:shd w:val="clear" w:color="auto" w:fill="FFD966"/>
      </w:pPr>
      <w:r>
        <w:rPr>
          <w:rFonts w:ascii="Calibri" w:hAnsi="Calibri"/>
          <w:b/>
          <w:i w:val="0"/>
          <w:color w:val="000000"/>
          <w:sz w:val="20"/>
        </w:rPr>
        <w:t xml:space="preserve">  RF-24  ·  MEDIUM  ·  Pollution Legal Liability: Gradual Contamination Exclusion at Owned Facilities</w:t>
      </w:r>
    </w:p>
    <w:p>
      <w:pPr>
        <w:spacing w:before="20" w:after="40"/>
        <w:ind w:left="216"/>
      </w:pPr>
      <w:r>
        <w:rPr>
          <w:rFonts w:ascii="Calibri" w:hAnsi="Calibri"/>
          <w:b/>
          <w:color w:val="1F3864"/>
          <w:sz w:val="18"/>
        </w:rPr>
        <w:t xml:space="preserve">Finding: </w:t>
      </w:r>
      <w:r>
        <w:rPr>
          <w:rFonts w:ascii="Calibri" w:hAnsi="Calibri"/>
          <w:b w:val="0"/>
          <w:sz w:val="18"/>
        </w:rPr>
        <w:t>The PLL policy explicitly excludes coverage for gradual contamination at owned or operated facilities — precisely the type of contamination documented at Grand Junction (petroleum hydrocarbons and chlorinated solvents from decades of prior operations). The Phase II ESA characterizes the contamination as 'gradual releases over extended periods.' This means the $2.2M+ Grand Junction remediation obligation is entirely uninsured.</w:t>
      </w:r>
    </w:p>
    <w:p>
      <w:pPr>
        <w:spacing w:before="20" w:after="40"/>
        <w:ind w:left="216"/>
      </w:pPr>
      <w:r>
        <w:rPr>
          <w:rFonts w:ascii="Calibri" w:hAnsi="Calibri"/>
          <w:b/>
          <w:color w:val="1F3864"/>
          <w:sz w:val="18"/>
        </w:rPr>
        <w:t xml:space="preserve">Buyer Action: </w:t>
      </w:r>
      <w:r>
        <w:rPr>
          <w:rFonts w:ascii="Calibri" w:hAnsi="Calibri"/>
          <w:b w:val="0"/>
          <w:sz w:val="18"/>
        </w:rPr>
        <w:t>Obtain environmental impairment liability (EIL) coverage for Grand Junction; negotiate specific environmental indemnity; increase environmental escrow.</w:t>
      </w:r>
    </w:p>
    <w:p>
      <w:pPr>
        <w:spacing w:before="160" w:after="40"/>
        <w:jc w:val="left"/>
        <w:shd w:val="clear" w:color="auto" w:fill="FFD966"/>
      </w:pPr>
      <w:r>
        <w:rPr>
          <w:rFonts w:ascii="Calibri" w:hAnsi="Calibri"/>
          <w:b/>
          <w:i w:val="0"/>
          <w:color w:val="000000"/>
          <w:sz w:val="20"/>
        </w:rPr>
        <w:t xml:space="preserve">  RF-25  ·  MEDIUM  ·  Claims-Made PLL Policy: Tail Coverage Risk at Transaction</w:t>
      </w:r>
    </w:p>
    <w:p>
      <w:pPr>
        <w:spacing w:before="20" w:after="40"/>
        <w:ind w:left="216"/>
      </w:pPr>
      <w:r>
        <w:rPr>
          <w:rFonts w:ascii="Calibri" w:hAnsi="Calibri"/>
          <w:b/>
          <w:color w:val="1F3864"/>
          <w:sz w:val="18"/>
        </w:rPr>
        <w:t xml:space="preserve">Finding: </w:t>
      </w:r>
      <w:r>
        <w:rPr>
          <w:rFonts w:ascii="Calibri" w:hAnsi="Calibri"/>
          <w:b w:val="0"/>
          <w:sz w:val="18"/>
        </w:rPr>
        <w:t>The PLL policy is written on a claims-made basis with a January 1, 2015 retroactive date. At closing, the policy must be continued, replaced, or a tail purchased (at 150% of the annual premium). If the policy lapses without a tail, claims arising from pre-close pollution conditions reported post-close will be uninsured.</w:t>
      </w:r>
    </w:p>
    <w:p>
      <w:pPr>
        <w:spacing w:before="20" w:after="40"/>
        <w:ind w:left="216"/>
      </w:pPr>
      <w:r>
        <w:rPr>
          <w:rFonts w:ascii="Calibri" w:hAnsi="Calibri"/>
          <w:b/>
          <w:color w:val="1F3864"/>
          <w:sz w:val="18"/>
        </w:rPr>
        <w:t xml:space="preserve">Buyer Action: </w:t>
      </w:r>
      <w:r>
        <w:rPr>
          <w:rFonts w:ascii="Calibri" w:hAnsi="Calibri"/>
          <w:b w:val="0"/>
          <w:sz w:val="18"/>
        </w:rPr>
        <w:t>Engage Frontier Specialty immediately regarding the transaction; obtain tail coverage quote; include tail cost in Transaction Expenses; negotiate representations and indemnities.</w:t>
      </w:r>
    </w:p>
    <w:p>
      <w:r>
        <w:br w:type="page"/>
      </w:r>
    </w:p>
    <w:p>
      <w:pPr>
        <w:spacing w:before="200" w:after="40"/>
        <w:jc w:val="left"/>
      </w:pPr>
      <w:r>
        <w:rPr>
          <w:rFonts w:ascii="Calibri" w:hAnsi="Calibri"/>
          <w:b/>
          <w:i w:val="0"/>
          <w:color w:val="1F3864"/>
          <w:sz w:val="26"/>
        </w:rPr>
        <w:t>X. CORPORATE GOVERNANCE AND CUSTOMER CONCENTRATION</w:t>
      </w:r>
    </w:p>
    <w:p>
      <w:pPr>
        <w:spacing w:before="40" w:after="80"/>
        <w:pBdr>
          <w:bottom w:val="single" w:sz="8" w:space="1" w:color="1F3864"/>
        </w:pBdr>
      </w:pPr>
    </w:p>
    <w:p>
      <w:pPr>
        <w:spacing w:before="160" w:after="40"/>
        <w:jc w:val="left"/>
        <w:shd w:val="clear" w:color="auto" w:fill="70AD47"/>
      </w:pPr>
      <w:r>
        <w:rPr>
          <w:rFonts w:ascii="Calibri" w:hAnsi="Calibri"/>
          <w:b/>
          <w:i w:val="0"/>
          <w:color w:val="FFFFFF"/>
          <w:sz w:val="20"/>
        </w:rPr>
        <w:t xml:space="preserve">  RF-26  ·  LOW  ·  Pinnacle Waste Solutions, LLC: Dormant Entity with Active Obligations</w:t>
      </w:r>
    </w:p>
    <w:p>
      <w:pPr>
        <w:spacing w:before="20" w:after="40"/>
        <w:ind w:left="216"/>
      </w:pPr>
      <w:r>
        <w:rPr>
          <w:rFonts w:ascii="Calibri" w:hAnsi="Calibri"/>
          <w:b/>
          <w:color w:val="1F3864"/>
          <w:sz w:val="18"/>
        </w:rPr>
        <w:t xml:space="preserve">Finding: </w:t>
      </w:r>
      <w:r>
        <w:rPr>
          <w:rFonts w:ascii="Calibri" w:hAnsi="Calibri"/>
          <w:b w:val="0"/>
          <w:sz w:val="18"/>
        </w:rPr>
        <w:t>Pinnacle Waste Solutions, LLC has been operationally dormant since Q3 2022 but has not been dissolved. It remains the named tenant on the SLC lease and the named permit holder for UTH-0441. As a wholly-owned subsidiary, it is a guarantor under the credit agreement. The entity's continued existence creates regulatory and legal complexity.</w:t>
      </w:r>
    </w:p>
    <w:p>
      <w:pPr>
        <w:spacing w:before="20" w:after="40"/>
        <w:ind w:left="216"/>
      </w:pPr>
      <w:r>
        <w:rPr>
          <w:rFonts w:ascii="Calibri" w:hAnsi="Calibri"/>
          <w:b/>
          <w:color w:val="1F3864"/>
          <w:sz w:val="18"/>
        </w:rPr>
        <w:t xml:space="preserve">Buyer Action: </w:t>
      </w:r>
      <w:r>
        <w:rPr>
          <w:rFonts w:ascii="Calibri" w:hAnsi="Calibri"/>
          <w:b w:val="0"/>
          <w:sz w:val="18"/>
        </w:rPr>
        <w:t>Resolve permit and lease transfers before dissolution; assess whether Pinnacle should be merged into RES; confirm good standing in Utah.</w:t>
      </w:r>
    </w:p>
    <w:p>
      <w:pPr>
        <w:spacing w:before="160" w:after="40"/>
        <w:jc w:val="left"/>
        <w:shd w:val="clear" w:color="auto" w:fill="70AD47"/>
      </w:pPr>
      <w:r>
        <w:rPr>
          <w:rFonts w:ascii="Calibri" w:hAnsi="Calibri"/>
          <w:b/>
          <w:i w:val="0"/>
          <w:color w:val="FFFFFF"/>
          <w:sz w:val="20"/>
        </w:rPr>
        <w:t xml:space="preserve">  RF-27  ·  LOW  ·  Board Composition: Linda Calloway as Director and Trust Trustee</w:t>
      </w:r>
    </w:p>
    <w:p>
      <w:pPr>
        <w:spacing w:before="20" w:after="40"/>
        <w:ind w:left="216"/>
      </w:pPr>
      <w:r>
        <w:rPr>
          <w:rFonts w:ascii="Calibri" w:hAnsi="Calibri"/>
          <w:b/>
          <w:color w:val="1F3864"/>
          <w:sz w:val="18"/>
        </w:rPr>
        <w:t xml:space="preserve">Finding: </w:t>
      </w:r>
      <w:r>
        <w:rPr>
          <w:rFonts w:ascii="Calibri" w:hAnsi="Calibri"/>
          <w:b w:val="0"/>
          <w:sz w:val="18"/>
        </w:rPr>
        <w:t>The three-person Board of Directors consists of Derek Calloway (CEO/Chairman), Jason Calloway (COO), and Linda Calloway (Trustee of the Calloway Family Trust, which holds 35% of equity). Linda Calloway serves simultaneously as a director and as trustee of a selling shareholder — a potential conflict of interest in board deliberations regarding the transaction. There is no independent director.</w:t>
      </w:r>
    </w:p>
    <w:p>
      <w:pPr>
        <w:spacing w:before="20" w:after="40"/>
        <w:ind w:left="216"/>
      </w:pPr>
      <w:r>
        <w:rPr>
          <w:rFonts w:ascii="Calibri" w:hAnsi="Calibri"/>
          <w:b/>
          <w:color w:val="1F3864"/>
          <w:sz w:val="18"/>
        </w:rPr>
        <w:t xml:space="preserve">Buyer Action: </w:t>
      </w:r>
      <w:r>
        <w:rPr>
          <w:rFonts w:ascii="Calibri" w:hAnsi="Calibri"/>
          <w:b w:val="0"/>
          <w:sz w:val="18"/>
        </w:rPr>
        <w:t>Assess whether board approval process was adequate; obtain legal opinion on trustee conflict; replace board post-close with independent directors.</w:t>
      </w:r>
    </w:p>
    <w:p>
      <w:pPr>
        <w:spacing w:before="160" w:after="40"/>
        <w:jc w:val="left"/>
        <w:shd w:val="clear" w:color="auto" w:fill="FFD966"/>
      </w:pPr>
      <w:r>
        <w:rPr>
          <w:rFonts w:ascii="Calibri" w:hAnsi="Calibri"/>
          <w:b/>
          <w:i w:val="0"/>
          <w:color w:val="000000"/>
          <w:sz w:val="20"/>
        </w:rPr>
        <w:t xml:space="preserve">  RF-28  ·  MEDIUM  ·  Top 2 Customer Concentration = 30.6%; 8 Contracts with CoC Provisions</w:t>
      </w:r>
    </w:p>
    <w:p>
      <w:pPr>
        <w:spacing w:before="20" w:after="40"/>
        <w:ind w:left="216"/>
      </w:pPr>
      <w:r>
        <w:rPr>
          <w:rFonts w:ascii="Calibri" w:hAnsi="Calibri"/>
          <w:b/>
          <w:color w:val="1F3864"/>
          <w:sz w:val="18"/>
        </w:rPr>
        <w:t xml:space="preserve">Finding: </w:t>
      </w:r>
      <w:r>
        <w:rPr>
          <w:rFonts w:ascii="Calibri" w:hAnsi="Calibri"/>
          <w:b w:val="0"/>
          <w:sz w:val="18"/>
        </w:rPr>
        <w:t>The DOE (19.2%) and Consolidated Mining &amp; Minerals Corp. (11.4%) together represent 30.6% of revenue. The top 5 customers represent 50.4%. Eight of the top 20 contracts contain assignment, change-of-control, or notification provisions. The CIM's claim that 'no single non-government customer represents more than approximately 12% of annual revenue' is technically accurate but obscures the DOE concentration risk.</w:t>
      </w:r>
    </w:p>
    <w:p>
      <w:pPr>
        <w:spacing w:before="20" w:after="40"/>
        <w:ind w:left="216"/>
      </w:pPr>
      <w:r>
        <w:rPr>
          <w:rFonts w:ascii="Calibri" w:hAnsi="Calibri"/>
          <w:b/>
          <w:color w:val="1F3864"/>
          <w:sz w:val="18"/>
        </w:rPr>
        <w:t xml:space="preserve">Buyer Action: </w:t>
      </w:r>
      <w:r>
        <w:rPr>
          <w:rFonts w:ascii="Calibri" w:hAnsi="Calibri"/>
          <w:b w:val="0"/>
          <w:sz w:val="18"/>
        </w:rPr>
        <w:t>Map all CoC notification requirements; initiate customer outreach plan; assess Consolidated Mining relationship stability; model revenue scenarios.</w:t>
      </w:r>
    </w:p>
    <w:p>
      <w:pPr>
        <w:spacing w:before="160" w:after="40"/>
        <w:jc w:val="left"/>
        <w:shd w:val="clear" w:color="auto" w:fill="FFD966"/>
      </w:pPr>
      <w:r>
        <w:rPr>
          <w:rFonts w:ascii="Calibri" w:hAnsi="Calibri"/>
          <w:b/>
          <w:i w:val="0"/>
          <w:color w:val="000000"/>
          <w:sz w:val="20"/>
        </w:rPr>
        <w:t xml:space="preserve">  RF-29  ·  MEDIUM  ·  Intermountain Health Systems Contract Renewal Due February 2025</w:t>
      </w:r>
    </w:p>
    <w:p>
      <w:pPr>
        <w:spacing w:before="20" w:after="40"/>
        <w:ind w:left="216"/>
      </w:pPr>
      <w:r>
        <w:rPr>
          <w:rFonts w:ascii="Calibri" w:hAnsi="Calibri"/>
          <w:b/>
          <w:color w:val="1F3864"/>
          <w:sz w:val="18"/>
        </w:rPr>
        <w:t xml:space="preserve">Finding: </w:t>
      </w:r>
      <w:r>
        <w:rPr>
          <w:rFonts w:ascii="Calibri" w:hAnsi="Calibri"/>
          <w:b w:val="0"/>
          <w:sz w:val="18"/>
        </w:rPr>
        <w:t>Intermountain Health Systems ($7.1M, 5.6% of revenue) has a fixed-price contract expiring June 30, 2025. The renewal option requires 120-day advance notice — meaning the decision must be made by approximately February 28, 2025, coinciding with the target SPA signing date. If the renewal is not exercised, $7.1M of revenue is at risk. The contract also requires 60-day advance written notice of change of control.</w:t>
      </w:r>
    </w:p>
    <w:p>
      <w:pPr>
        <w:spacing w:before="20" w:after="40"/>
        <w:ind w:left="216"/>
      </w:pPr>
      <w:r>
        <w:rPr>
          <w:rFonts w:ascii="Calibri" w:hAnsi="Calibri"/>
          <w:b/>
          <w:color w:val="1F3864"/>
          <w:sz w:val="18"/>
        </w:rPr>
        <w:t xml:space="preserve">Buyer Action: </w:t>
      </w:r>
      <w:r>
        <w:rPr>
          <w:rFonts w:ascii="Calibri" w:hAnsi="Calibri"/>
          <w:b w:val="0"/>
          <w:sz w:val="18"/>
        </w:rPr>
        <w:t>Obtain renewal decision before signing; if not renewed, adjust purchase price; provide CoC notification to Intermountain Health.</w:t>
      </w:r>
    </w:p>
    <w:p>
      <w:r>
        <w:br w:type="page"/>
      </w:r>
    </w:p>
    <w:p>
      <w:pPr>
        <w:spacing w:before="200" w:after="40"/>
        <w:jc w:val="left"/>
      </w:pPr>
      <w:r>
        <w:rPr>
          <w:rFonts w:ascii="Calibri" w:hAnsi="Calibri"/>
          <w:b/>
          <w:i w:val="0"/>
          <w:color w:val="1F3864"/>
          <w:sz w:val="26"/>
        </w:rPr>
        <w:t>XI. DEAL STRUCTURE RECOMMENDATIONS</w:t>
      </w:r>
    </w:p>
    <w:p>
      <w:pPr>
        <w:spacing w:before="40" w:after="80"/>
        <w:pBdr>
          <w:bottom w:val="single" w:sz="8" w:space="1" w:color="1F3864"/>
        </w:pBdr>
      </w:pPr>
    </w:p>
    <w:p>
      <w:pPr>
        <w:spacing w:before="160" w:after="40"/>
        <w:jc w:val="left"/>
      </w:pPr>
      <w:r>
        <w:rPr>
          <w:rFonts w:ascii="Calibri" w:hAnsi="Calibri"/>
          <w:b/>
          <w:i w:val="0"/>
          <w:color w:val="2E75B6"/>
          <w:sz w:val="22"/>
        </w:rPr>
        <w:t>A. Purchase Price Adjustment</w:t>
      </w:r>
    </w:p>
    <w:p>
      <w:pPr>
        <w:spacing w:before="0" w:after="40"/>
        <w:jc w:val="left"/>
      </w:pPr>
      <w:r>
        <w:rPr>
          <w:rFonts w:ascii="Calibri" w:hAnsi="Calibri"/>
          <w:b w:val="0"/>
          <w:i w:val="0"/>
          <w:sz w:val="20"/>
        </w:rPr>
        <w:t>The LOI's indicative EV range of $182M–$205M is based on management's stated Adjusted EBITDA of $22.8M at 8.0x–9.0x. Our analysis suggests the appropriate Buyer-adjusted EBITDA is approximately $20.1M, implying an EV range of approximately $141M–$181M at 7.0x–9.0x. We recommend:</w:t>
      </w:r>
    </w:p>
    <w:p>
      <w:pPr>
        <w:spacing w:before="20" w:after="40"/>
        <w:ind w:left="360"/>
        <w:jc w:val="left"/>
      </w:pPr>
      <w:r>
        <w:rPr>
          <w:rFonts w:ascii="Calibri" w:hAnsi="Calibri"/>
          <w:b w:val="0"/>
          <w:i w:val="0"/>
          <w:sz w:val="18"/>
        </w:rPr>
        <w:t>• Conditioning the final Enterprise Value on QofE findings (already contemplated in LOI §3.2)</w:t>
      </w:r>
    </w:p>
    <w:p>
      <w:pPr>
        <w:spacing w:before="20" w:after="40"/>
        <w:ind w:left="360"/>
        <w:jc w:val="left"/>
      </w:pPr>
      <w:r>
        <w:rPr>
          <w:rFonts w:ascii="Calibri" w:hAnsi="Calibri"/>
          <w:b w:val="0"/>
          <w:i w:val="0"/>
          <w:sz w:val="18"/>
        </w:rPr>
        <w:t>• Applying a multiple at the lower end of the range (7.5x–8.0x) given the revenue deceleration and DOE ceiling risk</w:t>
      </w:r>
    </w:p>
    <w:p>
      <w:pPr>
        <w:spacing w:before="20" w:after="40"/>
        <w:ind w:left="360"/>
        <w:jc w:val="left"/>
      </w:pPr>
      <w:r>
        <w:rPr>
          <w:rFonts w:ascii="Calibri" w:hAnsi="Calibri"/>
          <w:b w:val="0"/>
          <w:i w:val="0"/>
          <w:sz w:val="18"/>
        </w:rPr>
        <w:t>• Negotiating a purchase price reduction of $10M–$20M to reflect identified risks</w:t>
      </w:r>
    </w:p>
    <w:p>
      <w:pPr>
        <w:spacing w:before="160" w:after="40"/>
        <w:jc w:val="left"/>
      </w:pPr>
      <w:r>
        <w:rPr>
          <w:rFonts w:ascii="Calibri" w:hAnsi="Calibri"/>
          <w:b/>
          <w:i w:val="0"/>
          <w:color w:val="2E75B6"/>
          <w:sz w:val="22"/>
        </w:rPr>
        <w:t>B. Enhanced Escrow Structure</w:t>
      </w:r>
    </w:p>
    <w:p>
      <w:pPr>
        <w:spacing w:before="0" w:after="40"/>
        <w:jc w:val="left"/>
      </w:pPr>
      <w:r>
        <w:rPr>
          <w:rFonts w:ascii="Calibri" w:hAnsi="Calibri"/>
          <w:b w:val="0"/>
          <w:i w:val="0"/>
          <w:sz w:val="20"/>
        </w:rPr>
        <w:t>The LOI contemplates a 10% holdback ($18.2M–$20.5M). We recommend:</w:t>
      </w:r>
    </w:p>
    <w:p>
      <w:pPr>
        <w:spacing w:before="20" w:after="40"/>
        <w:ind w:left="360"/>
        <w:jc w:val="left"/>
      </w:pPr>
      <w:r>
        <w:rPr>
          <w:rFonts w:ascii="Calibri" w:hAnsi="Calibri"/>
          <w:b w:val="0"/>
          <w:i w:val="0"/>
          <w:sz w:val="18"/>
        </w:rPr>
        <w:t>• Maintaining the general holdback at 10% for 18 months</w:t>
      </w:r>
    </w:p>
    <w:p>
      <w:pPr>
        <w:spacing w:before="20" w:after="40"/>
        <w:ind w:left="360"/>
        <w:jc w:val="left"/>
      </w:pPr>
      <w:r>
        <w:rPr>
          <w:rFonts w:ascii="Calibri" w:hAnsi="Calibri"/>
          <w:b w:val="0"/>
          <w:i w:val="0"/>
          <w:sz w:val="18"/>
        </w:rPr>
        <w:t>• Establishing a separate environmental escrow of $3M–$5M with a 6-year survival period to cover Grand Junction remediation and CDPHE penalty</w:t>
      </w:r>
    </w:p>
    <w:p>
      <w:pPr>
        <w:spacing w:before="20" w:after="40"/>
        <w:ind w:left="360"/>
        <w:jc w:val="left"/>
      </w:pPr>
      <w:r>
        <w:rPr>
          <w:rFonts w:ascii="Calibri" w:hAnsi="Calibri"/>
          <w:b w:val="0"/>
          <w:i w:val="0"/>
          <w:sz w:val="18"/>
        </w:rPr>
        <w:t>• Establishing a separate regulatory/contract escrow of $2M–$3M for DOE contract and permit-related risks</w:t>
      </w:r>
    </w:p>
    <w:p>
      <w:pPr>
        <w:spacing w:before="160" w:after="40"/>
        <w:jc w:val="left"/>
      </w:pPr>
      <w:r>
        <w:rPr>
          <w:rFonts w:ascii="Calibri" w:hAnsi="Calibri"/>
          <w:b/>
          <w:i w:val="0"/>
          <w:color w:val="2E75B6"/>
          <w:sz w:val="22"/>
        </w:rPr>
        <w:t>C. Specific Indemnities</w:t>
      </w:r>
    </w:p>
    <w:p>
      <w:pPr>
        <w:spacing w:before="0" w:after="40"/>
        <w:jc w:val="left"/>
      </w:pPr>
      <w:r>
        <w:rPr>
          <w:rFonts w:ascii="Calibri" w:hAnsi="Calibri"/>
          <w:b w:val="0"/>
          <w:i w:val="0"/>
          <w:sz w:val="20"/>
        </w:rPr>
        <w:t>The following matters warrant specific indemnification provisions outside the general basket and cap:</w:t>
      </w:r>
    </w:p>
    <w:p>
      <w:pPr>
        <w:spacing w:before="20" w:after="40"/>
        <w:ind w:left="360"/>
        <w:jc w:val="left"/>
      </w:pPr>
      <w:r>
        <w:rPr>
          <w:rFonts w:ascii="Calibri" w:hAnsi="Calibri"/>
          <w:b w:val="0"/>
          <w:i w:val="0"/>
          <w:sz w:val="18"/>
        </w:rPr>
        <w:t>• CDPHE enforcement action (CDPHE-HW-2024-0093)</w:t>
      </w:r>
    </w:p>
    <w:p>
      <w:pPr>
        <w:spacing w:before="20" w:after="40"/>
        <w:ind w:left="360"/>
        <w:jc w:val="left"/>
      </w:pPr>
      <w:r>
        <w:rPr>
          <w:rFonts w:ascii="Calibri" w:hAnsi="Calibri"/>
          <w:b w:val="0"/>
          <w:i w:val="0"/>
          <w:sz w:val="18"/>
        </w:rPr>
        <w:t>• Grand Junction environmental remediation (above accrued amount)</w:t>
      </w:r>
    </w:p>
    <w:p>
      <w:pPr>
        <w:spacing w:before="20" w:after="40"/>
        <w:ind w:left="360"/>
        <w:jc w:val="left"/>
      </w:pPr>
      <w:r>
        <w:rPr>
          <w:rFonts w:ascii="Calibri" w:hAnsi="Calibri"/>
          <w:b w:val="0"/>
          <w:i w:val="0"/>
          <w:sz w:val="18"/>
        </w:rPr>
        <w:t>• Asbestos long-tail claims (pre-2015 work)</w:t>
      </w:r>
    </w:p>
    <w:p>
      <w:pPr>
        <w:spacing w:before="20" w:after="40"/>
        <w:ind w:left="360"/>
        <w:jc w:val="left"/>
      </w:pPr>
      <w:r>
        <w:rPr>
          <w:rFonts w:ascii="Calibri" w:hAnsi="Calibri"/>
          <w:b w:val="0"/>
          <w:i w:val="0"/>
          <w:sz w:val="18"/>
        </w:rPr>
        <w:t>• NLRB petition and related labor costs</w:t>
      </w:r>
    </w:p>
    <w:p>
      <w:pPr>
        <w:spacing w:before="20" w:after="40"/>
        <w:ind w:left="360"/>
        <w:jc w:val="left"/>
      </w:pPr>
      <w:r>
        <w:rPr>
          <w:rFonts w:ascii="Calibri" w:hAnsi="Calibri"/>
          <w:b w:val="0"/>
          <w:i w:val="0"/>
          <w:sz w:val="18"/>
        </w:rPr>
        <w:t>• SLC lease default and landlord claims</w:t>
      </w:r>
    </w:p>
    <w:p>
      <w:pPr>
        <w:spacing w:before="20" w:after="40"/>
        <w:ind w:left="360"/>
        <w:jc w:val="left"/>
      </w:pPr>
      <w:r>
        <w:rPr>
          <w:rFonts w:ascii="Calibri" w:hAnsi="Calibri"/>
          <w:b w:val="0"/>
          <w:i w:val="0"/>
          <w:sz w:val="18"/>
        </w:rPr>
        <w:t>• DOE contract termination or ceiling non-modification</w:t>
      </w:r>
    </w:p>
    <w:p>
      <w:pPr>
        <w:spacing w:before="160" w:after="40"/>
        <w:jc w:val="left"/>
      </w:pPr>
      <w:r>
        <w:rPr>
          <w:rFonts w:ascii="Calibri" w:hAnsi="Calibri"/>
          <w:b/>
          <w:i w:val="0"/>
          <w:color w:val="2E75B6"/>
          <w:sz w:val="22"/>
        </w:rPr>
        <w:t>D. Conditions Precedent to Signing</w:t>
      </w:r>
    </w:p>
    <w:p>
      <w:pPr>
        <w:spacing w:before="20" w:after="40"/>
        <w:ind w:left="360"/>
        <w:jc w:val="left"/>
      </w:pPr>
      <w:r>
        <w:rPr>
          <w:rFonts w:ascii="Calibri" w:hAnsi="Calibri"/>
          <w:b w:val="0"/>
          <w:i w:val="0"/>
          <w:sz w:val="18"/>
        </w:rPr>
        <w:t>• Updated Phase II ESA and vapor intrusion assessment</w:t>
      </w:r>
    </w:p>
    <w:p>
      <w:pPr>
        <w:spacing w:before="20" w:after="40"/>
        <w:ind w:left="360"/>
        <w:jc w:val="left"/>
      </w:pPr>
      <w:r>
        <w:rPr>
          <w:rFonts w:ascii="Calibri" w:hAnsi="Calibri"/>
          <w:b w:val="0"/>
          <w:i w:val="0"/>
          <w:sz w:val="18"/>
        </w:rPr>
        <w:t>• EBITDA reconciliation (CIM vs. QofE)</w:t>
      </w:r>
    </w:p>
    <w:p>
      <w:pPr>
        <w:spacing w:before="20" w:after="40"/>
        <w:ind w:left="360"/>
        <w:jc w:val="left"/>
      </w:pPr>
      <w:r>
        <w:rPr>
          <w:rFonts w:ascii="Calibri" w:hAnsi="Calibri"/>
          <w:b w:val="0"/>
          <w:i w:val="0"/>
          <w:sz w:val="18"/>
        </w:rPr>
        <w:t>• DOE Contracting Officer engagement and novation determination</w:t>
      </w:r>
    </w:p>
    <w:p>
      <w:pPr>
        <w:spacing w:before="160" w:after="40"/>
        <w:jc w:val="left"/>
      </w:pPr>
      <w:r>
        <w:rPr>
          <w:rFonts w:ascii="Calibri" w:hAnsi="Calibri"/>
          <w:b/>
          <w:i w:val="0"/>
          <w:color w:val="2E75B6"/>
          <w:sz w:val="22"/>
        </w:rPr>
        <w:t>E. Conditions Precedent to Closing</w:t>
      </w:r>
    </w:p>
    <w:p>
      <w:pPr>
        <w:spacing w:before="20" w:after="40"/>
        <w:ind w:left="360"/>
        <w:jc w:val="left"/>
      </w:pPr>
      <w:r>
        <w:rPr>
          <w:rFonts w:ascii="Calibri" w:hAnsi="Calibri"/>
          <w:b w:val="0"/>
          <w:i w:val="0"/>
          <w:sz w:val="18"/>
        </w:rPr>
        <w:t>• Written landlord consent for SLC lease (and cure of prior default)</w:t>
      </w:r>
    </w:p>
    <w:p>
      <w:pPr>
        <w:spacing w:before="20" w:after="40"/>
        <w:ind w:left="360"/>
        <w:jc w:val="left"/>
      </w:pPr>
      <w:r>
        <w:rPr>
          <w:rFonts w:ascii="Calibri" w:hAnsi="Calibri"/>
          <w:b w:val="0"/>
          <w:i w:val="0"/>
          <w:sz w:val="18"/>
        </w:rPr>
        <w:t>• Utah permit transfer (UTH-0441) or Division written confirmation</w:t>
      </w:r>
    </w:p>
    <w:p>
      <w:pPr>
        <w:spacing w:before="20" w:after="40"/>
        <w:ind w:left="360"/>
        <w:jc w:val="left"/>
      </w:pPr>
      <w:r>
        <w:rPr>
          <w:rFonts w:ascii="Calibri" w:hAnsi="Calibri"/>
          <w:b w:val="0"/>
          <w:i w:val="0"/>
          <w:sz w:val="18"/>
        </w:rPr>
        <w:t>• All material landlord consents (7 leases)</w:t>
      </w:r>
    </w:p>
    <w:p>
      <w:pPr>
        <w:spacing w:before="20" w:after="40"/>
        <w:ind w:left="360"/>
        <w:jc w:val="left"/>
      </w:pPr>
      <w:r>
        <w:rPr>
          <w:rFonts w:ascii="Calibri" w:hAnsi="Calibri"/>
          <w:b w:val="0"/>
          <w:i w:val="0"/>
          <w:sz w:val="18"/>
        </w:rPr>
        <w:t>• DOE Contracting Officer acknowledgment</w:t>
      </w:r>
    </w:p>
    <w:p>
      <w:pPr>
        <w:spacing w:before="20" w:after="40"/>
        <w:ind w:left="360"/>
        <w:jc w:val="left"/>
      </w:pPr>
      <w:r>
        <w:rPr>
          <w:rFonts w:ascii="Calibri" w:hAnsi="Calibri"/>
          <w:b w:val="0"/>
          <w:i w:val="0"/>
          <w:sz w:val="18"/>
        </w:rPr>
        <w:t>• High Plains National Bank payoff letter</w:t>
      </w:r>
    </w:p>
    <w:p>
      <w:pPr>
        <w:spacing w:before="20" w:after="40"/>
        <w:ind w:left="360"/>
        <w:jc w:val="left"/>
      </w:pPr>
      <w:r>
        <w:rPr>
          <w:rFonts w:ascii="Calibri" w:hAnsi="Calibri"/>
          <w:b w:val="0"/>
          <w:i w:val="0"/>
          <w:sz w:val="18"/>
        </w:rPr>
        <w:t>• Calloway employment agreements executed</w:t>
      </w:r>
    </w:p>
    <w:p>
      <w:pPr>
        <w:spacing w:before="20" w:after="40"/>
        <w:ind w:left="360"/>
        <w:jc w:val="left"/>
      </w:pPr>
      <w:r>
        <w:rPr>
          <w:rFonts w:ascii="Calibri" w:hAnsi="Calibri"/>
          <w:b w:val="0"/>
          <w:i w:val="0"/>
          <w:sz w:val="18"/>
        </w:rPr>
        <w:t>• PLL tail coverage procured</w:t>
      </w:r>
    </w:p>
    <w:p>
      <w:pPr>
        <w:spacing w:before="160" w:after="40"/>
        <w:jc w:val="left"/>
      </w:pPr>
      <w:r>
        <w:rPr>
          <w:rFonts w:ascii="Calibri" w:hAnsi="Calibri"/>
          <w:b/>
          <w:i w:val="0"/>
          <w:color w:val="2E75B6"/>
          <w:sz w:val="22"/>
        </w:rPr>
        <w:t>F. Earnout Structure</w:t>
      </w:r>
    </w:p>
    <w:p>
      <w:pPr>
        <w:spacing w:before="0" w:after="120"/>
        <w:jc w:val="left"/>
      </w:pPr>
      <w:r>
        <w:rPr>
          <w:rFonts w:ascii="Calibri" w:hAnsi="Calibri"/>
          <w:b w:val="0"/>
          <w:i w:val="0"/>
          <w:sz w:val="20"/>
        </w:rPr>
        <w:t>Consider a $10M–$15M earnout tied to FY2025 DOE revenue and total revenue performance, to align seller incentives with the DOE ceiling modification risk.</w:t>
      </w:r>
    </w:p>
    <w:p>
      <w:r>
        <w:br w:type="page"/>
      </w:r>
    </w:p>
    <w:p>
      <w:pPr>
        <w:spacing w:before="200" w:after="40"/>
        <w:jc w:val="left"/>
      </w:pPr>
      <w:r>
        <w:rPr>
          <w:rFonts w:ascii="Calibri" w:hAnsi="Calibri"/>
          <w:b/>
          <w:i w:val="0"/>
          <w:color w:val="1F3864"/>
          <w:sz w:val="26"/>
        </w:rPr>
        <w:t>XII. PRIORITY ACTION ITEMS</w:t>
      </w:r>
    </w:p>
    <w:p>
      <w:pPr>
        <w:spacing w:before="40" w:after="80"/>
        <w:pBdr>
          <w:bottom w:val="single" w:sz="8" w:space="1" w:color="1F3864"/>
        </w:pBdr>
      </w:pPr>
    </w:p>
    <w:tbl>
      <w:tblPr>
        <w:tblStyle w:val="TableGrid"/>
        <w:tblW w:type="auto" w:w="0"/>
        <w:tblLayout w:type="fixed"/>
        <w:tblLook w:firstColumn="1" w:firstRow="1" w:lastColumn="0" w:lastRow="0" w:noHBand="0" w:noVBand="1" w:val="04A0"/>
      </w:tblPr>
      <w:tblGrid>
        <w:gridCol w:w="1728"/>
        <w:gridCol w:w="5472"/>
        <w:gridCol w:w="1728"/>
        <w:gridCol w:w="1152"/>
      </w:tblGrid>
      <w:tr>
        <w:tc>
          <w:tcPr>
            <w:tcW w:type="dxa" w:w="2340"/>
          </w:tcPr>
          <w:p>
            <w:pPr>
              <w:shd w:val="clear" w:color="auto" w:fill="1F3864"/>
            </w:pPr>
            <w:r>
              <w:rPr>
                <w:b/>
                <w:color w:val="FFFFFF"/>
                <w:sz w:val="18"/>
              </w:rPr>
              <w:t>Priority</w:t>
            </w:r>
          </w:p>
        </w:tc>
        <w:tc>
          <w:tcPr>
            <w:tcW w:type="dxa" w:w="2340"/>
          </w:tcPr>
          <w:p>
            <w:pPr>
              <w:shd w:val="clear" w:color="auto" w:fill="1F3864"/>
            </w:pPr>
            <w:r>
              <w:rPr>
                <w:b/>
                <w:color w:val="FFFFFF"/>
                <w:sz w:val="18"/>
              </w:rPr>
              <w:t>Action Item</w:t>
            </w:r>
          </w:p>
        </w:tc>
        <w:tc>
          <w:tcPr>
            <w:tcW w:type="dxa" w:w="2340"/>
          </w:tcPr>
          <w:p>
            <w:pPr>
              <w:shd w:val="clear" w:color="auto" w:fill="1F3864"/>
            </w:pPr>
            <w:r>
              <w:rPr>
                <w:b/>
                <w:color w:val="FFFFFF"/>
                <w:sz w:val="18"/>
              </w:rPr>
              <w:t>Deadline</w:t>
            </w:r>
          </w:p>
        </w:tc>
        <w:tc>
          <w:tcPr>
            <w:tcW w:type="dxa" w:w="2340"/>
          </w:tcPr>
          <w:p>
            <w:pPr>
              <w:shd w:val="clear" w:color="auto" w:fill="1F3864"/>
            </w:pPr>
            <w:r>
              <w:rPr>
                <w:b/>
                <w:color w:val="FFFFFF"/>
                <w:sz w:val="18"/>
              </w:rPr>
              <w:t>Ref.</w:t>
            </w:r>
          </w:p>
        </w:tc>
      </w:tr>
      <w:tr>
        <w:tc>
          <w:tcPr>
            <w:tcW w:type="dxa" w:w="2340"/>
          </w:tcPr>
          <w:p>
            <w:pPr>
              <w:shd w:val="clear" w:color="auto" w:fill="C00000"/>
            </w:pPr>
            <w:r>
              <w:rPr>
                <w:rFonts w:ascii="Calibri" w:hAnsi="Calibri"/>
                <w:b/>
                <w:color w:val="FFFFFF"/>
                <w:sz w:val="18"/>
              </w:rPr>
              <w:t>P1 — CRITICAL</w:t>
            </w:r>
          </w:p>
        </w:tc>
        <w:tc>
          <w:tcPr>
            <w:tcW w:type="dxa" w:w="2340"/>
          </w:tcPr>
          <w:p>
            <w:pPr>
              <w:shd w:val="clear" w:color="auto" w:fill="F2F2F2"/>
            </w:pPr>
            <w:r>
              <w:rPr>
                <w:rFonts w:ascii="Calibri" w:hAnsi="Calibri"/>
                <w:sz w:val="18"/>
              </w:rPr>
              <w:t>Resolve EBITDA discrepancy ($1.0M gap between CIM and QofE schedule)</w:t>
            </w:r>
          </w:p>
        </w:tc>
        <w:tc>
          <w:tcPr>
            <w:tcW w:type="dxa" w:w="2340"/>
          </w:tcPr>
          <w:p>
            <w:pPr>
              <w:shd w:val="clear" w:color="auto" w:fill="F2F2F2"/>
            </w:pPr>
            <w:r>
              <w:rPr>
                <w:rFonts w:ascii="Calibri" w:hAnsi="Calibri"/>
                <w:sz w:val="18"/>
              </w:rPr>
              <w:t>Immediately</w:t>
            </w:r>
          </w:p>
        </w:tc>
        <w:tc>
          <w:tcPr>
            <w:tcW w:type="dxa" w:w="2340"/>
          </w:tcPr>
          <w:p>
            <w:pPr>
              <w:shd w:val="clear" w:color="auto" w:fill="F2F2F2"/>
            </w:pPr>
            <w:r>
              <w:rPr>
                <w:rFonts w:ascii="Calibri" w:hAnsi="Calibri"/>
                <w:sz w:val="18"/>
              </w:rPr>
              <w:t>RF-01</w:t>
            </w:r>
          </w:p>
        </w:tc>
      </w:tr>
      <w:tr>
        <w:tc>
          <w:tcPr>
            <w:tcW w:type="dxa" w:w="2340"/>
          </w:tcPr>
          <w:p>
            <w:pPr>
              <w:shd w:val="clear" w:color="auto" w:fill="C00000"/>
            </w:pPr>
            <w:r>
              <w:rPr>
                <w:rFonts w:ascii="Calibri" w:hAnsi="Calibri"/>
                <w:b/>
                <w:color w:val="FFFFFF"/>
                <w:sz w:val="18"/>
              </w:rPr>
              <w:t>P1 — CRITICAL</w:t>
            </w:r>
          </w:p>
        </w:tc>
        <w:tc>
          <w:tcPr>
            <w:tcW w:type="dxa" w:w="2340"/>
          </w:tcPr>
          <w:p>
            <w:pPr>
              <w:shd w:val="clear" w:color="auto" w:fill="FFFFFF"/>
            </w:pPr>
            <w:r>
              <w:rPr>
                <w:rFonts w:ascii="Calibri" w:hAnsi="Calibri"/>
                <w:sz w:val="18"/>
              </w:rPr>
              <w:t>Commission updated Phase II ESA and vapor intrusion assessment at Grand Junction</w:t>
            </w:r>
          </w:p>
        </w:tc>
        <w:tc>
          <w:tcPr>
            <w:tcW w:type="dxa" w:w="2340"/>
          </w:tcPr>
          <w:p>
            <w:pPr>
              <w:shd w:val="clear" w:color="auto" w:fill="FFFFFF"/>
            </w:pPr>
            <w:r>
              <w:rPr>
                <w:rFonts w:ascii="Calibri" w:hAnsi="Calibri"/>
                <w:sz w:val="18"/>
              </w:rPr>
              <w:t>Before signing</w:t>
            </w:r>
          </w:p>
        </w:tc>
        <w:tc>
          <w:tcPr>
            <w:tcW w:type="dxa" w:w="2340"/>
          </w:tcPr>
          <w:p>
            <w:pPr>
              <w:shd w:val="clear" w:color="auto" w:fill="FFFFFF"/>
            </w:pPr>
            <w:r>
              <w:rPr>
                <w:rFonts w:ascii="Calibri" w:hAnsi="Calibri"/>
                <w:sz w:val="18"/>
              </w:rPr>
              <w:t>RF-06</w:t>
            </w:r>
          </w:p>
        </w:tc>
      </w:tr>
      <w:tr>
        <w:tc>
          <w:tcPr>
            <w:tcW w:type="dxa" w:w="2340"/>
          </w:tcPr>
          <w:p>
            <w:pPr>
              <w:shd w:val="clear" w:color="auto" w:fill="C00000"/>
            </w:pPr>
            <w:r>
              <w:rPr>
                <w:rFonts w:ascii="Calibri" w:hAnsi="Calibri"/>
                <w:b/>
                <w:color w:val="FFFFFF"/>
                <w:sz w:val="18"/>
              </w:rPr>
              <w:t>P1 — CRITICAL</w:t>
            </w:r>
          </w:p>
        </w:tc>
        <w:tc>
          <w:tcPr>
            <w:tcW w:type="dxa" w:w="2340"/>
          </w:tcPr>
          <w:p>
            <w:pPr>
              <w:shd w:val="clear" w:color="auto" w:fill="F2F2F2"/>
            </w:pPr>
            <w:r>
              <w:rPr>
                <w:rFonts w:ascii="Calibri" w:hAnsi="Calibri"/>
                <w:sz w:val="18"/>
              </w:rPr>
              <w:t>Engage DOE Contracting Officer re: IDIQ ceiling modification and novation requirements</w:t>
            </w:r>
          </w:p>
        </w:tc>
        <w:tc>
          <w:tcPr>
            <w:tcW w:type="dxa" w:w="2340"/>
          </w:tcPr>
          <w:p>
            <w:pPr>
              <w:shd w:val="clear" w:color="auto" w:fill="F2F2F2"/>
            </w:pPr>
            <w:r>
              <w:rPr>
                <w:rFonts w:ascii="Calibri" w:hAnsi="Calibri"/>
                <w:sz w:val="18"/>
              </w:rPr>
              <w:t>Immediately</w:t>
            </w:r>
          </w:p>
        </w:tc>
        <w:tc>
          <w:tcPr>
            <w:tcW w:type="dxa" w:w="2340"/>
          </w:tcPr>
          <w:p>
            <w:pPr>
              <w:shd w:val="clear" w:color="auto" w:fill="F2F2F2"/>
            </w:pPr>
            <w:r>
              <w:rPr>
                <w:rFonts w:ascii="Calibri" w:hAnsi="Calibri"/>
                <w:sz w:val="18"/>
              </w:rPr>
              <w:t>RF-09, RF-10</w:t>
            </w:r>
          </w:p>
        </w:tc>
      </w:tr>
      <w:tr>
        <w:tc>
          <w:tcPr>
            <w:tcW w:type="dxa" w:w="2340"/>
          </w:tcPr>
          <w:p>
            <w:pPr>
              <w:shd w:val="clear" w:color="auto" w:fill="C00000"/>
            </w:pPr>
            <w:r>
              <w:rPr>
                <w:rFonts w:ascii="Calibri" w:hAnsi="Calibri"/>
                <w:b/>
                <w:color w:val="FFFFFF"/>
                <w:sz w:val="18"/>
              </w:rPr>
              <w:t>P1 — CRITICAL</w:t>
            </w:r>
          </w:p>
        </w:tc>
        <w:tc>
          <w:tcPr>
            <w:tcW w:type="dxa" w:w="2340"/>
          </w:tcPr>
          <w:p>
            <w:pPr>
              <w:shd w:val="clear" w:color="auto" w:fill="FFFFFF"/>
            </w:pPr>
            <w:r>
              <w:rPr>
                <w:rFonts w:ascii="Calibri" w:hAnsi="Calibri"/>
                <w:sz w:val="18"/>
              </w:rPr>
              <w:t>Obtain written landlord consent from Wasatch Industrial Properties for SLC lease</w:t>
            </w:r>
          </w:p>
        </w:tc>
        <w:tc>
          <w:tcPr>
            <w:tcW w:type="dxa" w:w="2340"/>
          </w:tcPr>
          <w:p>
            <w:pPr>
              <w:shd w:val="clear" w:color="auto" w:fill="FFFFFF"/>
            </w:pPr>
            <w:r>
              <w:rPr>
                <w:rFonts w:ascii="Calibri" w:hAnsi="Calibri"/>
                <w:sz w:val="18"/>
              </w:rPr>
              <w:t>Before signing</w:t>
            </w:r>
          </w:p>
        </w:tc>
        <w:tc>
          <w:tcPr>
            <w:tcW w:type="dxa" w:w="2340"/>
          </w:tcPr>
          <w:p>
            <w:pPr>
              <w:shd w:val="clear" w:color="auto" w:fill="FFFFFF"/>
            </w:pPr>
            <w:r>
              <w:rPr>
                <w:rFonts w:ascii="Calibri" w:hAnsi="Calibri"/>
                <w:sz w:val="18"/>
              </w:rPr>
              <w:t>RF-11</w:t>
            </w:r>
          </w:p>
        </w:tc>
      </w:tr>
      <w:tr>
        <w:tc>
          <w:tcPr>
            <w:tcW w:type="dxa" w:w="2340"/>
          </w:tcPr>
          <w:p>
            <w:pPr>
              <w:shd w:val="clear" w:color="auto" w:fill="C00000"/>
            </w:pPr>
            <w:r>
              <w:rPr>
                <w:rFonts w:ascii="Calibri" w:hAnsi="Calibri"/>
                <w:b/>
                <w:color w:val="FFFFFF"/>
                <w:sz w:val="18"/>
              </w:rPr>
              <w:t>P1 — CRITICAL</w:t>
            </w:r>
          </w:p>
        </w:tc>
        <w:tc>
          <w:tcPr>
            <w:tcW w:type="dxa" w:w="2340"/>
          </w:tcPr>
          <w:p>
            <w:pPr>
              <w:shd w:val="clear" w:color="auto" w:fill="F2F2F2"/>
            </w:pPr>
            <w:r>
              <w:rPr>
                <w:rFonts w:ascii="Calibri" w:hAnsi="Calibri"/>
                <w:sz w:val="18"/>
              </w:rPr>
              <w:t>Accelerate Utah permit transfer (UTH-0441) from Pinnacle to RES</w:t>
            </w:r>
          </w:p>
        </w:tc>
        <w:tc>
          <w:tcPr>
            <w:tcW w:type="dxa" w:w="2340"/>
          </w:tcPr>
          <w:p>
            <w:pPr>
              <w:shd w:val="clear" w:color="auto" w:fill="F2F2F2"/>
            </w:pPr>
            <w:r>
              <w:rPr>
                <w:rFonts w:ascii="Calibri" w:hAnsi="Calibri"/>
                <w:sz w:val="18"/>
              </w:rPr>
              <w:t>Before signing</w:t>
            </w:r>
          </w:p>
        </w:tc>
        <w:tc>
          <w:tcPr>
            <w:tcW w:type="dxa" w:w="2340"/>
          </w:tcPr>
          <w:p>
            <w:pPr>
              <w:shd w:val="clear" w:color="auto" w:fill="F2F2F2"/>
            </w:pPr>
            <w:r>
              <w:rPr>
                <w:rFonts w:ascii="Calibri" w:hAnsi="Calibri"/>
                <w:sz w:val="18"/>
              </w:rPr>
              <w:t>RF-14</w:t>
            </w:r>
          </w:p>
        </w:tc>
      </w:tr>
      <w:tr>
        <w:tc>
          <w:tcPr>
            <w:tcW w:type="dxa" w:w="2340"/>
          </w:tcPr>
          <w:p>
            <w:pPr>
              <w:shd w:val="clear" w:color="auto" w:fill="C00000"/>
            </w:pPr>
            <w:r>
              <w:rPr>
                <w:rFonts w:ascii="Calibri" w:hAnsi="Calibri"/>
                <w:b/>
                <w:color w:val="FFFFFF"/>
                <w:sz w:val="18"/>
              </w:rPr>
              <w:t>P1 — CRITICAL</w:t>
            </w:r>
          </w:p>
        </w:tc>
        <w:tc>
          <w:tcPr>
            <w:tcW w:type="dxa" w:w="2340"/>
          </w:tcPr>
          <w:p>
            <w:pPr>
              <w:shd w:val="clear" w:color="auto" w:fill="FFFFFF"/>
            </w:pPr>
            <w:r>
              <w:rPr>
                <w:rFonts w:ascii="Calibri" w:hAnsi="Calibri"/>
                <w:sz w:val="18"/>
              </w:rPr>
              <w:t>Resolve classification of $2.625M Calloway CoC severance</w:t>
            </w:r>
          </w:p>
        </w:tc>
        <w:tc>
          <w:tcPr>
            <w:tcW w:type="dxa" w:w="2340"/>
          </w:tcPr>
          <w:p>
            <w:pPr>
              <w:shd w:val="clear" w:color="auto" w:fill="FFFFFF"/>
            </w:pPr>
            <w:r>
              <w:rPr>
                <w:rFonts w:ascii="Calibri" w:hAnsi="Calibri"/>
                <w:sz w:val="18"/>
              </w:rPr>
              <w:t>Before signing</w:t>
            </w:r>
          </w:p>
        </w:tc>
        <w:tc>
          <w:tcPr>
            <w:tcW w:type="dxa" w:w="2340"/>
          </w:tcPr>
          <w:p>
            <w:pPr>
              <w:shd w:val="clear" w:color="auto" w:fill="FFFFFF"/>
            </w:pPr>
            <w:r>
              <w:rPr>
                <w:rFonts w:ascii="Calibri" w:hAnsi="Calibri"/>
                <w:sz w:val="18"/>
              </w:rPr>
              <w:t>RF-17</w:t>
            </w:r>
          </w:p>
        </w:tc>
      </w:tr>
      <w:tr>
        <w:tc>
          <w:tcPr>
            <w:tcW w:type="dxa" w:w="2340"/>
          </w:tcPr>
          <w:p>
            <w:pPr>
              <w:shd w:val="clear" w:color="auto" w:fill="C00000"/>
            </w:pPr>
            <w:r>
              <w:rPr>
                <w:rFonts w:ascii="Calibri" w:hAnsi="Calibri"/>
                <w:b/>
                <w:color w:val="FFFFFF"/>
                <w:sz w:val="18"/>
              </w:rPr>
              <w:t>P1 — CRITICAL</w:t>
            </w:r>
          </w:p>
        </w:tc>
        <w:tc>
          <w:tcPr>
            <w:tcW w:type="dxa" w:w="2340"/>
          </w:tcPr>
          <w:p>
            <w:pPr>
              <w:shd w:val="clear" w:color="auto" w:fill="F2F2F2"/>
            </w:pPr>
            <w:r>
              <w:rPr>
                <w:rFonts w:ascii="Calibri" w:hAnsi="Calibri"/>
                <w:sz w:val="18"/>
              </w:rPr>
              <w:t>Obtain full NLRB petition details; assess election timeline and strategy</w:t>
            </w:r>
          </w:p>
        </w:tc>
        <w:tc>
          <w:tcPr>
            <w:tcW w:type="dxa" w:w="2340"/>
          </w:tcPr>
          <w:p>
            <w:pPr>
              <w:shd w:val="clear" w:color="auto" w:fill="F2F2F2"/>
            </w:pPr>
            <w:r>
              <w:rPr>
                <w:rFonts w:ascii="Calibri" w:hAnsi="Calibri"/>
                <w:sz w:val="18"/>
              </w:rPr>
              <w:t>Immediately</w:t>
            </w:r>
          </w:p>
        </w:tc>
        <w:tc>
          <w:tcPr>
            <w:tcW w:type="dxa" w:w="2340"/>
          </w:tcPr>
          <w:p>
            <w:pPr>
              <w:shd w:val="clear" w:color="auto" w:fill="F2F2F2"/>
            </w:pPr>
            <w:r>
              <w:rPr>
                <w:rFonts w:ascii="Calibri" w:hAnsi="Calibri"/>
                <w:sz w:val="18"/>
              </w:rPr>
              <w:t>RF-18</w:t>
            </w:r>
          </w:p>
        </w:tc>
      </w:tr>
      <w:tr>
        <w:tc>
          <w:tcPr>
            <w:tcW w:type="dxa" w:w="2340"/>
          </w:tcPr>
          <w:p>
            <w:pPr>
              <w:shd w:val="clear" w:color="auto" w:fill="ED7D31"/>
            </w:pPr>
            <w:r>
              <w:rPr>
                <w:rFonts w:ascii="Calibri" w:hAnsi="Calibri"/>
                <w:b/>
                <w:color w:val="FFFFFF"/>
                <w:sz w:val="18"/>
              </w:rPr>
              <w:t>P2 — HIGH</w:t>
            </w:r>
          </w:p>
        </w:tc>
        <w:tc>
          <w:tcPr>
            <w:tcW w:type="dxa" w:w="2340"/>
          </w:tcPr>
          <w:p>
            <w:pPr>
              <w:shd w:val="clear" w:color="auto" w:fill="FFFFFF"/>
            </w:pPr>
            <w:r>
              <w:rPr>
                <w:rFonts w:ascii="Calibri" w:hAnsi="Calibri"/>
                <w:sz w:val="18"/>
              </w:rPr>
              <w:t>Obtain High Plains National Bank payoff letter; confirm prepayment premium</w:t>
            </w:r>
          </w:p>
        </w:tc>
        <w:tc>
          <w:tcPr>
            <w:tcW w:type="dxa" w:w="2340"/>
          </w:tcPr>
          <w:p>
            <w:pPr>
              <w:shd w:val="clear" w:color="auto" w:fill="FFFFFF"/>
            </w:pPr>
            <w:r>
              <w:rPr>
                <w:rFonts w:ascii="Calibri" w:hAnsi="Calibri"/>
                <w:sz w:val="18"/>
              </w:rPr>
              <w:t>Before signing</w:t>
            </w:r>
          </w:p>
        </w:tc>
        <w:tc>
          <w:tcPr>
            <w:tcW w:type="dxa" w:w="2340"/>
          </w:tcPr>
          <w:p>
            <w:pPr>
              <w:shd w:val="clear" w:color="auto" w:fill="FFFFFF"/>
            </w:pPr>
            <w:r>
              <w:rPr>
                <w:rFonts w:ascii="Calibri" w:hAnsi="Calibri"/>
                <w:sz w:val="18"/>
              </w:rPr>
              <w:t>RF-15</w:t>
            </w:r>
          </w:p>
        </w:tc>
      </w:tr>
      <w:tr>
        <w:tc>
          <w:tcPr>
            <w:tcW w:type="dxa" w:w="2340"/>
          </w:tcPr>
          <w:p>
            <w:pPr>
              <w:shd w:val="clear" w:color="auto" w:fill="ED7D31"/>
            </w:pPr>
            <w:r>
              <w:rPr>
                <w:rFonts w:ascii="Calibri" w:hAnsi="Calibri"/>
                <w:b/>
                <w:color w:val="FFFFFF"/>
                <w:sz w:val="18"/>
              </w:rPr>
              <w:t>P2 — HIGH</w:t>
            </w:r>
          </w:p>
        </w:tc>
        <w:tc>
          <w:tcPr>
            <w:tcW w:type="dxa" w:w="2340"/>
          </w:tcPr>
          <w:p>
            <w:pPr>
              <w:shd w:val="clear" w:color="auto" w:fill="F2F2F2"/>
            </w:pPr>
            <w:r>
              <w:rPr>
                <w:rFonts w:ascii="Calibri" w:hAnsi="Calibri"/>
                <w:sz w:val="18"/>
              </w:rPr>
              <w:t>Initiate landlord consent process for all 7 leases requiring consent</w:t>
            </w:r>
          </w:p>
        </w:tc>
        <w:tc>
          <w:tcPr>
            <w:tcW w:type="dxa" w:w="2340"/>
          </w:tcPr>
          <w:p>
            <w:pPr>
              <w:shd w:val="clear" w:color="auto" w:fill="F2F2F2"/>
            </w:pPr>
            <w:r>
              <w:rPr>
                <w:rFonts w:ascii="Calibri" w:hAnsi="Calibri"/>
                <w:sz w:val="18"/>
              </w:rPr>
              <w:t>Before signing</w:t>
            </w:r>
          </w:p>
        </w:tc>
        <w:tc>
          <w:tcPr>
            <w:tcW w:type="dxa" w:w="2340"/>
          </w:tcPr>
          <w:p>
            <w:pPr>
              <w:shd w:val="clear" w:color="auto" w:fill="F2F2F2"/>
            </w:pPr>
            <w:r>
              <w:rPr>
                <w:rFonts w:ascii="Calibri" w:hAnsi="Calibri"/>
                <w:sz w:val="18"/>
              </w:rPr>
              <w:t>RF-12</w:t>
            </w:r>
          </w:p>
        </w:tc>
      </w:tr>
      <w:tr>
        <w:tc>
          <w:tcPr>
            <w:tcW w:type="dxa" w:w="2340"/>
          </w:tcPr>
          <w:p>
            <w:pPr>
              <w:shd w:val="clear" w:color="auto" w:fill="ED7D31"/>
            </w:pPr>
            <w:r>
              <w:rPr>
                <w:rFonts w:ascii="Calibri" w:hAnsi="Calibri"/>
                <w:b/>
                <w:color w:val="FFFFFF"/>
                <w:sz w:val="18"/>
              </w:rPr>
              <w:t>P2 — HIGH</w:t>
            </w:r>
          </w:p>
        </w:tc>
        <w:tc>
          <w:tcPr>
            <w:tcW w:type="dxa" w:w="2340"/>
          </w:tcPr>
          <w:p>
            <w:pPr>
              <w:shd w:val="clear" w:color="auto" w:fill="FFFFFF"/>
            </w:pPr>
            <w:r>
              <w:rPr>
                <w:rFonts w:ascii="Calibri" w:hAnsi="Calibri"/>
                <w:sz w:val="18"/>
              </w:rPr>
              <w:t>Commission independent fleet inspection and DOT compliance review</w:t>
            </w:r>
          </w:p>
        </w:tc>
        <w:tc>
          <w:tcPr>
            <w:tcW w:type="dxa" w:w="2340"/>
          </w:tcPr>
          <w:p>
            <w:pPr>
              <w:shd w:val="clear" w:color="auto" w:fill="FFFFFF"/>
            </w:pPr>
            <w:r>
              <w:rPr>
                <w:rFonts w:ascii="Calibri" w:hAnsi="Calibri"/>
                <w:sz w:val="18"/>
              </w:rPr>
              <w:t>Before signing</w:t>
            </w:r>
          </w:p>
        </w:tc>
        <w:tc>
          <w:tcPr>
            <w:tcW w:type="dxa" w:w="2340"/>
          </w:tcPr>
          <w:p>
            <w:pPr>
              <w:shd w:val="clear" w:color="auto" w:fill="FFFFFF"/>
            </w:pPr>
            <w:r>
              <w:rPr>
                <w:rFonts w:ascii="Calibri" w:hAnsi="Calibri"/>
                <w:sz w:val="18"/>
              </w:rPr>
              <w:t>RF-20</w:t>
            </w:r>
          </w:p>
        </w:tc>
      </w:tr>
      <w:tr>
        <w:tc>
          <w:tcPr>
            <w:tcW w:type="dxa" w:w="2340"/>
          </w:tcPr>
          <w:p>
            <w:pPr>
              <w:shd w:val="clear" w:color="auto" w:fill="ED7D31"/>
            </w:pPr>
            <w:r>
              <w:rPr>
                <w:rFonts w:ascii="Calibri" w:hAnsi="Calibri"/>
                <w:b/>
                <w:color w:val="FFFFFF"/>
                <w:sz w:val="18"/>
              </w:rPr>
              <w:t>P2 — HIGH</w:t>
            </w:r>
          </w:p>
        </w:tc>
        <w:tc>
          <w:tcPr>
            <w:tcW w:type="dxa" w:w="2340"/>
          </w:tcPr>
          <w:p>
            <w:pPr>
              <w:shd w:val="clear" w:color="auto" w:fill="F2F2F2"/>
            </w:pPr>
            <w:r>
              <w:rPr>
                <w:rFonts w:ascii="Calibri" w:hAnsi="Calibri"/>
                <w:sz w:val="18"/>
              </w:rPr>
              <w:t>Obtain Frontier Specialty coverage determination on Ramirez claim</w:t>
            </w:r>
          </w:p>
        </w:tc>
        <w:tc>
          <w:tcPr>
            <w:tcW w:type="dxa" w:w="2340"/>
          </w:tcPr>
          <w:p>
            <w:pPr>
              <w:shd w:val="clear" w:color="auto" w:fill="F2F2F2"/>
            </w:pPr>
            <w:r>
              <w:rPr>
                <w:rFonts w:ascii="Calibri" w:hAnsi="Calibri"/>
                <w:sz w:val="18"/>
              </w:rPr>
              <w:t>Immediately</w:t>
            </w:r>
          </w:p>
        </w:tc>
        <w:tc>
          <w:tcPr>
            <w:tcW w:type="dxa" w:w="2340"/>
          </w:tcPr>
          <w:p>
            <w:pPr>
              <w:shd w:val="clear" w:color="auto" w:fill="F2F2F2"/>
            </w:pPr>
            <w:r>
              <w:rPr>
                <w:rFonts w:ascii="Calibri" w:hAnsi="Calibri"/>
                <w:sz w:val="18"/>
              </w:rPr>
              <w:t>RF-22</w:t>
            </w:r>
          </w:p>
        </w:tc>
      </w:tr>
      <w:tr>
        <w:tc>
          <w:tcPr>
            <w:tcW w:type="dxa" w:w="2340"/>
          </w:tcPr>
          <w:p>
            <w:pPr>
              <w:shd w:val="clear" w:color="auto" w:fill="ED7D31"/>
            </w:pPr>
            <w:r>
              <w:rPr>
                <w:rFonts w:ascii="Calibri" w:hAnsi="Calibri"/>
                <w:b/>
                <w:color w:val="FFFFFF"/>
                <w:sz w:val="18"/>
              </w:rPr>
              <w:t>P2 — HIGH</w:t>
            </w:r>
          </w:p>
        </w:tc>
        <w:tc>
          <w:tcPr>
            <w:tcW w:type="dxa" w:w="2340"/>
          </w:tcPr>
          <w:p>
            <w:pPr>
              <w:shd w:val="clear" w:color="auto" w:fill="FFFFFF"/>
            </w:pPr>
            <w:r>
              <w:rPr>
                <w:rFonts w:ascii="Calibri" w:hAnsi="Calibri"/>
                <w:sz w:val="18"/>
              </w:rPr>
              <w:t>Engage Frontier Specialty re: PLL tail coverage for transaction</w:t>
            </w:r>
          </w:p>
        </w:tc>
        <w:tc>
          <w:tcPr>
            <w:tcW w:type="dxa" w:w="2340"/>
          </w:tcPr>
          <w:p>
            <w:pPr>
              <w:shd w:val="clear" w:color="auto" w:fill="FFFFFF"/>
            </w:pPr>
            <w:r>
              <w:rPr>
                <w:rFonts w:ascii="Calibri" w:hAnsi="Calibri"/>
                <w:sz w:val="18"/>
              </w:rPr>
              <w:t>Before signing</w:t>
            </w:r>
          </w:p>
        </w:tc>
        <w:tc>
          <w:tcPr>
            <w:tcW w:type="dxa" w:w="2340"/>
          </w:tcPr>
          <w:p>
            <w:pPr>
              <w:shd w:val="clear" w:color="auto" w:fill="FFFFFF"/>
            </w:pPr>
            <w:r>
              <w:rPr>
                <w:rFonts w:ascii="Calibri" w:hAnsi="Calibri"/>
                <w:sz w:val="18"/>
              </w:rPr>
              <w:t>RF-25</w:t>
            </w:r>
          </w:p>
        </w:tc>
      </w:tr>
      <w:tr>
        <w:tc>
          <w:tcPr>
            <w:tcW w:type="dxa" w:w="2340"/>
          </w:tcPr>
          <w:p>
            <w:pPr>
              <w:shd w:val="clear" w:color="auto" w:fill="FFD966"/>
            </w:pPr>
            <w:r>
              <w:rPr>
                <w:rFonts w:ascii="Calibri" w:hAnsi="Calibri"/>
                <w:b/>
                <w:color w:val="000000"/>
                <w:sz w:val="18"/>
              </w:rPr>
              <w:t>P3 — MEDIUM</w:t>
            </w:r>
          </w:p>
        </w:tc>
        <w:tc>
          <w:tcPr>
            <w:tcW w:type="dxa" w:w="2340"/>
          </w:tcPr>
          <w:p>
            <w:pPr>
              <w:shd w:val="clear" w:color="auto" w:fill="F2F2F2"/>
            </w:pPr>
            <w:r>
              <w:rPr>
                <w:rFonts w:ascii="Calibri" w:hAnsi="Calibri"/>
                <w:sz w:val="18"/>
              </w:rPr>
              <w:t>Obtain Intermountain Health Systems renewal decision (due ~Feb 28, 2025)</w:t>
            </w:r>
          </w:p>
        </w:tc>
        <w:tc>
          <w:tcPr>
            <w:tcW w:type="dxa" w:w="2340"/>
          </w:tcPr>
          <w:p>
            <w:pPr>
              <w:shd w:val="clear" w:color="auto" w:fill="F2F2F2"/>
            </w:pPr>
            <w:r>
              <w:rPr>
                <w:rFonts w:ascii="Calibri" w:hAnsi="Calibri"/>
                <w:sz w:val="18"/>
              </w:rPr>
              <w:t>Before signing</w:t>
            </w:r>
          </w:p>
        </w:tc>
        <w:tc>
          <w:tcPr>
            <w:tcW w:type="dxa" w:w="2340"/>
          </w:tcPr>
          <w:p>
            <w:pPr>
              <w:shd w:val="clear" w:color="auto" w:fill="F2F2F2"/>
            </w:pPr>
            <w:r>
              <w:rPr>
                <w:rFonts w:ascii="Calibri" w:hAnsi="Calibri"/>
                <w:sz w:val="18"/>
              </w:rPr>
              <w:t>RF-29</w:t>
            </w:r>
          </w:p>
        </w:tc>
      </w:tr>
      <w:tr>
        <w:tc>
          <w:tcPr>
            <w:tcW w:type="dxa" w:w="2340"/>
          </w:tcPr>
          <w:p>
            <w:pPr>
              <w:shd w:val="clear" w:color="auto" w:fill="FFD966"/>
            </w:pPr>
            <w:r>
              <w:rPr>
                <w:rFonts w:ascii="Calibri" w:hAnsi="Calibri"/>
                <w:b/>
                <w:color w:val="000000"/>
                <w:sz w:val="18"/>
              </w:rPr>
              <w:t>P3 — MEDIUM</w:t>
            </w:r>
          </w:p>
        </w:tc>
        <w:tc>
          <w:tcPr>
            <w:tcW w:type="dxa" w:w="2340"/>
          </w:tcPr>
          <w:p>
            <w:pPr>
              <w:shd w:val="clear" w:color="auto" w:fill="FFFFFF"/>
            </w:pPr>
            <w:r>
              <w:rPr>
                <w:rFonts w:ascii="Calibri" w:hAnsi="Calibri"/>
                <w:sz w:val="18"/>
              </w:rPr>
              <w:t>Negotiate specific environmental indemnity and separate environmental escrow</w:t>
            </w:r>
          </w:p>
        </w:tc>
        <w:tc>
          <w:tcPr>
            <w:tcW w:type="dxa" w:w="2340"/>
          </w:tcPr>
          <w:p>
            <w:pPr>
              <w:shd w:val="clear" w:color="auto" w:fill="FFFFFF"/>
            </w:pPr>
            <w:r>
              <w:rPr>
                <w:rFonts w:ascii="Calibri" w:hAnsi="Calibri"/>
                <w:sz w:val="18"/>
              </w:rPr>
              <w:t>SPA negotiation</w:t>
            </w:r>
          </w:p>
        </w:tc>
        <w:tc>
          <w:tcPr>
            <w:tcW w:type="dxa" w:w="2340"/>
          </w:tcPr>
          <w:p>
            <w:pPr>
              <w:shd w:val="clear" w:color="auto" w:fill="FFFFFF"/>
            </w:pPr>
            <w:r>
              <w:rPr>
                <w:rFonts w:ascii="Calibri" w:hAnsi="Calibri"/>
                <w:sz w:val="18"/>
              </w:rPr>
              <w:t>RF-05, RF-06, RF-07</w:t>
            </w:r>
          </w:p>
        </w:tc>
      </w:tr>
      <w:tr>
        <w:tc>
          <w:tcPr>
            <w:tcW w:type="dxa" w:w="2340"/>
          </w:tcPr>
          <w:p>
            <w:pPr>
              <w:shd w:val="clear" w:color="auto" w:fill="FFD966"/>
            </w:pPr>
            <w:r>
              <w:rPr>
                <w:rFonts w:ascii="Calibri" w:hAnsi="Calibri"/>
                <w:b/>
                <w:color w:val="000000"/>
                <w:sz w:val="18"/>
              </w:rPr>
              <w:t>P3 — MEDIUM</w:t>
            </w:r>
          </w:p>
        </w:tc>
        <w:tc>
          <w:tcPr>
            <w:tcW w:type="dxa" w:w="2340"/>
          </w:tcPr>
          <w:p>
            <w:pPr>
              <w:shd w:val="clear" w:color="auto" w:fill="F2F2F2"/>
            </w:pPr>
            <w:r>
              <w:rPr>
                <w:rFonts w:ascii="Calibri" w:hAnsi="Calibri"/>
                <w:sz w:val="18"/>
              </w:rPr>
              <w:t>Obtain asbestos completed-operations tail coverage (pre-2015 gap)</w:t>
            </w:r>
          </w:p>
        </w:tc>
        <w:tc>
          <w:tcPr>
            <w:tcW w:type="dxa" w:w="2340"/>
          </w:tcPr>
          <w:p>
            <w:pPr>
              <w:shd w:val="clear" w:color="auto" w:fill="F2F2F2"/>
            </w:pPr>
            <w:r>
              <w:rPr>
                <w:rFonts w:ascii="Calibri" w:hAnsi="Calibri"/>
                <w:sz w:val="18"/>
              </w:rPr>
              <w:t>Before signing</w:t>
            </w:r>
          </w:p>
        </w:tc>
        <w:tc>
          <w:tcPr>
            <w:tcW w:type="dxa" w:w="2340"/>
          </w:tcPr>
          <w:p>
            <w:pPr>
              <w:shd w:val="clear" w:color="auto" w:fill="F2F2F2"/>
            </w:pPr>
            <w:r>
              <w:rPr>
                <w:rFonts w:ascii="Calibri" w:hAnsi="Calibri"/>
                <w:sz w:val="18"/>
              </w:rPr>
              <w:t>RF-08</w:t>
            </w:r>
          </w:p>
        </w:tc>
      </w:tr>
      <w:tr>
        <w:tc>
          <w:tcPr>
            <w:tcW w:type="dxa" w:w="2340"/>
          </w:tcPr>
          <w:p>
            <w:pPr>
              <w:shd w:val="clear" w:color="auto" w:fill="FFD966"/>
            </w:pPr>
            <w:r>
              <w:rPr>
                <w:rFonts w:ascii="Calibri" w:hAnsi="Calibri"/>
                <w:b/>
                <w:color w:val="000000"/>
                <w:sz w:val="18"/>
              </w:rPr>
              <w:t>P3 — MEDIUM</w:t>
            </w:r>
          </w:p>
        </w:tc>
        <w:tc>
          <w:tcPr>
            <w:tcW w:type="dxa" w:w="2340"/>
          </w:tcPr>
          <w:p>
            <w:pPr>
              <w:shd w:val="clear" w:color="auto" w:fill="FFFFFF"/>
            </w:pPr>
            <w:r>
              <w:rPr>
                <w:rFonts w:ascii="Calibri" w:hAnsi="Calibri"/>
                <w:sz w:val="18"/>
              </w:rPr>
              <w:t>Confirm Pueblo storage yard lease renewal or assess relocation costs</w:t>
            </w:r>
          </w:p>
        </w:tc>
        <w:tc>
          <w:tcPr>
            <w:tcW w:type="dxa" w:w="2340"/>
          </w:tcPr>
          <w:p>
            <w:pPr>
              <w:shd w:val="clear" w:color="auto" w:fill="FFFFFF"/>
            </w:pPr>
            <w:r>
              <w:rPr>
                <w:rFonts w:ascii="Calibri" w:hAnsi="Calibri"/>
                <w:sz w:val="18"/>
              </w:rPr>
              <w:t>Before signing</w:t>
            </w:r>
          </w:p>
        </w:tc>
        <w:tc>
          <w:tcPr>
            <w:tcW w:type="dxa" w:w="2340"/>
          </w:tcPr>
          <w:p>
            <w:pPr>
              <w:shd w:val="clear" w:color="auto" w:fill="FFFFFF"/>
            </w:pPr>
            <w:r>
              <w:rPr>
                <w:rFonts w:ascii="Calibri" w:hAnsi="Calibri"/>
                <w:sz w:val="18"/>
              </w:rPr>
              <w:t>RF-13</w:t>
            </w:r>
          </w:p>
        </w:tc>
      </w:tr>
      <w:tr>
        <w:tc>
          <w:tcPr>
            <w:tcW w:type="dxa" w:w="2340"/>
          </w:tcPr>
          <w:p>
            <w:pPr>
              <w:shd w:val="clear" w:color="auto" w:fill="70AD47"/>
            </w:pPr>
            <w:r>
              <w:rPr>
                <w:rFonts w:ascii="Calibri" w:hAnsi="Calibri"/>
                <w:b/>
                <w:color w:val="FFFFFF"/>
                <w:sz w:val="18"/>
              </w:rPr>
              <w:t>P4 — LOW</w:t>
            </w:r>
          </w:p>
        </w:tc>
        <w:tc>
          <w:tcPr>
            <w:tcW w:type="dxa" w:w="2340"/>
          </w:tcPr>
          <w:p>
            <w:pPr>
              <w:shd w:val="clear" w:color="auto" w:fill="F2F2F2"/>
            </w:pPr>
            <w:r>
              <w:rPr>
                <w:rFonts w:ascii="Calibri" w:hAnsi="Calibri"/>
                <w:sz w:val="18"/>
              </w:rPr>
              <w:t>Assess Pinnacle Waste Solutions, LLC dissolution plan post-close</w:t>
            </w:r>
          </w:p>
        </w:tc>
        <w:tc>
          <w:tcPr>
            <w:tcW w:type="dxa" w:w="2340"/>
          </w:tcPr>
          <w:p>
            <w:pPr>
              <w:shd w:val="clear" w:color="auto" w:fill="F2F2F2"/>
            </w:pPr>
            <w:r>
              <w:rPr>
                <w:rFonts w:ascii="Calibri" w:hAnsi="Calibri"/>
                <w:sz w:val="18"/>
              </w:rPr>
              <w:t>Post-close</w:t>
            </w:r>
          </w:p>
        </w:tc>
        <w:tc>
          <w:tcPr>
            <w:tcW w:type="dxa" w:w="2340"/>
          </w:tcPr>
          <w:p>
            <w:pPr>
              <w:shd w:val="clear" w:color="auto" w:fill="F2F2F2"/>
            </w:pPr>
            <w:r>
              <w:rPr>
                <w:rFonts w:ascii="Calibri" w:hAnsi="Calibri"/>
                <w:sz w:val="18"/>
              </w:rPr>
              <w:t>RF-26</w:t>
            </w:r>
          </w:p>
        </w:tc>
      </w:tr>
      <w:tr>
        <w:tc>
          <w:tcPr>
            <w:tcW w:type="dxa" w:w="2340"/>
          </w:tcPr>
          <w:p>
            <w:pPr>
              <w:shd w:val="clear" w:color="auto" w:fill="70AD47"/>
            </w:pPr>
            <w:r>
              <w:rPr>
                <w:rFonts w:ascii="Calibri" w:hAnsi="Calibri"/>
                <w:b/>
                <w:color w:val="FFFFFF"/>
                <w:sz w:val="18"/>
              </w:rPr>
              <w:t>P4 — LOW</w:t>
            </w:r>
          </w:p>
        </w:tc>
        <w:tc>
          <w:tcPr>
            <w:tcW w:type="dxa" w:w="2340"/>
          </w:tcPr>
          <w:p>
            <w:pPr>
              <w:shd w:val="clear" w:color="auto" w:fill="FFFFFF"/>
            </w:pPr>
            <w:r>
              <w:rPr>
                <w:rFonts w:ascii="Calibri" w:hAnsi="Calibri"/>
                <w:sz w:val="18"/>
              </w:rPr>
              <w:t>Establish independent board post-close; address Linda Calloway conflict</w:t>
            </w:r>
          </w:p>
        </w:tc>
        <w:tc>
          <w:tcPr>
            <w:tcW w:type="dxa" w:w="2340"/>
          </w:tcPr>
          <w:p>
            <w:pPr>
              <w:shd w:val="clear" w:color="auto" w:fill="FFFFFF"/>
            </w:pPr>
            <w:r>
              <w:rPr>
                <w:rFonts w:ascii="Calibri" w:hAnsi="Calibri"/>
                <w:sz w:val="18"/>
              </w:rPr>
              <w:t>Post-close</w:t>
            </w:r>
          </w:p>
        </w:tc>
        <w:tc>
          <w:tcPr>
            <w:tcW w:type="dxa" w:w="2340"/>
          </w:tcPr>
          <w:p>
            <w:pPr>
              <w:shd w:val="clear" w:color="auto" w:fill="FFFFFF"/>
            </w:pPr>
            <w:r>
              <w:rPr>
                <w:rFonts w:ascii="Calibri" w:hAnsi="Calibri"/>
                <w:sz w:val="18"/>
              </w:rPr>
              <w:t>RF-27</w:t>
            </w:r>
          </w:p>
        </w:tc>
      </w:tr>
    </w:tbl>
    <w:p/>
    <w:p>
      <w:pPr>
        <w:spacing w:before="120" w:after="0"/>
        <w:jc w:val="left"/>
        <w:shd w:val="clear" w:color="auto" w:fill="F2F2F2"/>
      </w:pPr>
      <w:r>
        <w:rPr>
          <w:rFonts w:ascii="Calibri" w:hAnsi="Calibri"/>
          <w:b w:val="0"/>
          <w:i/>
          <w:sz w:val="16"/>
        </w:rPr>
        <w:t>This memorandum is prepared on the basis of the data room documents made available as of December 2024. It is subject to revision as additional information is obtained. This memorandum is privileged and confidential and is intended solely for the use of Sycamore Capital Partners, LP and its advisors in connection with the proposed transaction. Detailed findings, source document references, quantified exposures, and action item tracking are maintained in the accompanying Red Flag Tracker (red-flag-tracker.xlsx).</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