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8640"/>
      </w:tblGrid>
      <w:tr>
        <w:tc>
          <w:tcPr>
            <w:tcW w:type="dxa" w:w="8640"/>
            <w:shd w:val="clear" w:color="auto" w:fill="1F2D3D"/>
          </w:tcPr>
          <w:p>
            <w:pPr>
              <w:spacing w:before="80" w:after="80"/>
              <w:jc w:val="center"/>
            </w:pPr>
            <w:r>
              <w:rPr>
                <w:b/>
                <w:color w:val="FFFFFF"/>
                <w:sz w:val="18"/>
              </w:rPr>
              <w:t>PRIVILEGED AND CONFIDENTIAL -- ATTORNEY-CLIENT COMMUNICATION</w:t>
            </w:r>
          </w:p>
        </w:tc>
      </w:tr>
      <w:tr>
        <w:tc>
          <w:tcPr>
            <w:tcW w:type="dxa" w:w="8640"/>
            <w:shd w:val="clear" w:color="auto" w:fill="1F2D3D"/>
          </w:tcPr>
          <w:p>
            <w:pPr>
              <w:spacing w:before="160" w:after="160"/>
              <w:jc w:val="center"/>
            </w:pPr>
            <w:r>
              <w:rPr>
                <w:b/>
                <w:color w:val="FFFFFF"/>
                <w:sz w:val="40"/>
              </w:rPr>
              <w:t>DILIGENCE RED FLAG MEMORANDUM</w:t>
            </w:r>
          </w:p>
        </w:tc>
      </w:tr>
      <w:tr>
        <w:tc>
          <w:tcPr>
            <w:tcW w:type="dxa" w:w="8640"/>
            <w:shd w:val="clear" w:color="auto" w:fill="2E4057"/>
          </w:tcPr>
          <w:p>
            <w:pPr>
              <w:spacing w:before="80" w:after="80"/>
              <w:jc w:val="center"/>
            </w:pPr>
            <w:r>
              <w:rPr>
                <w:i/>
                <w:color w:val="FFFFFF"/>
                <w:sz w:val="18"/>
              </w:rPr>
              <w:t>Project Ridgeline -- Proposed Acquisition of Ridgeline Environmental Services, Inc.</w:t>
              <w:br/>
              <w:t>Prepared for: Sycamore Capital Partners, LP Deal Team &amp; Thornfield &amp; Associates LLP</w:t>
              <w:br/>
              <w:t>Date: December 2024  |  Classification: Highly Confidential -- Subject to NDA dated September 12, 2024</w:t>
            </w:r>
          </w:p>
        </w:tc>
      </w:tr>
    </w:tbl>
    <w:p/>
    <w:p>
      <w:pPr>
        <w:spacing w:before="200" w:after="80"/>
        <w:jc w:val="left"/>
      </w:pPr>
      <w:r>
        <w:rPr>
          <w:b/>
          <w:i w:val="0"/>
          <w:color w:val="1F2D3D"/>
          <w:sz w:val="28"/>
          <w:u w:val="single"/>
        </w:rPr>
        <w:t>EXECUTIVE SUMMARY</w:t>
      </w:r>
    </w:p>
    <w:p>
      <w:pPr>
        <w:spacing w:before="0" w:after="120"/>
        <w:jc w:val="left"/>
      </w:pPr>
      <w:r>
        <w:rPr>
          <w:b w:val="0"/>
          <w:i w:val="0"/>
          <w:color w:val="000000"/>
          <w:sz w:val="20"/>
        </w:rPr>
        <w:t>This memorandum summarizes material red flags and diligence concerns identified across thirteen data room documents reviewed in connection with the proposed acquisition of Ridgeline Environmental Services, Inc. (RES or the Company) by Sycamore Capital Partners, LP (Buyer). The proposed transaction is structured as a 100% stock acquisition at an indicative enterprise value of $182-$205 million (8.0x-9.0x Adjusted EBITDA of $22.8M as presented by management).</w:t>
      </w:r>
    </w:p>
    <w:p>
      <w:pPr>
        <w:spacing w:before="0" w:after="120"/>
        <w:jc w:val="left"/>
      </w:pPr>
      <w:r>
        <w:rPr>
          <w:b w:val="0"/>
          <w:i w:val="0"/>
          <w:color w:val="000000"/>
          <w:sz w:val="20"/>
        </w:rPr>
        <w:t>Our review has identified twenty-two (22) distinct red flags spanning seven risk categories: (1) Financial / Quality of Earnings, (2) Environmental &amp; Regulatory, (3) Debt &amp; Change-of-Control, (4) Customer Concentration &amp; Contract, (5) Real Property &amp; Permitting, (6) Human Capital &amp; Labor, and (7) Insurance &amp; Liability. Several of these issues are individually material and, in combination, could warrant a meaningful reduction to the purchase price, restructuring of the indemnification framework, or additional pre-closing conditions.</w:t>
      </w:r>
    </w:p>
    <w:p>
      <w:pPr>
        <w:spacing w:before="0" w:after="80"/>
        <w:jc w:val="left"/>
      </w:pPr>
      <w:r>
        <w:rPr>
          <w:b/>
          <w:i w:val="0"/>
          <w:color w:val="000000"/>
          <w:sz w:val="20"/>
        </w:rPr>
        <w:t>The three most critical issues requiring immediate attention are:</w:t>
      </w:r>
    </w:p>
    <w:p>
      <w:pPr>
        <w:pStyle w:val="ListBullet"/>
        <w:spacing w:after="60"/>
        <w:ind w:left="360"/>
      </w:pPr>
      <w:r>
        <w:rPr>
          <w:color w:val="000000"/>
          <w:sz w:val="19"/>
        </w:rPr>
        <w:t>DOE IDIQ Ceiling Exhaustion -- The Company's largest customer (19.2% of revenue) is projected to exhaust its contract ceiling by April-May 2025, creating a potential $12.1M revenue headwind in FY2025 that is not reflected in the valuation.</w:t>
      </w:r>
    </w:p>
    <w:p>
      <w:pPr>
        <w:pStyle w:val="ListBullet"/>
        <w:spacing w:after="60"/>
        <w:ind w:left="360"/>
      </w:pPr>
      <w:r>
        <w:rPr>
          <w:color w:val="000000"/>
          <w:sz w:val="19"/>
        </w:rPr>
        <w:t>Adjusted EBITDA Discrepancy and Aggressive Add-Backs -- Management's Adjusted EBITDA of $22.8M (CIM) vs. $23.8M (QoE data room) is internally inconsistent by $1.0M, and the bank's covenant EBITDA of $18.4M reflects that $4.4M-$5.4M of add-backs are non-qualifying under the credit agreement. The true normalized EBITDA may be materially lower than the valuation basis.</w:t>
      </w:r>
    </w:p>
    <w:p>
      <w:pPr>
        <w:pStyle w:val="ListBullet"/>
        <w:spacing w:after="60"/>
        <w:ind w:left="360"/>
      </w:pPr>
      <w:r>
        <w:rPr>
          <w:color w:val="000000"/>
          <w:sz w:val="19"/>
        </w:rPr>
        <w:t>Salt Lake City Lease -- Dual Consent Failure -- The SLC transfer station lease (serving ~$16.2M of revenue) has an unresolved landlord consent from the 2022 Pinnacle acquisition, and the proposed Sycamore transaction would layer a second change-of-control event on top of the unresolved first. The facility also operates under a permit still held in Pinnacle's name.</w:t>
      </w:r>
    </w:p>
    <w:p/>
    <w:p>
      <w:pPr>
        <w:spacing w:before="200" w:after="80"/>
        <w:jc w:val="left"/>
      </w:pPr>
      <w:r>
        <w:rPr>
          <w:b/>
          <w:i w:val="0"/>
          <w:color w:val="1F2D3D"/>
          <w:sz w:val="28"/>
          <w:u w:val="single"/>
        </w:rPr>
        <w:t>SECTION I: FINANCIAL / QUALITY OF EARNINGS</w:t>
      </w:r>
    </w:p>
    <w:p>
      <w:pPr>
        <w:spacing w:before="200" w:after="80"/>
        <w:jc w:val="left"/>
      </w:pPr>
      <w:r>
        <w:rPr>
          <w:b/>
          <w:i w:val="0"/>
          <w:color w:val="1F2D3D"/>
          <w:sz w:val="24"/>
        </w:rPr>
        <w:t>RF-01 | EBITDA Discrepancy: CIM vs. QoE Data Room ($1.0M Gap -- Unresolved)</w:t>
      </w:r>
    </w:p>
    <w:p>
      <w:pPr>
        <w:spacing w:before="0" w:after="80"/>
        <w:jc w:val="left"/>
      </w:pPr>
      <w:r>
        <w:rPr>
          <w:b/>
          <w:i w:val="0"/>
          <w:color w:val="C0392B"/>
          <w:sz w:val="20"/>
        </w:rPr>
        <w:t>Severity: HIGH</w:t>
      </w:r>
    </w:p>
    <w:p>
      <w:pPr>
        <w:spacing w:before="0" w:after="80"/>
        <w:jc w:val="left"/>
      </w:pPr>
      <w:r>
        <w:rPr>
          <w:b w:val="0"/>
          <w:i w:val="0"/>
          <w:color w:val="000000"/>
          <w:sz w:val="20"/>
        </w:rPr>
        <w:t>The CIM presents FY2024 Adjusted EBITDA of $22.8M, while the QoE data request response (EBITDA Bridge tab) calculates Adjusted EBITDA of $23.8M -- a $1.0M discrepancy. Management acknowledges the gap in the QoE workbook but states the specific adjustment category causing the discrepancy has not been identified. This is a significant red flag: the Company's own financial team cannot reconcile its two primary financial presentations to the Buyer. The valuation is anchored to Adjusted EBITDA, and a $1.0M discrepancy at an 8.0x-9.0x multiple implies a $8-9M swing in enterprise value. The QoE engagement by Bridgewater Forsyth Group must resolve this before any final valuation is agreed.</w:t>
      </w:r>
    </w:p>
    <w:p>
      <w:pPr>
        <w:spacing w:before="0" w:after="160"/>
        <w:jc w:val="left"/>
      </w:pPr>
      <w:r>
        <w:rPr>
          <w:b/>
          <w:i w:val="0"/>
          <w:color w:val="000000"/>
          <w:sz w:val="20"/>
        </w:rPr>
        <w:t>Required Action: Demand a written reconciliation of the $1.0M gap prior to LOI finalization. Confirm which figure ($22.8M or $23.8M) is the correct starting point for the QoE analysis.</w:t>
      </w:r>
    </w:p>
    <w:p>
      <w:pPr>
        <w:spacing w:before="200" w:after="80"/>
        <w:jc w:val="left"/>
      </w:pPr>
      <w:r>
        <w:rPr>
          <w:b/>
          <w:i w:val="0"/>
          <w:color w:val="1F2D3D"/>
          <w:sz w:val="24"/>
        </w:rPr>
        <w:t>RF-02 | Aggressive and Potentially Non-Recurring EBITDA Add-Backs ($5.4M Total)</w:t>
      </w:r>
    </w:p>
    <w:p>
      <w:pPr>
        <w:spacing w:before="0" w:after="80"/>
        <w:jc w:val="left"/>
      </w:pPr>
      <w:r>
        <w:rPr>
          <w:b/>
          <w:i w:val="0"/>
          <w:color w:val="C0392B"/>
          <w:sz w:val="20"/>
        </w:rPr>
        <w:t>Severity: HIGH</w:t>
      </w:r>
    </w:p>
    <w:p>
      <w:pPr>
        <w:spacing w:before="0" w:after="80"/>
        <w:jc w:val="left"/>
      </w:pPr>
      <w:r>
        <w:rPr>
          <w:b w:val="0"/>
          <w:i w:val="0"/>
          <w:color w:val="000000"/>
          <w:sz w:val="20"/>
        </w:rPr>
        <w:t>Management's $5.4M in EBITDA adjustments include items that are questionable in nature or recurrence. The litigation settlement add-back of $1.2M represents a receipt (RES was the plaintiff in the Clearwater Logistics matter), not a cost -- adding back a one-time gain inflates EBITDA upward, which is non-standard and arguably misleading. The owner compensation normalization of $0.95M assumes founders are replaced at $400K each; if founders remain at $875K post-closing, this add-back evaporates entirely. ERP implementation costs of $0.65M may not be fully non-recurring as Phase 2 is described as ongoing through Q2 FY2025. Pinnacle integration costs of $0.80M continue 2.5 years post-close despite management's claim that integration is substantially complete. Critically, the credit agreement's Consolidated EBITDA definition expressly excludes all five of these add-back categories, capping qualifying non-recurring adjustments at $500K per year. The bank's EBITDA of $18.4M is the operative figure for covenant compliance -- a 19% discount to management's $22.8M figure.</w:t>
      </w:r>
    </w:p>
    <w:p>
      <w:pPr>
        <w:spacing w:before="0" w:after="160"/>
        <w:jc w:val="left"/>
      </w:pPr>
      <w:r>
        <w:rPr>
          <w:b/>
          <w:i w:val="0"/>
          <w:color w:val="000000"/>
          <w:sz w:val="20"/>
        </w:rPr>
        <w:t>Required Action: Buyer's QoE team should independently validate each add-back. The owner compensation normalization is particularly sensitive -- confirm post-closing employment terms before accepting this adjustment.</w:t>
      </w:r>
    </w:p>
    <w:p>
      <w:pPr>
        <w:spacing w:before="200" w:after="80"/>
        <w:jc w:val="left"/>
      </w:pPr>
      <w:r>
        <w:rPr>
          <w:b/>
          <w:i w:val="0"/>
          <w:color w:val="1F2D3D"/>
          <w:sz w:val="24"/>
        </w:rPr>
        <w:t>RF-03 | Reported EBITDA Decline: FY2024 Reported EBITDA Down 27% YoY</w:t>
      </w:r>
    </w:p>
    <w:p>
      <w:pPr>
        <w:spacing w:before="0" w:after="80"/>
        <w:jc w:val="left"/>
      </w:pPr>
      <w:r>
        <w:rPr>
          <w:b/>
          <w:i w:val="0"/>
          <w:color w:val="E67E22"/>
          <w:sz w:val="20"/>
        </w:rPr>
        <w:t>Severity: MEDIUM-HIGH</w:t>
      </w:r>
    </w:p>
    <w:p>
      <w:pPr>
        <w:spacing w:before="0" w:after="80"/>
        <w:jc w:val="left"/>
      </w:pPr>
      <w:r>
        <w:rPr>
          <w:b w:val="0"/>
          <w:i w:val="0"/>
          <w:color w:val="000000"/>
          <w:sz w:val="20"/>
        </w:rPr>
        <w:t>The QoE Historical P&amp;L tab shows FY2024 Reported EBITDA declined 27% year-over-year while revenue grew 11.1%. This dramatic decline is masked by the $5.4M in add-backs. The underlying business generated significantly less cash earnings in FY2024 than in FY2023 on a reported basis. EBIT margin compressed from 16.0% to 14.5%. The drivers of this margin compression are not fully explained in the data room and warrant investigation into whether cost inflation, project mix shift, or operational issues are structural.</w:t>
      </w:r>
    </w:p>
    <w:p>
      <w:pPr>
        <w:spacing w:before="0" w:after="160"/>
        <w:jc w:val="left"/>
      </w:pPr>
      <w:r>
        <w:rPr>
          <w:b/>
          <w:i w:val="0"/>
          <w:color w:val="000000"/>
          <w:sz w:val="20"/>
        </w:rPr>
        <w:t>Required Action: Obtain a detailed bridge from FY2023 to FY2024 reported EBITDA explaining the drivers of the decline. Assess whether the margin compression is temporary or structural.</w:t>
      </w:r>
    </w:p>
    <w:p>
      <w:pPr>
        <w:spacing w:before="200" w:after="80"/>
        <w:jc w:val="left"/>
      </w:pPr>
      <w:r>
        <w:rPr>
          <w:b/>
          <w:i w:val="0"/>
          <w:color w:val="1F2D3D"/>
          <w:sz w:val="24"/>
        </w:rPr>
        <w:t>RF-04 | Fleet Capital Expenditure Underinvestment -- Hidden Capex Backlog (~$9.8M)</w:t>
      </w:r>
    </w:p>
    <w:p>
      <w:pPr>
        <w:spacing w:before="0" w:after="80"/>
        <w:jc w:val="left"/>
      </w:pPr>
      <w:r>
        <w:rPr>
          <w:b/>
          <w:i w:val="0"/>
          <w:color w:val="E67E22"/>
          <w:sz w:val="20"/>
        </w:rPr>
        <w:t>Severity: MEDIUM-HIGH</w:t>
      </w:r>
    </w:p>
    <w:p>
      <w:pPr>
        <w:spacing w:before="0" w:after="80"/>
        <w:jc w:val="left"/>
      </w:pPr>
      <w:r>
        <w:rPr>
          <w:b w:val="0"/>
          <w:i w:val="0"/>
          <w:color w:val="000000"/>
          <w:sz w:val="20"/>
        </w:rPr>
        <w:t>The Fleet &amp; Equipment Schedule reveals that 38 of 85 fleet assets (44.7%) are at or past their stated useful life, with an average fleet age of 8.2 years against a 7.0-year useful life. Many are marked Replacement Deferred or At End of Life -- No Replacement Scheduled. The estimated replacement cost for past-useful-life units alone is $9.8M. Management's normalized maintenance capex of $4.0-4.5M per year appears understated; spreading the $9.8M backlog over three years implies ~$3.3M/year in catch-up capex above the stated run-rate. True normalized maintenance capex may be $7.0-7.5M annually, reducing normalized free cash flow by approximately $3M/year.</w:t>
      </w:r>
    </w:p>
    <w:p>
      <w:pPr>
        <w:spacing w:before="0" w:after="160"/>
        <w:jc w:val="left"/>
      </w:pPr>
      <w:r>
        <w:rPr>
          <w:b/>
          <w:i w:val="0"/>
          <w:color w:val="000000"/>
          <w:sz w:val="20"/>
        </w:rPr>
        <w:t>Required Action: Commission an independent fleet condition assessment. Adjust normalized maintenance capex upward in the valuation model. Negotiate a capex true-up mechanism or purchase price reduction to reflect the deferred replacement backlog.</w:t>
      </w:r>
    </w:p>
    <w:p>
      <w:pPr>
        <w:spacing w:before="200" w:after="80"/>
        <w:jc w:val="left"/>
      </w:pPr>
      <w:r>
        <w:rPr>
          <w:b/>
          <w:i w:val="0"/>
          <w:color w:val="1F2D3D"/>
          <w:sz w:val="24"/>
        </w:rPr>
        <w:t>RF-05 | Revenue Growth Deceleration and Customer List Inconsistency</w:t>
      </w:r>
    </w:p>
    <w:p>
      <w:pPr>
        <w:spacing w:before="0" w:after="80"/>
        <w:jc w:val="left"/>
      </w:pPr>
      <w:r>
        <w:rPr>
          <w:b/>
          <w:i w:val="0"/>
          <w:color w:val="000000"/>
          <w:sz w:val="20"/>
        </w:rPr>
        <w:t>Severity: MEDIUM</w:t>
      </w:r>
    </w:p>
    <w:p>
      <w:pPr>
        <w:spacing w:before="0" w:after="80"/>
        <w:jc w:val="left"/>
      </w:pPr>
      <w:r>
        <w:rPr>
          <w:b w:val="0"/>
          <w:i w:val="0"/>
          <w:color w:val="000000"/>
          <w:sz w:val="20"/>
        </w:rPr>
        <w:t>Revenue growth decelerated from 19.0% (FY2022) to 17.2% (FY2023) to 11.1% (FY2024). The customer list in the QoE Revenue by Customer tab contains different customer names than the CIM's customer concentration summary -- for example, the QoE lists Western Slope Energy Partners as Customer #3 ($8.9M), while the CIM lists Western Slope Municipal Water District ($9.8M) as Customer #3. These discrepancies suggest either different time periods, customer reclassifications, or data inconsistencies that require reconciliation.</w:t>
      </w:r>
    </w:p>
    <w:p>
      <w:pPr>
        <w:spacing w:before="0" w:after="160"/>
        <w:jc w:val="left"/>
      </w:pPr>
      <w:r>
        <w:rPr>
          <w:b/>
          <w:i w:val="0"/>
          <w:color w:val="000000"/>
          <w:sz w:val="20"/>
        </w:rPr>
        <w:t>Required Action: Reconcile customer lists between CIM and QoE data. Obtain a detailed organic vs. acquired revenue bridge for each fiscal year.</w:t>
      </w:r>
    </w:p>
    <w:p/>
    <w:p>
      <w:pPr>
        <w:spacing w:before="200" w:after="80"/>
        <w:jc w:val="left"/>
      </w:pPr>
      <w:r>
        <w:rPr>
          <w:b/>
          <w:i w:val="0"/>
          <w:color w:val="1F2D3D"/>
          <w:sz w:val="28"/>
          <w:u w:val="single"/>
        </w:rPr>
        <w:t>SECTION II: ENVIRONMENTAL &amp; REGULATORY</w:t>
      </w:r>
    </w:p>
    <w:p>
      <w:pPr>
        <w:spacing w:before="200" w:after="80"/>
        <w:jc w:val="left"/>
      </w:pPr>
      <w:r>
        <w:rPr>
          <w:b/>
          <w:i w:val="0"/>
          <w:color w:val="1F2D3D"/>
          <w:sz w:val="24"/>
        </w:rPr>
        <w:t>RF-06 | Grand Junction Facility -- Stale Phase II ESA (5+ Years Old) with Unresolved Contamination</w:t>
      </w:r>
    </w:p>
    <w:p>
      <w:pPr>
        <w:spacing w:before="0" w:after="80"/>
        <w:jc w:val="left"/>
      </w:pPr>
      <w:r>
        <w:rPr>
          <w:b/>
          <w:i w:val="0"/>
          <w:color w:val="C0392B"/>
          <w:sz w:val="20"/>
        </w:rPr>
        <w:t>Severity: HIGH</w:t>
      </w:r>
    </w:p>
    <w:p>
      <w:pPr>
        <w:spacing w:before="0" w:after="80"/>
        <w:jc w:val="left"/>
      </w:pPr>
      <w:r>
        <w:rPr>
          <w:b w:val="0"/>
          <w:i w:val="0"/>
          <w:color w:val="000000"/>
          <w:sz w:val="20"/>
        </w:rPr>
        <w:t>The Phase II ESA for the owned Grand Junction headquarters (8750 Industrial Parkway) was completed in June 2019 -- over five years ago. It identified: (1) petroleum hydrocarbon contamination (TPH-diesel up to 4,200 mg/kg; benzene in groundwater at 12 ug/L, exceeding the 5 ug/L Colorado standard) in the former UST area; (2) chlorinated solvent contamination (PCE up to 18 mg/kg in soil; PCE at 22 ug/L and TCE at 8.7 ug/L in groundwater, both exceeding Colorado standards) in the former degreasing area; and (3) vapor intrusion risk -- elevated PCE (450 ug/m3) and TCE (120 ug/m3) in soil gas adjacent to the occupied vehicle maintenance building, both exceeding EPA RSLs. The 2019 ESA explicitly recommended: (a) off-site sentinel monitoring wells (not yet installed), (b) a vapor intrusion assessment of the occupied maintenance building (not yet conducted), and (c) periodic re-assessment before any property transaction. None of these recommendations have been implemented in five years. The ESA's own cost estimate of $1.8-2.6M (2019 dollars) excludes vapor intrusion mitigation, off-site remediation, and natural resource damages -- all of which could materially increase actual costs. The Company has accrued $2.2M for Grand Junction remediation based on this stale 2019 estimate.</w:t>
      </w:r>
    </w:p>
    <w:p>
      <w:pPr>
        <w:spacing w:before="0" w:after="160"/>
        <w:jc w:val="left"/>
      </w:pPr>
      <w:r>
        <w:rPr>
          <w:b/>
          <w:i w:val="0"/>
          <w:color w:val="000000"/>
          <w:sz w:val="20"/>
        </w:rPr>
        <w:t>Required Action: Commission an updated Phase II ESA and vapor intrusion assessment immediately. Do not close without current environmental data. Negotiate a specific environmental indemnity with a higher cap and longer survival period. Consider a separate environmental escrow.</w:t>
      </w:r>
    </w:p>
    <w:p>
      <w:pPr>
        <w:spacing w:before="200" w:after="80"/>
        <w:jc w:val="left"/>
      </w:pPr>
      <w:r>
        <w:rPr>
          <w:b/>
          <w:i w:val="0"/>
          <w:color w:val="1F2D3D"/>
          <w:sz w:val="24"/>
        </w:rPr>
        <w:t>RF-07 | CDPHE Enforcement Action -- Active RCRA Violation (Docket CDPHE-HW-2024-0093)</w:t>
      </w:r>
    </w:p>
    <w:p>
      <w:pPr>
        <w:spacing w:before="0" w:after="80"/>
        <w:jc w:val="left"/>
      </w:pPr>
      <w:r>
        <w:rPr>
          <w:b/>
          <w:i w:val="0"/>
          <w:color w:val="E67E22"/>
          <w:sz w:val="20"/>
        </w:rPr>
        <w:t>Severity: MEDIUM-HIGH</w:t>
      </w:r>
    </w:p>
    <w:p>
      <w:pPr>
        <w:spacing w:before="0" w:after="80"/>
        <w:jc w:val="left"/>
      </w:pPr>
      <w:r>
        <w:rPr>
          <w:b w:val="0"/>
          <w:i w:val="0"/>
          <w:color w:val="000000"/>
          <w:sz w:val="20"/>
        </w:rPr>
        <w:t>CDPHE issued a Notice of Violation on July 18, 2024 alleging improper storage of ~14,000 gallons of F001/F002 listed hazardous waste at the Grand Junction facility. The parties dispute the violation period: RES claims 12 days (max penalty $450K); CDPHE claims 31 days (max penalty $1.16M). No accrual has been recorded. The matter is in administrative negotiation with a settlement conference expected in Q1 2025 -- potentially concurrent with or after the target signing date of February 14, 2025. This is an active RCRA enforcement action against the Company's primary permitted facility. The LOI specifically calls out this matter for special indemnification treatment.</w:t>
      </w:r>
    </w:p>
    <w:p>
      <w:pPr>
        <w:spacing w:before="0" w:after="160"/>
        <w:jc w:val="left"/>
      </w:pPr>
      <w:r>
        <w:rPr>
          <w:b/>
          <w:i w:val="0"/>
          <w:color w:val="000000"/>
          <w:sz w:val="20"/>
        </w:rPr>
        <w:t>Required Action: Require resolution or a specific indemnity escrow before closing. Obtain CDPHE's current settlement position. Confirm no permit modification or suspension risk.</w:t>
      </w:r>
    </w:p>
    <w:p>
      <w:pPr>
        <w:spacing w:before="200" w:after="80"/>
        <w:jc w:val="left"/>
      </w:pPr>
      <w:r>
        <w:rPr>
          <w:b/>
          <w:i w:val="0"/>
          <w:color w:val="1F2D3D"/>
          <w:sz w:val="24"/>
        </w:rPr>
        <w:t>RF-09 | Utah Salt Lake City Permit -- Still Held in Pinnacle's Name (2.5 Years Post-Acquisition)</w:t>
      </w:r>
    </w:p>
    <w:p>
      <w:pPr>
        <w:spacing w:before="0" w:after="80"/>
        <w:jc w:val="left"/>
      </w:pPr>
      <w:r>
        <w:rPr>
          <w:b/>
          <w:i w:val="0"/>
          <w:color w:val="E67E22"/>
          <w:sz w:val="20"/>
        </w:rPr>
        <w:t>Severity: MEDIUM-HIGH</w:t>
      </w:r>
    </w:p>
    <w:p>
      <w:pPr>
        <w:spacing w:before="0" w:after="80"/>
        <w:jc w:val="left"/>
      </w:pPr>
      <w:r>
        <w:rPr>
          <w:b w:val="0"/>
          <w:i w:val="0"/>
          <w:color w:val="000000"/>
          <w:sz w:val="20"/>
        </w:rPr>
        <w:t>The Utah hazardous waste transfer station permit (UTH-0441) for the Salt Lake City facility remains in the name of Pinnacle Waste Solutions, LLC -- 2.5 years after RES acquired Pinnacle. The transfer application was initiated but remains pending. Utah Administrative Code R315-3 requires Division approval for ownership/control changes before they become effective. The proposed Sycamore acquisition would add another layer of change-of-control complexity to an already unresolved permit transfer. By contrast, the Ogden permit (UTH-0587) was successfully transferred from Pinnacle to RES in June 2022, demonstrating that the process is achievable.</w:t>
      </w:r>
    </w:p>
    <w:p>
      <w:pPr>
        <w:spacing w:before="0" w:after="160"/>
        <w:jc w:val="left"/>
      </w:pPr>
      <w:r>
        <w:rPr>
          <w:b/>
          <w:i w:val="0"/>
          <w:color w:val="000000"/>
          <w:sz w:val="20"/>
        </w:rPr>
        <w:t>Required Action: Accelerate the Utah permit transfer to completion before closing. Obtain written confirmation from the Utah Division of Waste Management that operations under the Pinnacle permit are compliant. Make permit transfer a closing condition.</w:t>
      </w:r>
    </w:p>
    <w:p>
      <w:pPr>
        <w:spacing w:before="200" w:after="80"/>
        <w:jc w:val="left"/>
      </w:pPr>
      <w:r>
        <w:rPr>
          <w:b/>
          <w:i w:val="0"/>
          <w:color w:val="1F2D3D"/>
          <w:sz w:val="24"/>
        </w:rPr>
        <w:t>RF-10 | Asbestos Abatement -- Uninsured Pre-2015 Tail Liability</w:t>
      </w:r>
    </w:p>
    <w:p>
      <w:pPr>
        <w:spacing w:before="0" w:after="80"/>
        <w:jc w:val="left"/>
      </w:pPr>
      <w:r>
        <w:rPr>
          <w:b/>
          <w:i w:val="0"/>
          <w:color w:val="000000"/>
          <w:sz w:val="20"/>
        </w:rPr>
        <w:t>Severity: MEDIUM</w:t>
      </w:r>
    </w:p>
    <w:p>
      <w:pPr>
        <w:spacing w:before="0" w:after="80"/>
        <w:jc w:val="left"/>
      </w:pPr>
      <w:r>
        <w:rPr>
          <w:b w:val="0"/>
          <w:i w:val="0"/>
          <w:color w:val="000000"/>
          <w:sz w:val="20"/>
        </w:rPr>
        <w:t>RES operated an asbestos abatement service line from 2012 through September 30, 2023, performing work at approximately 145 commercial and industrial sites across CO, UT, and WY. The current Pollution Legal Liability policy has a retroactive date of January 1, 2015, meaning claims arising from work performed from 2012 through 2014 are not covered by the current policy. The CGL policy contains a blanket asbestos exclusion with no tail coverage procured for completed operations. The QoE Service Line Detail tab also discloses two open workers' compensation claims from former asbestos abatement employees alleging occupational respiratory exposure. Management assesses future asbestos claims as Remote, but the long latency of asbestos-related disease means this tail is genuinely long.</w:t>
      </w:r>
    </w:p>
    <w:p>
      <w:pPr>
        <w:spacing w:before="0" w:after="160"/>
        <w:jc w:val="left"/>
      </w:pPr>
      <w:r>
        <w:rPr>
          <w:b/>
          <w:i w:val="0"/>
          <w:color w:val="000000"/>
          <w:sz w:val="20"/>
        </w:rPr>
        <w:t>Required Action: Obtain a legal opinion on the scope of pre-2015 asbestos exposure. Consider requiring the sellers to procure a specific asbestos tail policy or establish a dedicated escrow. Negotiate an extended survival period for asbestos-related indemnification claims.</w:t>
      </w:r>
    </w:p>
    <w:p/>
    <w:p>
      <w:pPr>
        <w:spacing w:before="200" w:after="80"/>
        <w:jc w:val="left"/>
      </w:pPr>
      <w:r>
        <w:rPr>
          <w:b/>
          <w:i w:val="0"/>
          <w:color w:val="1F2D3D"/>
          <w:sz w:val="28"/>
          <w:u w:val="single"/>
        </w:rPr>
        <w:t>SECTION III: DEBT &amp; CHANGE-OF-CONTROL</w:t>
      </w:r>
    </w:p>
    <w:p>
      <w:pPr>
        <w:spacing w:before="200" w:after="80"/>
        <w:jc w:val="left"/>
      </w:pPr>
      <w:r>
        <w:rPr>
          <w:b/>
          <w:i w:val="0"/>
          <w:color w:val="1F2D3D"/>
          <w:sz w:val="24"/>
        </w:rPr>
        <w:t>RF-11 | Credit Agreement Change-of-Control -- Mandatory Prepayment of $38.7M+ Within 5 Business Days</w:t>
      </w:r>
    </w:p>
    <w:p>
      <w:pPr>
        <w:spacing w:before="0" w:after="80"/>
        <w:jc w:val="left"/>
      </w:pPr>
      <w:r>
        <w:rPr>
          <w:b/>
          <w:i w:val="0"/>
          <w:color w:val="C0392B"/>
          <w:sz w:val="20"/>
        </w:rPr>
        <w:t>Severity: HIGH</w:t>
      </w:r>
    </w:p>
    <w:p>
      <w:pPr>
        <w:spacing w:before="0" w:after="80"/>
        <w:jc w:val="left"/>
      </w:pPr>
      <w:r>
        <w:rPr>
          <w:b w:val="0"/>
          <w:i w:val="0"/>
          <w:color w:val="000000"/>
          <w:sz w:val="20"/>
        </w:rPr>
        <w:t>The High Plains National Bank credit agreement contains a Change of Control provision that is triggered by the proposed 100% stock acquisition. Upon a Change of Control, the Borrower must prepay all outstanding obligations within five (5) business days -- approximately $38.7M in principal plus accrued interest (~$200-300K) plus a 1.0% prepayment premium on the term loan (~$263K), for a total estimated mandatory prepayment of $39.2-39.3M. The credit agreement provides no consent or waiver mechanism -- the only path is a payoff letter or refinancing. This is a known, quantified closing cost that must be reflected in the purchase price mechanics. The LOI's Net Debt adjustment captures the principal balance, but the prepayment premium and breakage costs must also be included.</w:t>
      </w:r>
    </w:p>
    <w:p>
      <w:pPr>
        <w:spacing w:before="0" w:after="160"/>
        <w:jc w:val="left"/>
      </w:pPr>
      <w:r>
        <w:rPr>
          <w:b/>
          <w:i w:val="0"/>
          <w:color w:val="000000"/>
          <w:sz w:val="20"/>
        </w:rPr>
        <w:t>Required Action: Confirm the prepayment premium calculation based on the actual closing date. Ensure the LOI/SPA definition of Net Debt explicitly includes the prepayment premium and all breakage costs. Arrange committed refinancing before signing.</w:t>
      </w:r>
    </w:p>
    <w:p>
      <w:pPr>
        <w:spacing w:before="200" w:after="80"/>
        <w:jc w:val="left"/>
      </w:pPr>
      <w:r>
        <w:rPr>
          <w:b/>
          <w:i w:val="0"/>
          <w:color w:val="1F2D3D"/>
          <w:sz w:val="24"/>
        </w:rPr>
        <w:t>RF-12 | Bank EBITDA vs. Management EBITDA -- Covenant Leverage Ratio Discrepancy</w:t>
      </w:r>
    </w:p>
    <w:p>
      <w:pPr>
        <w:spacing w:before="0" w:after="80"/>
        <w:jc w:val="left"/>
      </w:pPr>
      <w:r>
        <w:rPr>
          <w:b/>
          <w:i w:val="0"/>
          <w:color w:val="E67E22"/>
          <w:sz w:val="20"/>
        </w:rPr>
        <w:t>Severity: MEDIUM-HIGH</w:t>
      </w:r>
    </w:p>
    <w:p>
      <w:pPr>
        <w:spacing w:before="0" w:after="80"/>
        <w:jc w:val="left"/>
      </w:pPr>
      <w:r>
        <w:rPr>
          <w:b w:val="0"/>
          <w:i w:val="0"/>
          <w:color w:val="000000"/>
          <w:sz w:val="20"/>
        </w:rPr>
        <w:t>The credit agreement's Consolidated EBITDA definition produces $18.4M (bank definition) vs. management's $22.8M-$23.8M. The bank's leverage ratio is 2.10x ($38.7M / $18.4M), not the 1.70x implied by management's adjusted EBITDA. While the Company is within the 3.50x covenant maximum, the discrepancy is material: it means the Company's true leverage on a bank-covenant basis is 24% higher than management represents. If EBITDA were to decline due to DOE ceiling exhaustion, covenant headroom could erode rapidly.</w:t>
      </w:r>
    </w:p>
    <w:p>
      <w:pPr>
        <w:spacing w:before="0" w:after="160"/>
        <w:jc w:val="left"/>
      </w:pPr>
      <w:r>
        <w:rPr>
          <w:b/>
          <w:i w:val="0"/>
          <w:color w:val="000000"/>
          <w:sz w:val="20"/>
        </w:rPr>
        <w:t>Required Action: Model covenant compliance under a downside scenario reflecting DOE revenue decline. Confirm the Company has not been in technical default at any point during the credit agreement term.</w:t>
      </w:r>
    </w:p>
    <w:p>
      <w:pPr>
        <w:spacing w:before="200" w:after="80"/>
        <w:jc w:val="left"/>
      </w:pPr>
      <w:r>
        <w:rPr>
          <w:b/>
          <w:i w:val="0"/>
          <w:color w:val="1F2D3D"/>
          <w:sz w:val="24"/>
        </w:rPr>
        <w:t>RF-13 | Derek Calloway Key-Man Provision in Credit Agreement</w:t>
      </w:r>
    </w:p>
    <w:p>
      <w:pPr>
        <w:spacing w:before="0" w:after="80"/>
        <w:jc w:val="left"/>
      </w:pPr>
      <w:r>
        <w:rPr>
          <w:b/>
          <w:i w:val="0"/>
          <w:color w:val="000000"/>
          <w:sz w:val="20"/>
        </w:rPr>
        <w:t>Severity: MEDIUM</w:t>
      </w:r>
    </w:p>
    <w:p>
      <w:pPr>
        <w:spacing w:before="0" w:after="80"/>
        <w:jc w:val="left"/>
      </w:pPr>
      <w:r>
        <w:rPr>
          <w:b w:val="0"/>
          <w:i w:val="0"/>
          <w:color w:val="000000"/>
          <w:sz w:val="20"/>
        </w:rPr>
        <w:t>The credit agreement contains a change-of-management covenant requiring Derek Calloway to remain as CEO and devote substantially full-time attention to the business. His departure without a Lender-approved successor constitutes an Event of Default -- with no cure period. This provision must be addressed in the payoff/refinancing process. Post-closing, if Buyer intends to replace Calloway, the new credit facility must not contain a similar key-man provision, or the transition must be carefully managed.</w:t>
      </w:r>
    </w:p>
    <w:p>
      <w:pPr>
        <w:spacing w:before="0" w:after="160"/>
        <w:jc w:val="left"/>
      </w:pPr>
      <w:r>
        <w:rPr>
          <w:b/>
          <w:i w:val="0"/>
          <w:color w:val="000000"/>
          <w:sz w:val="20"/>
        </w:rPr>
        <w:t>Required Action: Confirm the payoff letter releases all key-man provisions. Evaluate post-closing management continuity plans in light of this covenant.</w:t>
      </w:r>
    </w:p>
    <w:p/>
    <w:p>
      <w:pPr>
        <w:spacing w:before="200" w:after="80"/>
        <w:jc w:val="left"/>
      </w:pPr>
      <w:r>
        <w:rPr>
          <w:b/>
          <w:i w:val="0"/>
          <w:color w:val="1F2D3D"/>
          <w:sz w:val="28"/>
          <w:u w:val="single"/>
        </w:rPr>
        <w:t>SECTION IV: CUSTOMER CONCENTRATION &amp; CONTRACT RISK</w:t>
      </w:r>
    </w:p>
    <w:p>
      <w:pPr>
        <w:spacing w:before="200" w:after="80"/>
        <w:jc w:val="left"/>
      </w:pPr>
      <w:r>
        <w:rPr>
          <w:b/>
          <w:i w:val="0"/>
          <w:color w:val="1F2D3D"/>
          <w:sz w:val="24"/>
        </w:rPr>
        <w:t>RF-14 | DOE IDIQ Ceiling Exhaustion -- $12.1M Revenue Headwind in FY2025 [CRITICAL]</w:t>
      </w:r>
    </w:p>
    <w:p>
      <w:pPr>
        <w:spacing w:before="0" w:after="80"/>
        <w:jc w:val="left"/>
      </w:pPr>
      <w:r>
        <w:rPr>
          <w:b/>
          <w:i w:val="0"/>
          <w:color w:val="C0392B"/>
          <w:sz w:val="20"/>
        </w:rPr>
        <w:t>Severity: CRITICAL</w:t>
      </w:r>
    </w:p>
    <w:p>
      <w:pPr>
        <w:spacing w:before="0" w:after="80"/>
        <w:jc w:val="left"/>
      </w:pPr>
      <w:r>
        <w:rPr>
          <w:b w:val="0"/>
          <w:i w:val="0"/>
          <w:color w:val="000000"/>
          <w:sz w:val="20"/>
        </w:rPr>
        <w:t>The DOE IDIQ contract (DE-EM-0005523) is the Company's largest customer at $24.4M (19.2% of revenue). The contract has a $45.0M ceiling value, of which $32.7M has been consumed -- leaving only $12.3M of remaining ceiling. At the current run rate of ~$24.4M/year (~$2.03M/month), the remaining ceiling will be exhausted by approximately April-May 2025 -- coinciding with the target closing date. The contract does not expire until August 31, 2026, meaning there could be 16 months of unfunded contract period after ceiling exhaustion. If the ceiling is not increased through a contract modification, FY2025 DOE revenue could decline from $24.4M to $12.3M or less -- a $12.1M revenue headwind representing 9.5% of total revenue. At an 8.0x-9.0x EBITDA multiple, this could imply a $15-25M reduction in enterprise value (assuming ~30% flow-through to EBITDA). This risk is not disclosed in the CIM and is buried in the QoE customer data. Additionally, the contract is non-assignable under the Anti-Assignment Act (41 U.S.C. Section 6305), and the contract's Section H, Clause H-12 requires notification to the Contracting Officer within 30 days of any change in ownership.</w:t>
      </w:r>
    </w:p>
    <w:p>
      <w:pPr>
        <w:spacing w:before="0" w:after="160"/>
        <w:jc w:val="left"/>
      </w:pPr>
      <w:r>
        <w:rPr>
          <w:b/>
          <w:i w:val="0"/>
          <w:color w:val="000000"/>
          <w:sz w:val="20"/>
        </w:rPr>
        <w:t>Required Action: Immediately engage with the DOE Contracting Officer regarding ceiling modification prospects. Obtain a written assessment of the likelihood and timeline for a ceiling increase or follow-on contract. Adjust the valuation model to reflect a downside scenario with no ceiling increase. Make DOE contract continuity a closing condition.</w:t>
      </w:r>
    </w:p>
    <w:p>
      <w:pPr>
        <w:spacing w:before="200" w:after="80"/>
        <w:jc w:val="left"/>
      </w:pPr>
      <w:r>
        <w:rPr>
          <w:b/>
          <w:i w:val="0"/>
          <w:color w:val="1F2D3D"/>
          <w:sz w:val="24"/>
        </w:rPr>
        <w:t>RF-15 | Change-of-Control Provisions in 8 of Top 20 Customer Contracts</w:t>
      </w:r>
    </w:p>
    <w:p>
      <w:pPr>
        <w:spacing w:before="0" w:after="80"/>
        <w:jc w:val="left"/>
      </w:pPr>
      <w:r>
        <w:rPr>
          <w:b/>
          <w:i w:val="0"/>
          <w:color w:val="E67E22"/>
          <w:sz w:val="20"/>
        </w:rPr>
        <w:t>Severity: MEDIUM-HIGH</w:t>
      </w:r>
    </w:p>
    <w:p>
      <w:pPr>
        <w:spacing w:before="0" w:after="80"/>
        <w:jc w:val="left"/>
      </w:pPr>
      <w:r>
        <w:rPr>
          <w:b w:val="0"/>
          <w:i w:val="0"/>
          <w:color w:val="000000"/>
          <w:sz w:val="20"/>
        </w:rPr>
        <w:t>Eight of the top 20 customer contracts contain assignment, change-of-control, or notification provisions, including: DOE (non-assignable; novation may be required), Intermountain Health Systems (consent required), Rocky Mountain Pipeline Systems (consent required; 30-day notification), Colorado DOT (prior written consent required), Utah DEQ (state termination right if change materially affects qualifications), Bridger Valley Ranches (mutual consent required), Frontier E&amp;P (consent required), and Teton Steel (mutual consent required). These eight customers represent approximately $30M+ of annual revenue. Failure to obtain required consents could result in contract termination or renegotiation at less favorable terms.</w:t>
      </w:r>
    </w:p>
    <w:p>
      <w:pPr>
        <w:spacing w:before="0" w:after="160"/>
        <w:jc w:val="left"/>
      </w:pPr>
      <w:r>
        <w:rPr>
          <w:b/>
          <w:i w:val="0"/>
          <w:color w:val="000000"/>
          <w:sz w:val="20"/>
        </w:rPr>
        <w:t>Required Action: Map all consent requirements and begin the consent solicitation process immediately. Make receipt of material consents a closing condition. Assess the risk of each customer using the change-of-control as leverage to renegotiate pricing.</w:t>
      </w:r>
    </w:p>
    <w:p>
      <w:pPr>
        <w:spacing w:before="200" w:after="80"/>
        <w:jc w:val="left"/>
      </w:pPr>
      <w:r>
        <w:rPr>
          <w:b/>
          <w:i w:val="0"/>
          <w:color w:val="1F2D3D"/>
          <w:sz w:val="24"/>
        </w:rPr>
        <w:t>RF-16 | Consolidated Mining &amp; Minerals -- No Minimum Volume Commitments; 60-Day Termination</w:t>
      </w:r>
    </w:p>
    <w:p>
      <w:pPr>
        <w:spacing w:before="0" w:after="80"/>
        <w:jc w:val="left"/>
      </w:pPr>
      <w:r>
        <w:rPr>
          <w:b/>
          <w:i w:val="0"/>
          <w:color w:val="000000"/>
          <w:sz w:val="20"/>
        </w:rPr>
        <w:t>Severity: MEDIUM</w:t>
      </w:r>
    </w:p>
    <w:p>
      <w:pPr>
        <w:spacing w:before="0" w:after="80"/>
        <w:jc w:val="left"/>
      </w:pPr>
      <w:r>
        <w:rPr>
          <w:b w:val="0"/>
          <w:i w:val="0"/>
          <w:color w:val="000000"/>
          <w:sz w:val="20"/>
        </w:rPr>
        <w:t>CMMC ($14.5M, 11.4% of revenue) is governed by an MSA with no guaranteed minimum volume commitments and a 60-day termination for convenience clause. The relationship dates to 2014 and has grown consistently, but the absence of contractual volume protection means this revenue could disappear with 60 days' notice. Combined with the DOE ceiling risk, the top two customers (30.6% of revenue) have meaningful near-term revenue uncertainty.</w:t>
      </w:r>
    </w:p>
    <w:p>
      <w:pPr>
        <w:spacing w:before="0" w:after="160"/>
        <w:jc w:val="left"/>
      </w:pPr>
      <w:r>
        <w:rPr>
          <w:b/>
          <w:i w:val="0"/>
          <w:color w:val="000000"/>
          <w:sz w:val="20"/>
        </w:rPr>
        <w:t>Required Action: Assess the depth of the CMMC relationship and any competitive threats. Consider whether a longer-term contract with minimum commitments can be negotiated pre-closing.</w:t>
      </w:r>
    </w:p>
    <w:p>
      <w:pPr>
        <w:spacing w:before="200" w:after="80"/>
        <w:jc w:val="left"/>
      </w:pPr>
      <w:r>
        <w:rPr>
          <w:b/>
          <w:i w:val="0"/>
          <w:color w:val="1F2D3D"/>
          <w:sz w:val="24"/>
        </w:rPr>
        <w:t>RF-17 | Intermountain Health Systems Contract Renewal -- Decision Pending February 2025</w:t>
      </w:r>
    </w:p>
    <w:p>
      <w:pPr>
        <w:spacing w:before="0" w:after="80"/>
        <w:jc w:val="left"/>
      </w:pPr>
      <w:r>
        <w:rPr>
          <w:b/>
          <w:i w:val="0"/>
          <w:color w:val="000000"/>
          <w:sz w:val="20"/>
        </w:rPr>
        <w:t>Severity: MEDIUM</w:t>
      </w:r>
    </w:p>
    <w:p>
      <w:pPr>
        <w:spacing w:before="0" w:after="80"/>
        <w:jc w:val="left"/>
      </w:pPr>
      <w:r>
        <w:rPr>
          <w:b w:val="0"/>
          <w:i w:val="0"/>
          <w:color w:val="000000"/>
          <w:sz w:val="20"/>
        </w:rPr>
        <w:t>The Intermountain Health Systems contract ($7.1M, 5.6% of revenue) expires June 30, 2025, with a 2-year renewal option requiring 120-day advance notice -- meaning the renewal decision is due by approximately February 28, 2025, coinciding with the target signing date. If the renewal is not exercised, this revenue will terminate in June 2025. The contract also requires prior written consent for assignment and 60-day advance notice for change-of-control.</w:t>
      </w:r>
    </w:p>
    <w:p>
      <w:pPr>
        <w:spacing w:before="0" w:after="160"/>
        <w:jc w:val="left"/>
      </w:pPr>
      <w:r>
        <w:rPr>
          <w:b/>
          <w:i w:val="0"/>
          <w:color w:val="000000"/>
          <w:sz w:val="20"/>
        </w:rPr>
        <w:t>Required Action: Confirm the renewal status before signing. Make renewal (or acceptable replacement revenue) a closing condition or purchase price adjustment trigger.</w:t>
      </w:r>
    </w:p>
    <w:p/>
    <w:p>
      <w:pPr>
        <w:spacing w:before="200" w:after="80"/>
        <w:jc w:val="left"/>
      </w:pPr>
      <w:r>
        <w:rPr>
          <w:b/>
          <w:i w:val="0"/>
          <w:color w:val="1F2D3D"/>
          <w:sz w:val="28"/>
          <w:u w:val="single"/>
        </w:rPr>
        <w:t>SECTION V: REAL PROPERTY &amp; PERMITTING</w:t>
      </w:r>
    </w:p>
    <w:p>
      <w:pPr>
        <w:spacing w:before="200" w:after="80"/>
        <w:jc w:val="left"/>
      </w:pPr>
      <w:r>
        <w:rPr>
          <w:b/>
          <w:i w:val="0"/>
          <w:color w:val="1F2D3D"/>
          <w:sz w:val="24"/>
        </w:rPr>
        <w:t>RF-18 | Salt Lake City Lease -- Dual Consent Failure; Potential Pre-Existing Default</w:t>
      </w:r>
    </w:p>
    <w:p>
      <w:pPr>
        <w:spacing w:before="0" w:after="80"/>
        <w:jc w:val="left"/>
      </w:pPr>
      <w:r>
        <w:rPr>
          <w:b/>
          <w:i w:val="0"/>
          <w:color w:val="C0392B"/>
          <w:sz w:val="20"/>
        </w:rPr>
        <w:t>Severity: HIGH</w:t>
      </w:r>
    </w:p>
    <w:p>
      <w:pPr>
        <w:spacing w:before="0" w:after="80"/>
        <w:jc w:val="left"/>
      </w:pPr>
      <w:r>
        <w:rPr>
          <w:b w:val="0"/>
          <w:i w:val="0"/>
          <w:color w:val="000000"/>
          <w:sz w:val="20"/>
        </w:rPr>
        <w:t>The Salt Lake City transfer station lease (2100 West North Temple) is the Company's most complex real property issue. First, RES requested landlord consent to the Pinnacle-to-RES assignment on April 12, 2022 -- as of December 2024, 32 months later, no written consent has been received. The lease explicitly requires prior written consent for any change of control of the tenant. Second, the proposed Sycamore acquisition would constitute a second change-of-control event under the lease, requiring a separate consent -- layered on top of the unresolved first. Third, in November 2024, the landlord (Wasatch Industrial Properties) sent correspondence specifically inquiring about the change of control and referencing the consent clause -- suggesting the landlord is aware of the issue and may be positioning to assert rights. The SLC facility serves approximately $16.2M of annual revenue and also operates under a permit still held in Pinnacle's name (see RF-09).</w:t>
      </w:r>
    </w:p>
    <w:p>
      <w:pPr>
        <w:spacing w:before="0" w:after="160"/>
        <w:jc w:val="left"/>
      </w:pPr>
      <w:r>
        <w:rPr>
          <w:b/>
          <w:i w:val="0"/>
          <w:color w:val="000000"/>
          <w:sz w:val="20"/>
        </w:rPr>
        <w:t>Required Action: Obtain landlord consent to both the 2022 assignment and the proposed Sycamore transaction before closing. This is a non-negotiable closing condition. Engage directly with Wasatch Industrial Properties immediately. If consent cannot be obtained, assess alternative facility options and the cost of relocating operations.</w:t>
      </w:r>
    </w:p>
    <w:p>
      <w:pPr>
        <w:spacing w:before="200" w:after="80"/>
        <w:jc w:val="left"/>
      </w:pPr>
      <w:r>
        <w:rPr>
          <w:b/>
          <w:i w:val="0"/>
          <w:color w:val="1F2D3D"/>
          <w:sz w:val="24"/>
        </w:rPr>
        <w:t>RF-19 | Pueblo Storage Yard Lease Expiring at Closing (April 30, 2025)</w:t>
      </w:r>
    </w:p>
    <w:p>
      <w:pPr>
        <w:spacing w:before="0" w:after="80"/>
        <w:jc w:val="left"/>
      </w:pPr>
      <w:r>
        <w:rPr>
          <w:b/>
          <w:i w:val="0"/>
          <w:color w:val="000000"/>
          <w:sz w:val="20"/>
        </w:rPr>
        <w:t>Severity: LOW-MEDIUM</w:t>
      </w:r>
    </w:p>
    <w:p>
      <w:pPr>
        <w:spacing w:before="0" w:after="80"/>
        <w:jc w:val="left"/>
      </w:pPr>
      <w:r>
        <w:rPr>
          <w:b w:val="0"/>
          <w:i w:val="0"/>
          <w:color w:val="000000"/>
          <w:sz w:val="20"/>
        </w:rPr>
        <w:t>The Pueblo Storage Yard lease expires April 30, 2025 -- the same date as the target closing. Renewal negotiations are underway but not complete. While this is a smaller facility used for equipment storage, failure to renew could require relocation of equipment and vehicles, incurring unbudgeted costs.</w:t>
      </w:r>
    </w:p>
    <w:p>
      <w:pPr>
        <w:spacing w:before="0" w:after="160"/>
        <w:jc w:val="left"/>
      </w:pPr>
      <w:r>
        <w:rPr>
          <w:b/>
          <w:i w:val="0"/>
          <w:color w:val="000000"/>
          <w:sz w:val="20"/>
        </w:rPr>
        <w:t>Required Action: Confirm renewal status before closing. Include lease renewal as a closing condition or obtain a representation that the facility is not material to operations.</w:t>
      </w:r>
    </w:p>
    <w:p>
      <w:pPr>
        <w:spacing w:before="200" w:after="80"/>
        <w:jc w:val="left"/>
      </w:pPr>
      <w:r>
        <w:rPr>
          <w:b/>
          <w:i w:val="0"/>
          <w:color w:val="1F2D3D"/>
          <w:sz w:val="24"/>
        </w:rPr>
        <w:t>RF-20 | Grand Junction Property Appraisal Stale (March 2022)</w:t>
      </w:r>
    </w:p>
    <w:p>
      <w:pPr>
        <w:spacing w:before="0" w:after="80"/>
        <w:jc w:val="left"/>
      </w:pPr>
      <w:r>
        <w:rPr>
          <w:b/>
          <w:i w:val="0"/>
          <w:color w:val="000000"/>
          <w:sz w:val="20"/>
        </w:rPr>
        <w:t>Severity: LOW</w:t>
      </w:r>
    </w:p>
    <w:p>
      <w:pPr>
        <w:spacing w:before="0" w:after="80"/>
        <w:jc w:val="left"/>
      </w:pPr>
      <w:r>
        <w:rPr>
          <w:b w:val="0"/>
          <w:i w:val="0"/>
          <w:color w:val="000000"/>
          <w:sz w:val="20"/>
        </w:rPr>
        <w:t>The owned Grand Junction property was last appraised at $6.8M in March 2022 -- nearly three years ago. Given the environmental contamination on the property (see RF-06), the actual market value may be materially lower than the appraised value, particularly if remediation obligations are factored in. The property secures the bank's first-priority mortgage lien.</w:t>
      </w:r>
    </w:p>
    <w:p>
      <w:pPr>
        <w:spacing w:before="0" w:after="160"/>
        <w:jc w:val="left"/>
      </w:pPr>
      <w:r>
        <w:rPr>
          <w:b/>
          <w:i w:val="0"/>
          <w:color w:val="000000"/>
          <w:sz w:val="20"/>
        </w:rPr>
        <w:t>Required Action: Commission an updated appraisal that accounts for the environmental conditions. Ensure the SPA representations regarding property value are appropriately qualified.</w:t>
      </w:r>
    </w:p>
    <w:p/>
    <w:p>
      <w:pPr>
        <w:spacing w:before="200" w:after="80"/>
        <w:jc w:val="left"/>
      </w:pPr>
      <w:r>
        <w:rPr>
          <w:b/>
          <w:i w:val="0"/>
          <w:color w:val="1F2D3D"/>
          <w:sz w:val="28"/>
          <w:u w:val="single"/>
        </w:rPr>
        <w:t>SECTION VI: HUMAN CAPITAL &amp; LABOR</w:t>
      </w:r>
    </w:p>
    <w:p>
      <w:pPr>
        <w:spacing w:before="200" w:after="80"/>
        <w:jc w:val="left"/>
      </w:pPr>
      <w:r>
        <w:rPr>
          <w:b/>
          <w:i w:val="0"/>
          <w:color w:val="1F2D3D"/>
          <w:sz w:val="24"/>
        </w:rPr>
        <w:t>RF-21 | NLRB Unionization Petition -- 62 Field Technicians (Filed November 4, 2024)</w:t>
      </w:r>
    </w:p>
    <w:p>
      <w:pPr>
        <w:spacing w:before="0" w:after="80"/>
        <w:jc w:val="left"/>
      </w:pPr>
      <w:r>
        <w:rPr>
          <w:b/>
          <w:i w:val="0"/>
          <w:color w:val="E67E22"/>
          <w:sz w:val="20"/>
        </w:rPr>
        <w:t>Severity: MEDIUM-HIGH</w:t>
      </w:r>
    </w:p>
    <w:p>
      <w:pPr>
        <w:spacing w:before="0" w:after="80"/>
        <w:jc w:val="left"/>
      </w:pPr>
      <w:r>
        <w:rPr>
          <w:b w:val="0"/>
          <w:i w:val="0"/>
          <w:color w:val="000000"/>
          <w:sz w:val="20"/>
        </w:rPr>
        <w:t>The Employee Benefits Summary discloses (in a footnote) that the International Brotherhood of Teamsters Local 455 filed an NLRB election petition on November 4, 2024 covering 62 field technicians at the Grand Junction and Casper facilities. This is a material development that is not disclosed in the CIM (which affirmatively states the workforce is entirely non-unionized) and is disclosed only in a footnote to the benefits summary, not in the litigation summary. The 62 affected employees represent approximately 13% of the total workforce and a significant portion of field operations at the two primary facilities. If the union election succeeds, it could result in: (a) increased labor costs through collective bargaining, (b) work rules that reduce operational flexibility, (c) potential strikes or work stoppages, and (d) a credit agreement Event of Default if a labor dispute lasts more than 10 business days.</w:t>
      </w:r>
    </w:p>
    <w:p>
      <w:pPr>
        <w:spacing w:before="0" w:after="160"/>
        <w:jc w:val="left"/>
      </w:pPr>
      <w:r>
        <w:rPr>
          <w:b/>
          <w:i w:val="0"/>
          <w:color w:val="000000"/>
          <w:sz w:val="20"/>
        </w:rPr>
        <w:t>Required Action: Obtain a full briefing on the NLRB petition, the Company's response strategy, and the election timeline. Assess the likelihood of a union victory and the potential cost impact of a collective bargaining agreement. The CIM's representation that the workforce is non-unionized may need to be qualified in the SPA disclosure schedules.</w:t>
      </w:r>
    </w:p>
    <w:p>
      <w:pPr>
        <w:spacing w:before="200" w:after="80"/>
        <w:jc w:val="left"/>
      </w:pPr>
      <w:r>
        <w:rPr>
          <w:b/>
          <w:i w:val="0"/>
          <w:color w:val="1F2D3D"/>
          <w:sz w:val="24"/>
        </w:rPr>
        <w:t>RF-22 | Single-Trigger Change-of-Control Severance -- $2.625M Certain at Closing</w:t>
      </w:r>
    </w:p>
    <w:p>
      <w:pPr>
        <w:spacing w:before="0" w:after="80"/>
        <w:jc w:val="left"/>
      </w:pPr>
      <w:r>
        <w:rPr>
          <w:b/>
          <w:i w:val="0"/>
          <w:color w:val="000000"/>
          <w:sz w:val="20"/>
        </w:rPr>
        <w:t>Severity: MEDIUM</w:t>
      </w:r>
    </w:p>
    <w:p>
      <w:pPr>
        <w:spacing w:before="0" w:after="80"/>
        <w:jc w:val="left"/>
      </w:pPr>
      <w:r>
        <w:rPr>
          <w:b w:val="0"/>
          <w:i w:val="0"/>
          <w:color w:val="000000"/>
          <w:sz w:val="20"/>
        </w:rPr>
        <w:t>The employment agreements for Derek Calloway (CEO) and Jason Calloway (COO) contain single-trigger change-of-control severance provisions totaling $2.625M ($1.3125M each), payable within 30 days of closing regardless of whether their employment continues. This is a certain closing cost that must be reflected in the purchase price mechanics. The LOI's definition of Transaction Expenses does not clearly address these payments, creating ambiguity about whether they reduce the purchase price or are borne by the Buyer post-closing. Additionally, the QoE Executive Compensation tab indicates all five executives have single-trigger CoC provisions, while the Employment Agreements Summary describes the CFO, VP Ops, and VP BD as having double-trigger provisions -- this inconsistency requires resolution.</w:t>
      </w:r>
    </w:p>
    <w:p>
      <w:pPr>
        <w:spacing w:before="0" w:after="160"/>
        <w:jc w:val="left"/>
      </w:pPr>
      <w:r>
        <w:rPr>
          <w:b/>
          <w:i w:val="0"/>
          <w:color w:val="000000"/>
          <w:sz w:val="20"/>
        </w:rPr>
        <w:t>Required Action: Confirm the trigger structure for all five executives. Ensure the SPA explicitly addresses the treatment of CoC severance payments in the purchase price mechanics. Budget $2.625M as a certain closing cost and up to $1.15M as a contingent post-closing cost.</w:t>
      </w:r>
    </w:p>
    <w:p/>
    <w:p>
      <w:pPr>
        <w:spacing w:before="200" w:after="80"/>
        <w:jc w:val="left"/>
      </w:pPr>
      <w:r>
        <w:rPr>
          <w:b/>
          <w:i w:val="0"/>
          <w:color w:val="1F2D3D"/>
          <w:sz w:val="28"/>
          <w:u w:val="single"/>
        </w:rPr>
        <w:t>SECTION VII: INSURANCE &amp; LIABILITY</w:t>
      </w:r>
    </w:p>
    <w:p>
      <w:pPr>
        <w:spacing w:before="200" w:after="80"/>
        <w:jc w:val="left"/>
      </w:pPr>
      <w:r>
        <w:rPr>
          <w:b/>
          <w:i w:val="0"/>
          <w:color w:val="1F2D3D"/>
          <w:sz w:val="24"/>
        </w:rPr>
        <w:t>RF-23 | Ramirez Personal Injury Claim -- Coverage Reservation of Rights</w:t>
      </w:r>
    </w:p>
    <w:p>
      <w:pPr>
        <w:spacing w:before="0" w:after="80"/>
        <w:jc w:val="left"/>
      </w:pPr>
      <w:r>
        <w:rPr>
          <w:b/>
          <w:i w:val="0"/>
          <w:color w:val="000000"/>
          <w:sz w:val="20"/>
        </w:rPr>
        <w:t>Severity: MEDIUM</w:t>
      </w:r>
    </w:p>
    <w:p>
      <w:pPr>
        <w:spacing w:before="0" w:after="80"/>
        <w:jc w:val="left"/>
      </w:pPr>
      <w:r>
        <w:rPr>
          <w:b w:val="0"/>
          <w:i w:val="0"/>
          <w:color w:val="000000"/>
          <w:sz w:val="20"/>
        </w:rPr>
        <w:t>The Ramirez v. RES personal injury action (D. Wyo., Case No. 2:24-cv-00187) seeks $4.8M for alleged VOC and heavy metal exposure at a Sheridan, Wyoming remediation site. The insurer (Frontier Specialty) has issued a reservation of rights letter dated September 19, 2024, meaning coverage is not confirmed. If the claim falls under the pollution liability policy's gradual contamination exclusion (which excludes conditions not discovered and reported within 72 hours), coverage could be denied entirely. Management's estimated exposure of $500K-$1.5M assumes coverage; the uninsured exposure could be the full $4.8M claimed. No accrual has been recorded.</w:t>
      </w:r>
    </w:p>
    <w:p>
      <w:pPr>
        <w:spacing w:before="0" w:after="160"/>
        <w:jc w:val="left"/>
      </w:pPr>
      <w:r>
        <w:rPr>
          <w:b/>
          <w:i w:val="0"/>
          <w:color w:val="000000"/>
          <w:sz w:val="20"/>
        </w:rPr>
        <w:t>Required Action: Obtain the reservation of rights letter and assess the coverage position. Ensure the SPA indemnification framework covers the full uninsured exposure. Consider requiring a reserve or escrow.</w:t>
      </w:r>
    </w:p>
    <w:p/>
    <w:p>
      <w:pPr>
        <w:spacing w:before="200" w:after="80"/>
        <w:jc w:val="left"/>
      </w:pPr>
      <w:r>
        <w:rPr>
          <w:b/>
          <w:i w:val="0"/>
          <w:color w:val="1F2D3D"/>
          <w:sz w:val="28"/>
          <w:u w:val="single"/>
        </w:rPr>
        <w:t>SUMMARY RISK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2D3D"/>
          </w:tcPr>
          <w:p>
            <w:pPr>
              <w:spacing w:before="60" w:after="60"/>
              <w:jc w:val="center"/>
            </w:pPr>
            <w:r>
              <w:rPr>
                <w:b/>
                <w:color w:val="FFFFFF"/>
                <w:sz w:val="18"/>
              </w:rPr>
              <w:t>RF #</w:t>
            </w:r>
          </w:p>
        </w:tc>
        <w:tc>
          <w:tcPr>
            <w:tcW w:type="dxa" w:w="1728"/>
            <w:shd w:val="clear" w:color="auto" w:fill="1F2D3D"/>
          </w:tcPr>
          <w:p>
            <w:pPr>
              <w:spacing w:before="60" w:after="60"/>
              <w:jc w:val="center"/>
            </w:pPr>
            <w:r>
              <w:rPr>
                <w:b/>
                <w:color w:val="FFFFFF"/>
                <w:sz w:val="18"/>
              </w:rPr>
              <w:t>Category</w:t>
            </w:r>
          </w:p>
        </w:tc>
        <w:tc>
          <w:tcPr>
            <w:tcW w:type="dxa" w:w="1728"/>
            <w:shd w:val="clear" w:color="auto" w:fill="1F2D3D"/>
          </w:tcPr>
          <w:p>
            <w:pPr>
              <w:spacing w:before="60" w:after="60"/>
              <w:jc w:val="center"/>
            </w:pPr>
            <w:r>
              <w:rPr>
                <w:b/>
                <w:color w:val="FFFFFF"/>
                <w:sz w:val="18"/>
              </w:rPr>
              <w:t>Red Flag Title</w:t>
            </w:r>
          </w:p>
        </w:tc>
        <w:tc>
          <w:tcPr>
            <w:tcW w:type="dxa" w:w="1728"/>
            <w:shd w:val="clear" w:color="auto" w:fill="1F2D3D"/>
          </w:tcPr>
          <w:p>
            <w:pPr>
              <w:spacing w:before="60" w:after="60"/>
              <w:jc w:val="center"/>
            </w:pPr>
            <w:r>
              <w:rPr>
                <w:b/>
                <w:color w:val="FFFFFF"/>
                <w:sz w:val="18"/>
              </w:rPr>
              <w:t>Severity</w:t>
            </w:r>
          </w:p>
        </w:tc>
        <w:tc>
          <w:tcPr>
            <w:tcW w:type="dxa" w:w="1728"/>
            <w:shd w:val="clear" w:color="auto" w:fill="1F2D3D"/>
          </w:tcPr>
          <w:p>
            <w:pPr>
              <w:spacing w:before="60" w:after="60"/>
              <w:jc w:val="center"/>
            </w:pPr>
            <w:r>
              <w:rPr>
                <w:b/>
                <w:color w:val="FFFFFF"/>
                <w:sz w:val="18"/>
              </w:rPr>
              <w:t>Est. Financial Exposure</w:t>
            </w:r>
          </w:p>
        </w:tc>
      </w:tr>
      <w:tr>
        <w:tc>
          <w:tcPr>
            <w:tcW w:type="dxa" w:w="1728"/>
            <w:shd w:val="clear" w:color="auto" w:fill="F5F5F5"/>
          </w:tcPr>
          <w:p>
            <w:pPr>
              <w:spacing w:before="40" w:after="40"/>
            </w:pPr>
            <w:r>
              <w:rPr>
                <w:color w:val="1F2D3D"/>
                <w:sz w:val="17"/>
              </w:rPr>
              <w:t>RF-14</w:t>
            </w:r>
          </w:p>
        </w:tc>
        <w:tc>
          <w:tcPr>
            <w:tcW w:type="dxa" w:w="1728"/>
            <w:shd w:val="clear" w:color="auto" w:fill="F5F5F5"/>
          </w:tcPr>
          <w:p>
            <w:pPr>
              <w:spacing w:before="40" w:after="40"/>
            </w:pPr>
            <w:r>
              <w:rPr>
                <w:color w:val="1F2D3D"/>
                <w:sz w:val="17"/>
              </w:rPr>
              <w:t>Customer / Contract</w:t>
            </w:r>
          </w:p>
        </w:tc>
        <w:tc>
          <w:tcPr>
            <w:tcW w:type="dxa" w:w="1728"/>
            <w:shd w:val="clear" w:color="auto" w:fill="F5F5F5"/>
          </w:tcPr>
          <w:p>
            <w:pPr>
              <w:spacing w:before="40" w:after="40"/>
            </w:pPr>
            <w:r>
              <w:rPr>
                <w:color w:val="1F2D3D"/>
                <w:sz w:val="17"/>
              </w:rPr>
              <w:t>DOE IDIQ Ceiling Exhaustion</w:t>
            </w:r>
          </w:p>
        </w:tc>
        <w:tc>
          <w:tcPr>
            <w:tcW w:type="dxa" w:w="1728"/>
            <w:shd w:val="clear" w:color="auto" w:fill="C0392B"/>
          </w:tcPr>
          <w:p>
            <w:pPr>
              <w:spacing w:before="40" w:after="40"/>
              <w:jc w:val="center"/>
            </w:pPr>
            <w:r>
              <w:rPr>
                <w:b/>
                <w:color w:val="FFFFFF"/>
                <w:sz w:val="17"/>
              </w:rPr>
              <w:t>CRITICAL</w:t>
            </w:r>
          </w:p>
        </w:tc>
        <w:tc>
          <w:tcPr>
            <w:tcW w:type="dxa" w:w="1728"/>
            <w:shd w:val="clear" w:color="auto" w:fill="F5F5F5"/>
          </w:tcPr>
          <w:p>
            <w:pPr>
              <w:spacing w:before="40" w:after="40"/>
            </w:pPr>
            <w:r>
              <w:rPr>
                <w:color w:val="1F2D3D"/>
                <w:sz w:val="17"/>
              </w:rPr>
              <w:t>$12.1M revenue headwind; $15-25M EV impact</w:t>
            </w:r>
          </w:p>
        </w:tc>
      </w:tr>
      <w:tr>
        <w:tc>
          <w:tcPr>
            <w:tcW w:type="dxa" w:w="1728"/>
            <w:shd w:val="clear" w:color="auto" w:fill="FFFFFF"/>
          </w:tcPr>
          <w:p>
            <w:pPr>
              <w:spacing w:before="40" w:after="40"/>
            </w:pPr>
            <w:r>
              <w:rPr>
                <w:color w:val="1F2D3D"/>
                <w:sz w:val="17"/>
              </w:rPr>
              <w:t>RF-01</w:t>
            </w:r>
          </w:p>
        </w:tc>
        <w:tc>
          <w:tcPr>
            <w:tcW w:type="dxa" w:w="1728"/>
            <w:shd w:val="clear" w:color="auto" w:fill="FFFFFF"/>
          </w:tcPr>
          <w:p>
            <w:pPr>
              <w:spacing w:before="40" w:after="40"/>
            </w:pPr>
            <w:r>
              <w:rPr>
                <w:color w:val="1F2D3D"/>
                <w:sz w:val="17"/>
              </w:rPr>
              <w:t>Financial / QoE</w:t>
            </w:r>
          </w:p>
        </w:tc>
        <w:tc>
          <w:tcPr>
            <w:tcW w:type="dxa" w:w="1728"/>
            <w:shd w:val="clear" w:color="auto" w:fill="FFFFFF"/>
          </w:tcPr>
          <w:p>
            <w:pPr>
              <w:spacing w:before="40" w:after="40"/>
            </w:pPr>
            <w:r>
              <w:rPr>
                <w:color w:val="1F2D3D"/>
                <w:sz w:val="17"/>
              </w:rPr>
              <w:t>EBITDA Discrepancy ($1.0M gap)</w:t>
            </w:r>
          </w:p>
        </w:tc>
        <w:tc>
          <w:tcPr>
            <w:tcW w:type="dxa" w:w="1728"/>
            <w:shd w:val="clear" w:color="auto" w:fill="E74C3C"/>
          </w:tcPr>
          <w:p>
            <w:pPr>
              <w:spacing w:before="40" w:after="40"/>
              <w:jc w:val="center"/>
            </w:pPr>
            <w:r>
              <w:rPr>
                <w:b/>
                <w:color w:val="FFFFFF"/>
                <w:sz w:val="17"/>
              </w:rPr>
              <w:t>HIGH</w:t>
            </w:r>
          </w:p>
        </w:tc>
        <w:tc>
          <w:tcPr>
            <w:tcW w:type="dxa" w:w="1728"/>
            <w:shd w:val="clear" w:color="auto" w:fill="FFFFFF"/>
          </w:tcPr>
          <w:p>
            <w:pPr>
              <w:spacing w:before="40" w:after="40"/>
            </w:pPr>
            <w:r>
              <w:rPr>
                <w:color w:val="1F2D3D"/>
                <w:sz w:val="17"/>
              </w:rPr>
              <w:t>$8-9M enterprise value impact</w:t>
            </w:r>
          </w:p>
        </w:tc>
      </w:tr>
      <w:tr>
        <w:tc>
          <w:tcPr>
            <w:tcW w:type="dxa" w:w="1728"/>
            <w:shd w:val="clear" w:color="auto" w:fill="F5F5F5"/>
          </w:tcPr>
          <w:p>
            <w:pPr>
              <w:spacing w:before="40" w:after="40"/>
            </w:pPr>
            <w:r>
              <w:rPr>
                <w:color w:val="1F2D3D"/>
                <w:sz w:val="17"/>
              </w:rPr>
              <w:t>RF-02</w:t>
            </w:r>
          </w:p>
        </w:tc>
        <w:tc>
          <w:tcPr>
            <w:tcW w:type="dxa" w:w="1728"/>
            <w:shd w:val="clear" w:color="auto" w:fill="F5F5F5"/>
          </w:tcPr>
          <w:p>
            <w:pPr>
              <w:spacing w:before="40" w:after="40"/>
            </w:pPr>
            <w:r>
              <w:rPr>
                <w:color w:val="1F2D3D"/>
                <w:sz w:val="17"/>
              </w:rPr>
              <w:t>Financial / QoE</w:t>
            </w:r>
          </w:p>
        </w:tc>
        <w:tc>
          <w:tcPr>
            <w:tcW w:type="dxa" w:w="1728"/>
            <w:shd w:val="clear" w:color="auto" w:fill="F5F5F5"/>
          </w:tcPr>
          <w:p>
            <w:pPr>
              <w:spacing w:before="40" w:after="40"/>
            </w:pPr>
            <w:r>
              <w:rPr>
                <w:color w:val="1F2D3D"/>
                <w:sz w:val="17"/>
              </w:rPr>
              <w:t>Aggressive EBITDA Add-Backs ($5.4M)</w:t>
            </w:r>
          </w:p>
        </w:tc>
        <w:tc>
          <w:tcPr>
            <w:tcW w:type="dxa" w:w="1728"/>
            <w:shd w:val="clear" w:color="auto" w:fill="E74C3C"/>
          </w:tcPr>
          <w:p>
            <w:pPr>
              <w:spacing w:before="40" w:after="40"/>
              <w:jc w:val="center"/>
            </w:pPr>
            <w:r>
              <w:rPr>
                <w:b/>
                <w:color w:val="FFFFFF"/>
                <w:sz w:val="17"/>
              </w:rPr>
              <w:t>HIGH</w:t>
            </w:r>
          </w:p>
        </w:tc>
        <w:tc>
          <w:tcPr>
            <w:tcW w:type="dxa" w:w="1728"/>
            <w:shd w:val="clear" w:color="auto" w:fill="F5F5F5"/>
          </w:tcPr>
          <w:p>
            <w:pPr>
              <w:spacing w:before="40" w:after="40"/>
            </w:pPr>
            <w:r>
              <w:rPr>
                <w:color w:val="1F2D3D"/>
                <w:sz w:val="17"/>
              </w:rPr>
              <w:t>$5.4M EBITDA at risk</w:t>
            </w:r>
          </w:p>
        </w:tc>
      </w:tr>
      <w:tr>
        <w:tc>
          <w:tcPr>
            <w:tcW w:type="dxa" w:w="1728"/>
            <w:shd w:val="clear" w:color="auto" w:fill="FFFFFF"/>
          </w:tcPr>
          <w:p>
            <w:pPr>
              <w:spacing w:before="40" w:after="40"/>
            </w:pPr>
            <w:r>
              <w:rPr>
                <w:color w:val="1F2D3D"/>
                <w:sz w:val="17"/>
              </w:rPr>
              <w:t>RF-06</w:t>
            </w:r>
          </w:p>
        </w:tc>
        <w:tc>
          <w:tcPr>
            <w:tcW w:type="dxa" w:w="1728"/>
            <w:shd w:val="clear" w:color="auto" w:fill="FFFFFF"/>
          </w:tcPr>
          <w:p>
            <w:pPr>
              <w:spacing w:before="40" w:after="40"/>
            </w:pPr>
            <w:r>
              <w:rPr>
                <w:color w:val="1F2D3D"/>
                <w:sz w:val="17"/>
              </w:rPr>
              <w:t>Environmental</w:t>
            </w:r>
          </w:p>
        </w:tc>
        <w:tc>
          <w:tcPr>
            <w:tcW w:type="dxa" w:w="1728"/>
            <w:shd w:val="clear" w:color="auto" w:fill="FFFFFF"/>
          </w:tcPr>
          <w:p>
            <w:pPr>
              <w:spacing w:before="40" w:after="40"/>
            </w:pPr>
            <w:r>
              <w:rPr>
                <w:color w:val="1F2D3D"/>
                <w:sz w:val="17"/>
              </w:rPr>
              <w:t>Stale Phase II ESA -- Unresolved Contamination</w:t>
            </w:r>
          </w:p>
        </w:tc>
        <w:tc>
          <w:tcPr>
            <w:tcW w:type="dxa" w:w="1728"/>
            <w:shd w:val="clear" w:color="auto" w:fill="E74C3C"/>
          </w:tcPr>
          <w:p>
            <w:pPr>
              <w:spacing w:before="40" w:after="40"/>
              <w:jc w:val="center"/>
            </w:pPr>
            <w:r>
              <w:rPr>
                <w:b/>
                <w:color w:val="FFFFFF"/>
                <w:sz w:val="17"/>
              </w:rPr>
              <w:t>HIGH</w:t>
            </w:r>
          </w:p>
        </w:tc>
        <w:tc>
          <w:tcPr>
            <w:tcW w:type="dxa" w:w="1728"/>
            <w:shd w:val="clear" w:color="auto" w:fill="FFFFFF"/>
          </w:tcPr>
          <w:p>
            <w:pPr>
              <w:spacing w:before="40" w:after="40"/>
            </w:pPr>
            <w:r>
              <w:rPr>
                <w:color w:val="1F2D3D"/>
                <w:sz w:val="17"/>
              </w:rPr>
              <w:t>$2.6M-$10M+ (updated estimate needed)</w:t>
            </w:r>
          </w:p>
        </w:tc>
      </w:tr>
      <w:tr>
        <w:tc>
          <w:tcPr>
            <w:tcW w:type="dxa" w:w="1728"/>
            <w:shd w:val="clear" w:color="auto" w:fill="F5F5F5"/>
          </w:tcPr>
          <w:p>
            <w:pPr>
              <w:spacing w:before="40" w:after="40"/>
            </w:pPr>
            <w:r>
              <w:rPr>
                <w:color w:val="1F2D3D"/>
                <w:sz w:val="17"/>
              </w:rPr>
              <w:t>RF-11</w:t>
            </w:r>
          </w:p>
        </w:tc>
        <w:tc>
          <w:tcPr>
            <w:tcW w:type="dxa" w:w="1728"/>
            <w:shd w:val="clear" w:color="auto" w:fill="F5F5F5"/>
          </w:tcPr>
          <w:p>
            <w:pPr>
              <w:spacing w:before="40" w:after="40"/>
            </w:pPr>
            <w:r>
              <w:rPr>
                <w:color w:val="1F2D3D"/>
                <w:sz w:val="17"/>
              </w:rPr>
              <w:t>Debt / CoC</w:t>
            </w:r>
          </w:p>
        </w:tc>
        <w:tc>
          <w:tcPr>
            <w:tcW w:type="dxa" w:w="1728"/>
            <w:shd w:val="clear" w:color="auto" w:fill="F5F5F5"/>
          </w:tcPr>
          <w:p>
            <w:pPr>
              <w:spacing w:before="40" w:after="40"/>
            </w:pPr>
            <w:r>
              <w:rPr>
                <w:color w:val="1F2D3D"/>
                <w:sz w:val="17"/>
              </w:rPr>
              <w:t>Credit Agreement Mandatory Prepayment</w:t>
            </w:r>
          </w:p>
        </w:tc>
        <w:tc>
          <w:tcPr>
            <w:tcW w:type="dxa" w:w="1728"/>
            <w:shd w:val="clear" w:color="auto" w:fill="E74C3C"/>
          </w:tcPr>
          <w:p>
            <w:pPr>
              <w:spacing w:before="40" w:after="40"/>
              <w:jc w:val="center"/>
            </w:pPr>
            <w:r>
              <w:rPr>
                <w:b/>
                <w:color w:val="FFFFFF"/>
                <w:sz w:val="17"/>
              </w:rPr>
              <w:t>HIGH</w:t>
            </w:r>
          </w:p>
        </w:tc>
        <w:tc>
          <w:tcPr>
            <w:tcW w:type="dxa" w:w="1728"/>
            <w:shd w:val="clear" w:color="auto" w:fill="F5F5F5"/>
          </w:tcPr>
          <w:p>
            <w:pPr>
              <w:spacing w:before="40" w:after="40"/>
            </w:pPr>
            <w:r>
              <w:rPr>
                <w:color w:val="1F2D3D"/>
                <w:sz w:val="17"/>
              </w:rPr>
              <w:t>$39.2-39.3M (known closing cost)</w:t>
            </w:r>
          </w:p>
        </w:tc>
      </w:tr>
      <w:tr>
        <w:tc>
          <w:tcPr>
            <w:tcW w:type="dxa" w:w="1728"/>
            <w:shd w:val="clear" w:color="auto" w:fill="FFFFFF"/>
          </w:tcPr>
          <w:p>
            <w:pPr>
              <w:spacing w:before="40" w:after="40"/>
            </w:pPr>
            <w:r>
              <w:rPr>
                <w:color w:val="1F2D3D"/>
                <w:sz w:val="17"/>
              </w:rPr>
              <w:t>RF-18</w:t>
            </w:r>
          </w:p>
        </w:tc>
        <w:tc>
          <w:tcPr>
            <w:tcW w:type="dxa" w:w="1728"/>
            <w:shd w:val="clear" w:color="auto" w:fill="FFFFFF"/>
          </w:tcPr>
          <w:p>
            <w:pPr>
              <w:spacing w:before="40" w:after="40"/>
            </w:pPr>
            <w:r>
              <w:rPr>
                <w:color w:val="1F2D3D"/>
                <w:sz w:val="17"/>
              </w:rPr>
              <w:t>Real Property</w:t>
            </w:r>
          </w:p>
        </w:tc>
        <w:tc>
          <w:tcPr>
            <w:tcW w:type="dxa" w:w="1728"/>
            <w:shd w:val="clear" w:color="auto" w:fill="FFFFFF"/>
          </w:tcPr>
          <w:p>
            <w:pPr>
              <w:spacing w:before="40" w:after="40"/>
            </w:pPr>
            <w:r>
              <w:rPr>
                <w:color w:val="1F2D3D"/>
                <w:sz w:val="17"/>
              </w:rPr>
              <w:t>SLC Lease -- Dual Consent Failure</w:t>
            </w:r>
          </w:p>
        </w:tc>
        <w:tc>
          <w:tcPr>
            <w:tcW w:type="dxa" w:w="1728"/>
            <w:shd w:val="clear" w:color="auto" w:fill="E74C3C"/>
          </w:tcPr>
          <w:p>
            <w:pPr>
              <w:spacing w:before="40" w:after="40"/>
              <w:jc w:val="center"/>
            </w:pPr>
            <w:r>
              <w:rPr>
                <w:b/>
                <w:color w:val="FFFFFF"/>
                <w:sz w:val="17"/>
              </w:rPr>
              <w:t>HIGH</w:t>
            </w:r>
          </w:p>
        </w:tc>
        <w:tc>
          <w:tcPr>
            <w:tcW w:type="dxa" w:w="1728"/>
            <w:shd w:val="clear" w:color="auto" w:fill="FFFFFF"/>
          </w:tcPr>
          <w:p>
            <w:pPr>
              <w:spacing w:before="40" w:after="40"/>
            </w:pPr>
            <w:r>
              <w:rPr>
                <w:color w:val="1F2D3D"/>
                <w:sz w:val="17"/>
              </w:rPr>
              <w:t>$16.2M revenue at risk</w:t>
            </w:r>
          </w:p>
        </w:tc>
      </w:tr>
      <w:tr>
        <w:tc>
          <w:tcPr>
            <w:tcW w:type="dxa" w:w="1728"/>
            <w:shd w:val="clear" w:color="auto" w:fill="F5F5F5"/>
          </w:tcPr>
          <w:p>
            <w:pPr>
              <w:spacing w:before="40" w:after="40"/>
            </w:pPr>
            <w:r>
              <w:rPr>
                <w:color w:val="1F2D3D"/>
                <w:sz w:val="17"/>
              </w:rPr>
              <w:t>RF-03</w:t>
            </w:r>
          </w:p>
        </w:tc>
        <w:tc>
          <w:tcPr>
            <w:tcW w:type="dxa" w:w="1728"/>
            <w:shd w:val="clear" w:color="auto" w:fill="F5F5F5"/>
          </w:tcPr>
          <w:p>
            <w:pPr>
              <w:spacing w:before="40" w:after="40"/>
            </w:pPr>
            <w:r>
              <w:rPr>
                <w:color w:val="1F2D3D"/>
                <w:sz w:val="17"/>
              </w:rPr>
              <w:t>Financial / QoE</w:t>
            </w:r>
          </w:p>
        </w:tc>
        <w:tc>
          <w:tcPr>
            <w:tcW w:type="dxa" w:w="1728"/>
            <w:shd w:val="clear" w:color="auto" w:fill="F5F5F5"/>
          </w:tcPr>
          <w:p>
            <w:pPr>
              <w:spacing w:before="40" w:after="40"/>
            </w:pPr>
            <w:r>
              <w:rPr>
                <w:color w:val="1F2D3D"/>
                <w:sz w:val="17"/>
              </w:rPr>
              <w:t>Reported EBITDA Decline 27% YoY</w:t>
            </w:r>
          </w:p>
        </w:tc>
        <w:tc>
          <w:tcPr>
            <w:tcW w:type="dxa" w:w="1728"/>
            <w:shd w:val="clear" w:color="auto" w:fill="E67E22"/>
          </w:tcPr>
          <w:p>
            <w:pPr>
              <w:spacing w:before="40" w:after="40"/>
              <w:jc w:val="center"/>
            </w:pPr>
            <w:r>
              <w:rPr>
                <w:b/>
                <w:color w:val="FFFFFF"/>
                <w:sz w:val="17"/>
              </w:rPr>
              <w:t>MEDIUM-HIGH</w:t>
            </w:r>
          </w:p>
        </w:tc>
        <w:tc>
          <w:tcPr>
            <w:tcW w:type="dxa" w:w="1728"/>
            <w:shd w:val="clear" w:color="auto" w:fill="F5F5F5"/>
          </w:tcPr>
          <w:p>
            <w:pPr>
              <w:spacing w:before="40" w:after="40"/>
            </w:pPr>
            <w:r>
              <w:rPr>
                <w:color w:val="1F2D3D"/>
                <w:sz w:val="17"/>
              </w:rPr>
              <w:t>Structural margin risk</w:t>
            </w:r>
          </w:p>
        </w:tc>
      </w:tr>
      <w:tr>
        <w:tc>
          <w:tcPr>
            <w:tcW w:type="dxa" w:w="1728"/>
            <w:shd w:val="clear" w:color="auto" w:fill="FFFFFF"/>
          </w:tcPr>
          <w:p>
            <w:pPr>
              <w:spacing w:before="40" w:after="40"/>
            </w:pPr>
            <w:r>
              <w:rPr>
                <w:color w:val="1F2D3D"/>
                <w:sz w:val="17"/>
              </w:rPr>
              <w:t>RF-04</w:t>
            </w:r>
          </w:p>
        </w:tc>
        <w:tc>
          <w:tcPr>
            <w:tcW w:type="dxa" w:w="1728"/>
            <w:shd w:val="clear" w:color="auto" w:fill="FFFFFF"/>
          </w:tcPr>
          <w:p>
            <w:pPr>
              <w:spacing w:before="40" w:after="40"/>
            </w:pPr>
            <w:r>
              <w:rPr>
                <w:color w:val="1F2D3D"/>
                <w:sz w:val="17"/>
              </w:rPr>
              <w:t>Financial / QoE</w:t>
            </w:r>
          </w:p>
        </w:tc>
        <w:tc>
          <w:tcPr>
            <w:tcW w:type="dxa" w:w="1728"/>
            <w:shd w:val="clear" w:color="auto" w:fill="FFFFFF"/>
          </w:tcPr>
          <w:p>
            <w:pPr>
              <w:spacing w:before="40" w:after="40"/>
            </w:pPr>
            <w:r>
              <w:rPr>
                <w:color w:val="1F2D3D"/>
                <w:sz w:val="17"/>
              </w:rPr>
              <w:t>Fleet Capex Backlog ($9.8M)</w:t>
            </w:r>
          </w:p>
        </w:tc>
        <w:tc>
          <w:tcPr>
            <w:tcW w:type="dxa" w:w="1728"/>
            <w:shd w:val="clear" w:color="auto" w:fill="E67E22"/>
          </w:tcPr>
          <w:p>
            <w:pPr>
              <w:spacing w:before="40" w:after="40"/>
              <w:jc w:val="center"/>
            </w:pPr>
            <w:r>
              <w:rPr>
                <w:b/>
                <w:color w:val="FFFFFF"/>
                <w:sz w:val="17"/>
              </w:rPr>
              <w:t>MEDIUM-HIGH</w:t>
            </w:r>
          </w:p>
        </w:tc>
        <w:tc>
          <w:tcPr>
            <w:tcW w:type="dxa" w:w="1728"/>
            <w:shd w:val="clear" w:color="auto" w:fill="FFFFFF"/>
          </w:tcPr>
          <w:p>
            <w:pPr>
              <w:spacing w:before="40" w:after="40"/>
            </w:pPr>
            <w:r>
              <w:rPr>
                <w:color w:val="1F2D3D"/>
                <w:sz w:val="17"/>
              </w:rPr>
              <w:t>$3M+/yr normalized capex understatement</w:t>
            </w:r>
          </w:p>
        </w:tc>
      </w:tr>
      <w:tr>
        <w:tc>
          <w:tcPr>
            <w:tcW w:type="dxa" w:w="1728"/>
            <w:shd w:val="clear" w:color="auto" w:fill="F5F5F5"/>
          </w:tcPr>
          <w:p>
            <w:pPr>
              <w:spacing w:before="40" w:after="40"/>
            </w:pPr>
            <w:r>
              <w:rPr>
                <w:color w:val="1F2D3D"/>
                <w:sz w:val="17"/>
              </w:rPr>
              <w:t>RF-07</w:t>
            </w:r>
          </w:p>
        </w:tc>
        <w:tc>
          <w:tcPr>
            <w:tcW w:type="dxa" w:w="1728"/>
            <w:shd w:val="clear" w:color="auto" w:fill="F5F5F5"/>
          </w:tcPr>
          <w:p>
            <w:pPr>
              <w:spacing w:before="40" w:after="40"/>
            </w:pPr>
            <w:r>
              <w:rPr>
                <w:color w:val="1F2D3D"/>
                <w:sz w:val="17"/>
              </w:rPr>
              <w:t>Environmental</w:t>
            </w:r>
          </w:p>
        </w:tc>
        <w:tc>
          <w:tcPr>
            <w:tcW w:type="dxa" w:w="1728"/>
            <w:shd w:val="clear" w:color="auto" w:fill="F5F5F5"/>
          </w:tcPr>
          <w:p>
            <w:pPr>
              <w:spacing w:before="40" w:after="40"/>
            </w:pPr>
            <w:r>
              <w:rPr>
                <w:color w:val="1F2D3D"/>
                <w:sz w:val="17"/>
              </w:rPr>
              <w:t>Active CDPHE RCRA Enforcement Action</w:t>
            </w:r>
          </w:p>
        </w:tc>
        <w:tc>
          <w:tcPr>
            <w:tcW w:type="dxa" w:w="1728"/>
            <w:shd w:val="clear" w:color="auto" w:fill="E67E22"/>
          </w:tcPr>
          <w:p>
            <w:pPr>
              <w:spacing w:before="40" w:after="40"/>
              <w:jc w:val="center"/>
            </w:pPr>
            <w:r>
              <w:rPr>
                <w:b/>
                <w:color w:val="FFFFFF"/>
                <w:sz w:val="17"/>
              </w:rPr>
              <w:t>MEDIUM-HIGH</w:t>
            </w:r>
          </w:p>
        </w:tc>
        <w:tc>
          <w:tcPr>
            <w:tcW w:type="dxa" w:w="1728"/>
            <w:shd w:val="clear" w:color="auto" w:fill="F5F5F5"/>
          </w:tcPr>
          <w:p>
            <w:pPr>
              <w:spacing w:before="40" w:after="40"/>
            </w:pPr>
            <w:r>
              <w:rPr>
                <w:color w:val="1F2D3D"/>
                <w:sz w:val="17"/>
              </w:rPr>
              <w:t>$200K-$1.16M penalty</w:t>
            </w:r>
          </w:p>
        </w:tc>
      </w:tr>
      <w:tr>
        <w:tc>
          <w:tcPr>
            <w:tcW w:type="dxa" w:w="1728"/>
            <w:shd w:val="clear" w:color="auto" w:fill="FFFFFF"/>
          </w:tcPr>
          <w:p>
            <w:pPr>
              <w:spacing w:before="40" w:after="40"/>
            </w:pPr>
            <w:r>
              <w:rPr>
                <w:color w:val="1F2D3D"/>
                <w:sz w:val="17"/>
              </w:rPr>
              <w:t>RF-09</w:t>
            </w:r>
          </w:p>
        </w:tc>
        <w:tc>
          <w:tcPr>
            <w:tcW w:type="dxa" w:w="1728"/>
            <w:shd w:val="clear" w:color="auto" w:fill="FFFFFF"/>
          </w:tcPr>
          <w:p>
            <w:pPr>
              <w:spacing w:before="40" w:after="40"/>
            </w:pPr>
            <w:r>
              <w:rPr>
                <w:color w:val="1F2D3D"/>
                <w:sz w:val="17"/>
              </w:rPr>
              <w:t>Environmental</w:t>
            </w:r>
          </w:p>
        </w:tc>
        <w:tc>
          <w:tcPr>
            <w:tcW w:type="dxa" w:w="1728"/>
            <w:shd w:val="clear" w:color="auto" w:fill="FFFFFF"/>
          </w:tcPr>
          <w:p>
            <w:pPr>
              <w:spacing w:before="40" w:after="40"/>
            </w:pPr>
            <w:r>
              <w:rPr>
                <w:color w:val="1F2D3D"/>
                <w:sz w:val="17"/>
              </w:rPr>
              <w:t>Utah SLC Permit in Pinnacle's Name</w:t>
            </w:r>
          </w:p>
        </w:tc>
        <w:tc>
          <w:tcPr>
            <w:tcW w:type="dxa" w:w="1728"/>
            <w:shd w:val="clear" w:color="auto" w:fill="E67E22"/>
          </w:tcPr>
          <w:p>
            <w:pPr>
              <w:spacing w:before="40" w:after="40"/>
              <w:jc w:val="center"/>
            </w:pPr>
            <w:r>
              <w:rPr>
                <w:b/>
                <w:color w:val="FFFFFF"/>
                <w:sz w:val="17"/>
              </w:rPr>
              <w:t>MEDIUM-HIGH</w:t>
            </w:r>
          </w:p>
        </w:tc>
        <w:tc>
          <w:tcPr>
            <w:tcW w:type="dxa" w:w="1728"/>
            <w:shd w:val="clear" w:color="auto" w:fill="FFFFFF"/>
          </w:tcPr>
          <w:p>
            <w:pPr>
              <w:spacing w:before="40" w:after="40"/>
            </w:pPr>
            <w:r>
              <w:rPr>
                <w:color w:val="1F2D3D"/>
                <w:sz w:val="17"/>
              </w:rPr>
              <w:t>Regulatory/operational risk</w:t>
            </w:r>
          </w:p>
        </w:tc>
      </w:tr>
      <w:tr>
        <w:tc>
          <w:tcPr>
            <w:tcW w:type="dxa" w:w="1728"/>
            <w:shd w:val="clear" w:color="auto" w:fill="F5F5F5"/>
          </w:tcPr>
          <w:p>
            <w:pPr>
              <w:spacing w:before="40" w:after="40"/>
            </w:pPr>
            <w:r>
              <w:rPr>
                <w:color w:val="1F2D3D"/>
                <w:sz w:val="17"/>
              </w:rPr>
              <w:t>RF-12</w:t>
            </w:r>
          </w:p>
        </w:tc>
        <w:tc>
          <w:tcPr>
            <w:tcW w:type="dxa" w:w="1728"/>
            <w:shd w:val="clear" w:color="auto" w:fill="F5F5F5"/>
          </w:tcPr>
          <w:p>
            <w:pPr>
              <w:spacing w:before="40" w:after="40"/>
            </w:pPr>
            <w:r>
              <w:rPr>
                <w:color w:val="1F2D3D"/>
                <w:sz w:val="17"/>
              </w:rPr>
              <w:t>Debt / CoC</w:t>
            </w:r>
          </w:p>
        </w:tc>
        <w:tc>
          <w:tcPr>
            <w:tcW w:type="dxa" w:w="1728"/>
            <w:shd w:val="clear" w:color="auto" w:fill="F5F5F5"/>
          </w:tcPr>
          <w:p>
            <w:pPr>
              <w:spacing w:before="40" w:after="40"/>
            </w:pPr>
            <w:r>
              <w:rPr>
                <w:color w:val="1F2D3D"/>
                <w:sz w:val="17"/>
              </w:rPr>
              <w:t>Bank vs. Management EBITDA Discrepancy</w:t>
            </w:r>
          </w:p>
        </w:tc>
        <w:tc>
          <w:tcPr>
            <w:tcW w:type="dxa" w:w="1728"/>
            <w:shd w:val="clear" w:color="auto" w:fill="E67E22"/>
          </w:tcPr>
          <w:p>
            <w:pPr>
              <w:spacing w:before="40" w:after="40"/>
              <w:jc w:val="center"/>
            </w:pPr>
            <w:r>
              <w:rPr>
                <w:b/>
                <w:color w:val="FFFFFF"/>
                <w:sz w:val="17"/>
              </w:rPr>
              <w:t>MEDIUM-HIGH</w:t>
            </w:r>
          </w:p>
        </w:tc>
        <w:tc>
          <w:tcPr>
            <w:tcW w:type="dxa" w:w="1728"/>
            <w:shd w:val="clear" w:color="auto" w:fill="F5F5F5"/>
          </w:tcPr>
          <w:p>
            <w:pPr>
              <w:spacing w:before="40" w:after="40"/>
            </w:pPr>
            <w:r>
              <w:rPr>
                <w:color w:val="1F2D3D"/>
                <w:sz w:val="17"/>
              </w:rPr>
              <w:t>Covenant headroom risk</w:t>
            </w:r>
          </w:p>
        </w:tc>
      </w:tr>
      <w:tr>
        <w:tc>
          <w:tcPr>
            <w:tcW w:type="dxa" w:w="1728"/>
            <w:shd w:val="clear" w:color="auto" w:fill="FFFFFF"/>
          </w:tcPr>
          <w:p>
            <w:pPr>
              <w:spacing w:before="40" w:after="40"/>
            </w:pPr>
            <w:r>
              <w:rPr>
                <w:color w:val="1F2D3D"/>
                <w:sz w:val="17"/>
              </w:rPr>
              <w:t>RF-15</w:t>
            </w:r>
          </w:p>
        </w:tc>
        <w:tc>
          <w:tcPr>
            <w:tcW w:type="dxa" w:w="1728"/>
            <w:shd w:val="clear" w:color="auto" w:fill="FFFFFF"/>
          </w:tcPr>
          <w:p>
            <w:pPr>
              <w:spacing w:before="40" w:after="40"/>
            </w:pPr>
            <w:r>
              <w:rPr>
                <w:color w:val="1F2D3D"/>
                <w:sz w:val="17"/>
              </w:rPr>
              <w:t>Customer / Contract</w:t>
            </w:r>
          </w:p>
        </w:tc>
        <w:tc>
          <w:tcPr>
            <w:tcW w:type="dxa" w:w="1728"/>
            <w:shd w:val="clear" w:color="auto" w:fill="FFFFFF"/>
          </w:tcPr>
          <w:p>
            <w:pPr>
              <w:spacing w:before="40" w:after="40"/>
            </w:pPr>
            <w:r>
              <w:rPr>
                <w:color w:val="1F2D3D"/>
                <w:sz w:val="17"/>
              </w:rPr>
              <w:t>CoC Provisions in 8 Customer Contracts</w:t>
            </w:r>
          </w:p>
        </w:tc>
        <w:tc>
          <w:tcPr>
            <w:tcW w:type="dxa" w:w="1728"/>
            <w:shd w:val="clear" w:color="auto" w:fill="E67E22"/>
          </w:tcPr>
          <w:p>
            <w:pPr>
              <w:spacing w:before="40" w:after="40"/>
              <w:jc w:val="center"/>
            </w:pPr>
            <w:r>
              <w:rPr>
                <w:b/>
                <w:color w:val="FFFFFF"/>
                <w:sz w:val="17"/>
              </w:rPr>
              <w:t>MEDIUM-HIGH</w:t>
            </w:r>
          </w:p>
        </w:tc>
        <w:tc>
          <w:tcPr>
            <w:tcW w:type="dxa" w:w="1728"/>
            <w:shd w:val="clear" w:color="auto" w:fill="FFFFFF"/>
          </w:tcPr>
          <w:p>
            <w:pPr>
              <w:spacing w:before="40" w:after="40"/>
            </w:pPr>
            <w:r>
              <w:rPr>
                <w:color w:val="1F2D3D"/>
                <w:sz w:val="17"/>
              </w:rPr>
              <w:t>$30M+ revenue at risk</w:t>
            </w:r>
          </w:p>
        </w:tc>
      </w:tr>
      <w:tr>
        <w:tc>
          <w:tcPr>
            <w:tcW w:type="dxa" w:w="1728"/>
            <w:shd w:val="clear" w:color="auto" w:fill="F5F5F5"/>
          </w:tcPr>
          <w:p>
            <w:pPr>
              <w:spacing w:before="40" w:after="40"/>
            </w:pPr>
            <w:r>
              <w:rPr>
                <w:color w:val="1F2D3D"/>
                <w:sz w:val="17"/>
              </w:rPr>
              <w:t>RF-21</w:t>
            </w:r>
          </w:p>
        </w:tc>
        <w:tc>
          <w:tcPr>
            <w:tcW w:type="dxa" w:w="1728"/>
            <w:shd w:val="clear" w:color="auto" w:fill="F5F5F5"/>
          </w:tcPr>
          <w:p>
            <w:pPr>
              <w:spacing w:before="40" w:after="40"/>
            </w:pPr>
            <w:r>
              <w:rPr>
                <w:color w:val="1F2D3D"/>
                <w:sz w:val="17"/>
              </w:rPr>
              <w:t>Human Capital</w:t>
            </w:r>
          </w:p>
        </w:tc>
        <w:tc>
          <w:tcPr>
            <w:tcW w:type="dxa" w:w="1728"/>
            <w:shd w:val="clear" w:color="auto" w:fill="F5F5F5"/>
          </w:tcPr>
          <w:p>
            <w:pPr>
              <w:spacing w:before="40" w:after="40"/>
            </w:pPr>
            <w:r>
              <w:rPr>
                <w:color w:val="1F2D3D"/>
                <w:sz w:val="17"/>
              </w:rPr>
              <w:t>NLRB Unionization Petition (62 employees)</w:t>
            </w:r>
          </w:p>
        </w:tc>
        <w:tc>
          <w:tcPr>
            <w:tcW w:type="dxa" w:w="1728"/>
            <w:shd w:val="clear" w:color="auto" w:fill="E67E22"/>
          </w:tcPr>
          <w:p>
            <w:pPr>
              <w:spacing w:before="40" w:after="40"/>
              <w:jc w:val="center"/>
            </w:pPr>
            <w:r>
              <w:rPr>
                <w:b/>
                <w:color w:val="FFFFFF"/>
                <w:sz w:val="17"/>
              </w:rPr>
              <w:t>MEDIUM-HIGH</w:t>
            </w:r>
          </w:p>
        </w:tc>
        <w:tc>
          <w:tcPr>
            <w:tcW w:type="dxa" w:w="1728"/>
            <w:shd w:val="clear" w:color="auto" w:fill="F5F5F5"/>
          </w:tcPr>
          <w:p>
            <w:pPr>
              <w:spacing w:before="40" w:after="40"/>
            </w:pPr>
            <w:r>
              <w:rPr>
                <w:color w:val="1F2D3D"/>
                <w:sz w:val="17"/>
              </w:rPr>
              <w:t>Labor cost increase; operational risk</w:t>
            </w:r>
          </w:p>
        </w:tc>
      </w:tr>
      <w:tr>
        <w:tc>
          <w:tcPr>
            <w:tcW w:type="dxa" w:w="1728"/>
            <w:shd w:val="clear" w:color="auto" w:fill="FFFFFF"/>
          </w:tcPr>
          <w:p>
            <w:pPr>
              <w:spacing w:before="40" w:after="40"/>
            </w:pPr>
            <w:r>
              <w:rPr>
                <w:color w:val="1F2D3D"/>
                <w:sz w:val="17"/>
              </w:rPr>
              <w:t>RF-05</w:t>
            </w:r>
          </w:p>
        </w:tc>
        <w:tc>
          <w:tcPr>
            <w:tcW w:type="dxa" w:w="1728"/>
            <w:shd w:val="clear" w:color="auto" w:fill="FFFFFF"/>
          </w:tcPr>
          <w:p>
            <w:pPr>
              <w:spacing w:before="40" w:after="40"/>
            </w:pPr>
            <w:r>
              <w:rPr>
                <w:color w:val="1F2D3D"/>
                <w:sz w:val="17"/>
              </w:rPr>
              <w:t>Financial / QoE</w:t>
            </w:r>
          </w:p>
        </w:tc>
        <w:tc>
          <w:tcPr>
            <w:tcW w:type="dxa" w:w="1728"/>
            <w:shd w:val="clear" w:color="auto" w:fill="FFFFFF"/>
          </w:tcPr>
          <w:p>
            <w:pPr>
              <w:spacing w:before="40" w:after="40"/>
            </w:pPr>
            <w:r>
              <w:rPr>
                <w:color w:val="1F2D3D"/>
                <w:sz w:val="17"/>
              </w:rPr>
              <w:t>Revenue Deceleration &amp; Data Inconsistency</w:t>
            </w:r>
          </w:p>
        </w:tc>
        <w:tc>
          <w:tcPr>
            <w:tcW w:type="dxa" w:w="1728"/>
            <w:shd w:val="clear" w:color="auto" w:fill="F1C40F"/>
          </w:tcPr>
          <w:p>
            <w:pPr>
              <w:spacing w:before="40" w:after="40"/>
              <w:jc w:val="center"/>
            </w:pPr>
            <w:r>
              <w:rPr>
                <w:b/>
                <w:color w:val="1F2D3D"/>
                <w:sz w:val="17"/>
              </w:rPr>
              <w:t>MEDIUM</w:t>
            </w:r>
          </w:p>
        </w:tc>
        <w:tc>
          <w:tcPr>
            <w:tcW w:type="dxa" w:w="1728"/>
            <w:shd w:val="clear" w:color="auto" w:fill="FFFFFF"/>
          </w:tcPr>
          <w:p>
            <w:pPr>
              <w:spacing w:before="40" w:after="40"/>
            </w:pPr>
            <w:r>
              <w:rPr>
                <w:color w:val="1F2D3D"/>
                <w:sz w:val="17"/>
              </w:rPr>
              <w:t>Valuation basis uncertainty</w:t>
            </w:r>
          </w:p>
        </w:tc>
      </w:tr>
      <w:tr>
        <w:tc>
          <w:tcPr>
            <w:tcW w:type="dxa" w:w="1728"/>
            <w:shd w:val="clear" w:color="auto" w:fill="F5F5F5"/>
          </w:tcPr>
          <w:p>
            <w:pPr>
              <w:spacing w:before="40" w:after="40"/>
            </w:pPr>
            <w:r>
              <w:rPr>
                <w:color w:val="1F2D3D"/>
                <w:sz w:val="17"/>
              </w:rPr>
              <w:t>RF-10</w:t>
            </w:r>
          </w:p>
        </w:tc>
        <w:tc>
          <w:tcPr>
            <w:tcW w:type="dxa" w:w="1728"/>
            <w:shd w:val="clear" w:color="auto" w:fill="F5F5F5"/>
          </w:tcPr>
          <w:p>
            <w:pPr>
              <w:spacing w:before="40" w:after="40"/>
            </w:pPr>
            <w:r>
              <w:rPr>
                <w:color w:val="1F2D3D"/>
                <w:sz w:val="17"/>
              </w:rPr>
              <w:t>Environmental</w:t>
            </w:r>
          </w:p>
        </w:tc>
        <w:tc>
          <w:tcPr>
            <w:tcW w:type="dxa" w:w="1728"/>
            <w:shd w:val="clear" w:color="auto" w:fill="F5F5F5"/>
          </w:tcPr>
          <w:p>
            <w:pPr>
              <w:spacing w:before="40" w:after="40"/>
            </w:pPr>
            <w:r>
              <w:rPr>
                <w:color w:val="1F2D3D"/>
                <w:sz w:val="17"/>
              </w:rPr>
              <w:t>Asbestos Tail -- Uninsured Pre-2015</w:t>
            </w:r>
          </w:p>
        </w:tc>
        <w:tc>
          <w:tcPr>
            <w:tcW w:type="dxa" w:w="1728"/>
            <w:shd w:val="clear" w:color="auto" w:fill="F1C40F"/>
          </w:tcPr>
          <w:p>
            <w:pPr>
              <w:spacing w:before="40" w:after="40"/>
              <w:jc w:val="center"/>
            </w:pPr>
            <w:r>
              <w:rPr>
                <w:b/>
                <w:color w:val="1F2D3D"/>
                <w:sz w:val="17"/>
              </w:rPr>
              <w:t>MEDIUM</w:t>
            </w:r>
          </w:p>
        </w:tc>
        <w:tc>
          <w:tcPr>
            <w:tcW w:type="dxa" w:w="1728"/>
            <w:shd w:val="clear" w:color="auto" w:fill="F5F5F5"/>
          </w:tcPr>
          <w:p>
            <w:pPr>
              <w:spacing w:before="40" w:after="40"/>
            </w:pPr>
            <w:r>
              <w:rPr>
                <w:color w:val="1F2D3D"/>
                <w:sz w:val="17"/>
              </w:rPr>
              <w:t>Unquantifiable long-tail</w:t>
            </w:r>
          </w:p>
        </w:tc>
      </w:tr>
      <w:tr>
        <w:tc>
          <w:tcPr>
            <w:tcW w:type="dxa" w:w="1728"/>
            <w:shd w:val="clear" w:color="auto" w:fill="FFFFFF"/>
          </w:tcPr>
          <w:p>
            <w:pPr>
              <w:spacing w:before="40" w:after="40"/>
            </w:pPr>
            <w:r>
              <w:rPr>
                <w:color w:val="1F2D3D"/>
                <w:sz w:val="17"/>
              </w:rPr>
              <w:t>RF-13</w:t>
            </w:r>
          </w:p>
        </w:tc>
        <w:tc>
          <w:tcPr>
            <w:tcW w:type="dxa" w:w="1728"/>
            <w:shd w:val="clear" w:color="auto" w:fill="FFFFFF"/>
          </w:tcPr>
          <w:p>
            <w:pPr>
              <w:spacing w:before="40" w:after="40"/>
            </w:pPr>
            <w:r>
              <w:rPr>
                <w:color w:val="1F2D3D"/>
                <w:sz w:val="17"/>
              </w:rPr>
              <w:t>Debt / CoC</w:t>
            </w:r>
          </w:p>
        </w:tc>
        <w:tc>
          <w:tcPr>
            <w:tcW w:type="dxa" w:w="1728"/>
            <w:shd w:val="clear" w:color="auto" w:fill="FFFFFF"/>
          </w:tcPr>
          <w:p>
            <w:pPr>
              <w:spacing w:before="40" w:after="40"/>
            </w:pPr>
            <w:r>
              <w:rPr>
                <w:color w:val="1F2D3D"/>
                <w:sz w:val="17"/>
              </w:rPr>
              <w:t>Derek Calloway Key-Man Covenant</w:t>
            </w:r>
          </w:p>
        </w:tc>
        <w:tc>
          <w:tcPr>
            <w:tcW w:type="dxa" w:w="1728"/>
            <w:shd w:val="clear" w:color="auto" w:fill="F1C40F"/>
          </w:tcPr>
          <w:p>
            <w:pPr>
              <w:spacing w:before="40" w:after="40"/>
              <w:jc w:val="center"/>
            </w:pPr>
            <w:r>
              <w:rPr>
                <w:b/>
                <w:color w:val="1F2D3D"/>
                <w:sz w:val="17"/>
              </w:rPr>
              <w:t>MEDIUM</w:t>
            </w:r>
          </w:p>
        </w:tc>
        <w:tc>
          <w:tcPr>
            <w:tcW w:type="dxa" w:w="1728"/>
            <w:shd w:val="clear" w:color="auto" w:fill="FFFFFF"/>
          </w:tcPr>
          <w:p>
            <w:pPr>
              <w:spacing w:before="40" w:after="40"/>
            </w:pPr>
            <w:r>
              <w:rPr>
                <w:color w:val="1F2D3D"/>
                <w:sz w:val="17"/>
              </w:rPr>
              <w:t>Event of Default risk</w:t>
            </w:r>
          </w:p>
        </w:tc>
      </w:tr>
      <w:tr>
        <w:tc>
          <w:tcPr>
            <w:tcW w:type="dxa" w:w="1728"/>
            <w:shd w:val="clear" w:color="auto" w:fill="F5F5F5"/>
          </w:tcPr>
          <w:p>
            <w:pPr>
              <w:spacing w:before="40" w:after="40"/>
            </w:pPr>
            <w:r>
              <w:rPr>
                <w:color w:val="1F2D3D"/>
                <w:sz w:val="17"/>
              </w:rPr>
              <w:t>RF-16</w:t>
            </w:r>
          </w:p>
        </w:tc>
        <w:tc>
          <w:tcPr>
            <w:tcW w:type="dxa" w:w="1728"/>
            <w:shd w:val="clear" w:color="auto" w:fill="F5F5F5"/>
          </w:tcPr>
          <w:p>
            <w:pPr>
              <w:spacing w:before="40" w:after="40"/>
            </w:pPr>
            <w:r>
              <w:rPr>
                <w:color w:val="1F2D3D"/>
                <w:sz w:val="17"/>
              </w:rPr>
              <w:t>Customer / Contract</w:t>
            </w:r>
          </w:p>
        </w:tc>
        <w:tc>
          <w:tcPr>
            <w:tcW w:type="dxa" w:w="1728"/>
            <w:shd w:val="clear" w:color="auto" w:fill="F5F5F5"/>
          </w:tcPr>
          <w:p>
            <w:pPr>
              <w:spacing w:before="40" w:after="40"/>
            </w:pPr>
            <w:r>
              <w:rPr>
                <w:color w:val="1F2D3D"/>
                <w:sz w:val="17"/>
              </w:rPr>
              <w:t>CMMC -- No Minimums; 60-Day Termination</w:t>
            </w:r>
          </w:p>
        </w:tc>
        <w:tc>
          <w:tcPr>
            <w:tcW w:type="dxa" w:w="1728"/>
            <w:shd w:val="clear" w:color="auto" w:fill="F1C40F"/>
          </w:tcPr>
          <w:p>
            <w:pPr>
              <w:spacing w:before="40" w:after="40"/>
              <w:jc w:val="center"/>
            </w:pPr>
            <w:r>
              <w:rPr>
                <w:b/>
                <w:color w:val="1F2D3D"/>
                <w:sz w:val="17"/>
              </w:rPr>
              <w:t>MEDIUM</w:t>
            </w:r>
          </w:p>
        </w:tc>
        <w:tc>
          <w:tcPr>
            <w:tcW w:type="dxa" w:w="1728"/>
            <w:shd w:val="clear" w:color="auto" w:fill="F5F5F5"/>
          </w:tcPr>
          <w:p>
            <w:pPr>
              <w:spacing w:before="40" w:after="40"/>
            </w:pPr>
            <w:r>
              <w:rPr>
                <w:color w:val="1F2D3D"/>
                <w:sz w:val="17"/>
              </w:rPr>
              <w:t>$14.5M revenue at risk</w:t>
            </w:r>
          </w:p>
        </w:tc>
      </w:tr>
      <w:tr>
        <w:tc>
          <w:tcPr>
            <w:tcW w:type="dxa" w:w="1728"/>
            <w:shd w:val="clear" w:color="auto" w:fill="FFFFFF"/>
          </w:tcPr>
          <w:p>
            <w:pPr>
              <w:spacing w:before="40" w:after="40"/>
            </w:pPr>
            <w:r>
              <w:rPr>
                <w:color w:val="1F2D3D"/>
                <w:sz w:val="17"/>
              </w:rPr>
              <w:t>RF-17</w:t>
            </w:r>
          </w:p>
        </w:tc>
        <w:tc>
          <w:tcPr>
            <w:tcW w:type="dxa" w:w="1728"/>
            <w:shd w:val="clear" w:color="auto" w:fill="FFFFFF"/>
          </w:tcPr>
          <w:p>
            <w:pPr>
              <w:spacing w:before="40" w:after="40"/>
            </w:pPr>
            <w:r>
              <w:rPr>
                <w:color w:val="1F2D3D"/>
                <w:sz w:val="17"/>
              </w:rPr>
              <w:t>Customer / Contract</w:t>
            </w:r>
          </w:p>
        </w:tc>
        <w:tc>
          <w:tcPr>
            <w:tcW w:type="dxa" w:w="1728"/>
            <w:shd w:val="clear" w:color="auto" w:fill="FFFFFF"/>
          </w:tcPr>
          <w:p>
            <w:pPr>
              <w:spacing w:before="40" w:after="40"/>
            </w:pPr>
            <w:r>
              <w:rPr>
                <w:color w:val="1F2D3D"/>
                <w:sz w:val="17"/>
              </w:rPr>
              <w:t>Intermountain Health Renewal Pending</w:t>
            </w:r>
          </w:p>
        </w:tc>
        <w:tc>
          <w:tcPr>
            <w:tcW w:type="dxa" w:w="1728"/>
            <w:shd w:val="clear" w:color="auto" w:fill="F1C40F"/>
          </w:tcPr>
          <w:p>
            <w:pPr>
              <w:spacing w:before="40" w:after="40"/>
              <w:jc w:val="center"/>
            </w:pPr>
            <w:r>
              <w:rPr>
                <w:b/>
                <w:color w:val="1F2D3D"/>
                <w:sz w:val="17"/>
              </w:rPr>
              <w:t>MEDIUM</w:t>
            </w:r>
          </w:p>
        </w:tc>
        <w:tc>
          <w:tcPr>
            <w:tcW w:type="dxa" w:w="1728"/>
            <w:shd w:val="clear" w:color="auto" w:fill="FFFFFF"/>
          </w:tcPr>
          <w:p>
            <w:pPr>
              <w:spacing w:before="40" w:after="40"/>
            </w:pPr>
            <w:r>
              <w:rPr>
                <w:color w:val="1F2D3D"/>
                <w:sz w:val="17"/>
              </w:rPr>
              <w:t>$7.1M revenue at risk</w:t>
            </w:r>
          </w:p>
        </w:tc>
      </w:tr>
      <w:tr>
        <w:tc>
          <w:tcPr>
            <w:tcW w:type="dxa" w:w="1728"/>
            <w:shd w:val="clear" w:color="auto" w:fill="F5F5F5"/>
          </w:tcPr>
          <w:p>
            <w:pPr>
              <w:spacing w:before="40" w:after="40"/>
            </w:pPr>
            <w:r>
              <w:rPr>
                <w:color w:val="1F2D3D"/>
                <w:sz w:val="17"/>
              </w:rPr>
              <w:t>RF-22</w:t>
            </w:r>
          </w:p>
        </w:tc>
        <w:tc>
          <w:tcPr>
            <w:tcW w:type="dxa" w:w="1728"/>
            <w:shd w:val="clear" w:color="auto" w:fill="F5F5F5"/>
          </w:tcPr>
          <w:p>
            <w:pPr>
              <w:spacing w:before="40" w:after="40"/>
            </w:pPr>
            <w:r>
              <w:rPr>
                <w:color w:val="1F2D3D"/>
                <w:sz w:val="17"/>
              </w:rPr>
              <w:t>Human Capital</w:t>
            </w:r>
          </w:p>
        </w:tc>
        <w:tc>
          <w:tcPr>
            <w:tcW w:type="dxa" w:w="1728"/>
            <w:shd w:val="clear" w:color="auto" w:fill="F5F5F5"/>
          </w:tcPr>
          <w:p>
            <w:pPr>
              <w:spacing w:before="40" w:after="40"/>
            </w:pPr>
            <w:r>
              <w:rPr>
                <w:color w:val="1F2D3D"/>
                <w:sz w:val="17"/>
              </w:rPr>
              <w:t>Single-Trigger CoC Severance ($2.625M)</w:t>
            </w:r>
          </w:p>
        </w:tc>
        <w:tc>
          <w:tcPr>
            <w:tcW w:type="dxa" w:w="1728"/>
            <w:shd w:val="clear" w:color="auto" w:fill="F1C40F"/>
          </w:tcPr>
          <w:p>
            <w:pPr>
              <w:spacing w:before="40" w:after="40"/>
              <w:jc w:val="center"/>
            </w:pPr>
            <w:r>
              <w:rPr>
                <w:b/>
                <w:color w:val="1F2D3D"/>
                <w:sz w:val="17"/>
              </w:rPr>
              <w:t>MEDIUM</w:t>
            </w:r>
          </w:p>
        </w:tc>
        <w:tc>
          <w:tcPr>
            <w:tcW w:type="dxa" w:w="1728"/>
            <w:shd w:val="clear" w:color="auto" w:fill="F5F5F5"/>
          </w:tcPr>
          <w:p>
            <w:pPr>
              <w:spacing w:before="40" w:after="40"/>
            </w:pPr>
            <w:r>
              <w:rPr>
                <w:color w:val="1F2D3D"/>
                <w:sz w:val="17"/>
              </w:rPr>
              <w:t>$2.625M certain closing cost</w:t>
            </w:r>
          </w:p>
        </w:tc>
      </w:tr>
      <w:tr>
        <w:tc>
          <w:tcPr>
            <w:tcW w:type="dxa" w:w="1728"/>
            <w:shd w:val="clear" w:color="auto" w:fill="FFFFFF"/>
          </w:tcPr>
          <w:p>
            <w:pPr>
              <w:spacing w:before="40" w:after="40"/>
            </w:pPr>
            <w:r>
              <w:rPr>
                <w:color w:val="1F2D3D"/>
                <w:sz w:val="17"/>
              </w:rPr>
              <w:t>RF-23</w:t>
            </w:r>
          </w:p>
        </w:tc>
        <w:tc>
          <w:tcPr>
            <w:tcW w:type="dxa" w:w="1728"/>
            <w:shd w:val="clear" w:color="auto" w:fill="FFFFFF"/>
          </w:tcPr>
          <w:p>
            <w:pPr>
              <w:spacing w:before="40" w:after="40"/>
            </w:pPr>
            <w:r>
              <w:rPr>
                <w:color w:val="1F2D3D"/>
                <w:sz w:val="17"/>
              </w:rPr>
              <w:t>Insurance</w:t>
            </w:r>
          </w:p>
        </w:tc>
        <w:tc>
          <w:tcPr>
            <w:tcW w:type="dxa" w:w="1728"/>
            <w:shd w:val="clear" w:color="auto" w:fill="FFFFFF"/>
          </w:tcPr>
          <w:p>
            <w:pPr>
              <w:spacing w:before="40" w:after="40"/>
            </w:pPr>
            <w:r>
              <w:rPr>
                <w:color w:val="1F2D3D"/>
                <w:sz w:val="17"/>
              </w:rPr>
              <w:t>Ramirez Claim -- Coverage Reservation</w:t>
            </w:r>
          </w:p>
        </w:tc>
        <w:tc>
          <w:tcPr>
            <w:tcW w:type="dxa" w:w="1728"/>
            <w:shd w:val="clear" w:color="auto" w:fill="F1C40F"/>
          </w:tcPr>
          <w:p>
            <w:pPr>
              <w:spacing w:before="40" w:after="40"/>
              <w:jc w:val="center"/>
            </w:pPr>
            <w:r>
              <w:rPr>
                <w:b/>
                <w:color w:val="1F2D3D"/>
                <w:sz w:val="17"/>
              </w:rPr>
              <w:t>MEDIUM</w:t>
            </w:r>
          </w:p>
        </w:tc>
        <w:tc>
          <w:tcPr>
            <w:tcW w:type="dxa" w:w="1728"/>
            <w:shd w:val="clear" w:color="auto" w:fill="FFFFFF"/>
          </w:tcPr>
          <w:p>
            <w:pPr>
              <w:spacing w:before="40" w:after="40"/>
            </w:pPr>
            <w:r>
              <w:rPr>
                <w:color w:val="1F2D3D"/>
                <w:sz w:val="17"/>
              </w:rPr>
              <w:t>Up to $4.8M uninsured</w:t>
            </w:r>
          </w:p>
        </w:tc>
      </w:tr>
      <w:tr>
        <w:tc>
          <w:tcPr>
            <w:tcW w:type="dxa" w:w="1728"/>
            <w:shd w:val="clear" w:color="auto" w:fill="F5F5F5"/>
          </w:tcPr>
          <w:p>
            <w:pPr>
              <w:spacing w:before="40" w:after="40"/>
            </w:pPr>
            <w:r>
              <w:rPr>
                <w:color w:val="1F2D3D"/>
                <w:sz w:val="17"/>
              </w:rPr>
              <w:t>RF-19</w:t>
            </w:r>
          </w:p>
        </w:tc>
        <w:tc>
          <w:tcPr>
            <w:tcW w:type="dxa" w:w="1728"/>
            <w:shd w:val="clear" w:color="auto" w:fill="F5F5F5"/>
          </w:tcPr>
          <w:p>
            <w:pPr>
              <w:spacing w:before="40" w:after="40"/>
            </w:pPr>
            <w:r>
              <w:rPr>
                <w:color w:val="1F2D3D"/>
                <w:sz w:val="17"/>
              </w:rPr>
              <w:t>Real Property</w:t>
            </w:r>
          </w:p>
        </w:tc>
        <w:tc>
          <w:tcPr>
            <w:tcW w:type="dxa" w:w="1728"/>
            <w:shd w:val="clear" w:color="auto" w:fill="F5F5F5"/>
          </w:tcPr>
          <w:p>
            <w:pPr>
              <w:spacing w:before="40" w:after="40"/>
            </w:pPr>
            <w:r>
              <w:rPr>
                <w:color w:val="1F2D3D"/>
                <w:sz w:val="17"/>
              </w:rPr>
              <w:t>Pueblo Lease Expiring at Closing</w:t>
            </w:r>
          </w:p>
        </w:tc>
        <w:tc>
          <w:tcPr>
            <w:tcW w:type="dxa" w:w="1728"/>
            <w:shd w:val="clear" w:color="auto" w:fill="27AE60"/>
          </w:tcPr>
          <w:p>
            <w:pPr>
              <w:spacing w:before="40" w:after="40"/>
              <w:jc w:val="center"/>
            </w:pPr>
            <w:r>
              <w:rPr>
                <w:b/>
                <w:color w:val="FFFFFF"/>
                <w:sz w:val="17"/>
              </w:rPr>
              <w:t>LOW-MEDIUM</w:t>
            </w:r>
          </w:p>
        </w:tc>
        <w:tc>
          <w:tcPr>
            <w:tcW w:type="dxa" w:w="1728"/>
            <w:shd w:val="clear" w:color="auto" w:fill="F5F5F5"/>
          </w:tcPr>
          <w:p>
            <w:pPr>
              <w:spacing w:before="40" w:after="40"/>
            </w:pPr>
            <w:r>
              <w:rPr>
                <w:color w:val="1F2D3D"/>
                <w:sz w:val="17"/>
              </w:rPr>
              <w:t>Relocation costs</w:t>
            </w:r>
          </w:p>
        </w:tc>
      </w:tr>
      <w:tr>
        <w:tc>
          <w:tcPr>
            <w:tcW w:type="dxa" w:w="1728"/>
            <w:shd w:val="clear" w:color="auto" w:fill="FFFFFF"/>
          </w:tcPr>
          <w:p>
            <w:pPr>
              <w:spacing w:before="40" w:after="40"/>
            </w:pPr>
            <w:r>
              <w:rPr>
                <w:color w:val="1F2D3D"/>
                <w:sz w:val="17"/>
              </w:rPr>
              <w:t>RF-20</w:t>
            </w:r>
          </w:p>
        </w:tc>
        <w:tc>
          <w:tcPr>
            <w:tcW w:type="dxa" w:w="1728"/>
            <w:shd w:val="clear" w:color="auto" w:fill="FFFFFF"/>
          </w:tcPr>
          <w:p>
            <w:pPr>
              <w:spacing w:before="40" w:after="40"/>
            </w:pPr>
            <w:r>
              <w:rPr>
                <w:color w:val="1F2D3D"/>
                <w:sz w:val="17"/>
              </w:rPr>
              <w:t>Real Property</w:t>
            </w:r>
          </w:p>
        </w:tc>
        <w:tc>
          <w:tcPr>
            <w:tcW w:type="dxa" w:w="1728"/>
            <w:shd w:val="clear" w:color="auto" w:fill="FFFFFF"/>
          </w:tcPr>
          <w:p>
            <w:pPr>
              <w:spacing w:before="40" w:after="40"/>
            </w:pPr>
            <w:r>
              <w:rPr>
                <w:color w:val="1F2D3D"/>
                <w:sz w:val="17"/>
              </w:rPr>
              <w:t>Grand Junction Appraisal Stale</w:t>
            </w:r>
          </w:p>
        </w:tc>
        <w:tc>
          <w:tcPr>
            <w:tcW w:type="dxa" w:w="1728"/>
            <w:shd w:val="clear" w:color="auto" w:fill="2ECC71"/>
          </w:tcPr>
          <w:p>
            <w:pPr>
              <w:spacing w:before="40" w:after="40"/>
              <w:jc w:val="center"/>
            </w:pPr>
            <w:r>
              <w:rPr>
                <w:b/>
                <w:color w:val="1F2D3D"/>
                <w:sz w:val="17"/>
              </w:rPr>
              <w:t>LOW</w:t>
            </w:r>
          </w:p>
        </w:tc>
        <w:tc>
          <w:tcPr>
            <w:tcW w:type="dxa" w:w="1728"/>
            <w:shd w:val="clear" w:color="auto" w:fill="FFFFFF"/>
          </w:tcPr>
          <w:p>
            <w:pPr>
              <w:spacing w:before="40" w:after="40"/>
            </w:pPr>
            <w:r>
              <w:rPr>
                <w:color w:val="1F2D3D"/>
                <w:sz w:val="17"/>
              </w:rPr>
              <w:t>Property value uncertainty</w:t>
            </w:r>
          </w:p>
        </w:tc>
      </w:tr>
    </w:tbl>
    <w:p/>
    <w:p>
      <w:pPr>
        <w:spacing w:before="200" w:after="80"/>
        <w:jc w:val="left"/>
      </w:pPr>
      <w:r>
        <w:rPr>
          <w:b/>
          <w:i w:val="0"/>
          <w:color w:val="1F2D3D"/>
          <w:sz w:val="28"/>
          <w:u w:val="single"/>
        </w:rPr>
        <w:t>RECOMMENDED NEXT STEPS</w:t>
      </w:r>
    </w:p>
    <w:p>
      <w:pPr>
        <w:spacing w:before="0" w:after="80"/>
        <w:jc w:val="left"/>
      </w:pPr>
      <w:r>
        <w:rPr>
          <w:b/>
          <w:i w:val="0"/>
          <w:color w:val="000000"/>
          <w:sz w:val="20"/>
        </w:rPr>
        <w:t>Immediate (Pre-Signing):</w:t>
      </w:r>
    </w:p>
    <w:p>
      <w:pPr>
        <w:pStyle w:val="ListBullet"/>
        <w:spacing w:after="60"/>
        <w:ind w:left="360"/>
      </w:pPr>
      <w:r>
        <w:rPr>
          <w:color w:val="000000"/>
          <w:sz w:val="19"/>
        </w:rPr>
        <w:t>Demand reconciliation of the $1.0M EBITDA discrepancy between CIM and QoE data room</w:t>
      </w:r>
    </w:p>
    <w:p>
      <w:pPr>
        <w:pStyle w:val="ListBullet"/>
        <w:spacing w:after="60"/>
        <w:ind w:left="360"/>
      </w:pPr>
      <w:r>
        <w:rPr>
          <w:color w:val="000000"/>
          <w:sz w:val="19"/>
        </w:rPr>
        <w:t>Commission updated Phase II ESA and vapor intrusion assessment at Grand Junction</w:t>
      </w:r>
    </w:p>
    <w:p>
      <w:pPr>
        <w:pStyle w:val="ListBullet"/>
        <w:spacing w:after="60"/>
        <w:ind w:left="360"/>
      </w:pPr>
      <w:r>
        <w:rPr>
          <w:color w:val="000000"/>
          <w:sz w:val="19"/>
        </w:rPr>
        <w:t>Engage DOE Contracting Officer regarding IDIQ ceiling modification</w:t>
      </w:r>
    </w:p>
    <w:p>
      <w:pPr>
        <w:pStyle w:val="ListBullet"/>
        <w:spacing w:after="60"/>
        <w:ind w:left="360"/>
      </w:pPr>
      <w:r>
        <w:rPr>
          <w:color w:val="000000"/>
          <w:sz w:val="19"/>
        </w:rPr>
        <w:t>Initiate landlord consent process for SLC lease (Wasatch Industrial Properties)</w:t>
      </w:r>
    </w:p>
    <w:p>
      <w:pPr>
        <w:pStyle w:val="ListBullet"/>
        <w:spacing w:after="60"/>
        <w:ind w:left="360"/>
      </w:pPr>
      <w:r>
        <w:rPr>
          <w:color w:val="000000"/>
          <w:sz w:val="19"/>
        </w:rPr>
        <w:t>Obtain full briefing on NLRB petition and election timeline</w:t>
      </w:r>
    </w:p>
    <w:p>
      <w:pPr>
        <w:pStyle w:val="ListBullet"/>
        <w:spacing w:after="60"/>
        <w:ind w:left="360"/>
      </w:pPr>
      <w:r>
        <w:rPr>
          <w:color w:val="000000"/>
          <w:sz w:val="19"/>
        </w:rPr>
        <w:t>Confirm Intermountain Health Systems renewal decision</w:t>
      </w:r>
    </w:p>
    <w:p/>
    <w:p>
      <w:pPr>
        <w:spacing w:before="0" w:after="80"/>
        <w:jc w:val="left"/>
      </w:pPr>
      <w:r>
        <w:rPr>
          <w:b/>
          <w:i w:val="0"/>
          <w:color w:val="000000"/>
          <w:sz w:val="20"/>
        </w:rPr>
        <w:t>Pre-Closing Conditions:</w:t>
      </w:r>
    </w:p>
    <w:p>
      <w:pPr>
        <w:pStyle w:val="ListBullet"/>
        <w:spacing w:after="60"/>
        <w:ind w:left="360"/>
      </w:pPr>
      <w:r>
        <w:rPr>
          <w:color w:val="000000"/>
          <w:sz w:val="19"/>
        </w:rPr>
        <w:t>Utah SLC permit transfer (UTH-0441) completed</w:t>
      </w:r>
    </w:p>
    <w:p>
      <w:pPr>
        <w:pStyle w:val="ListBullet"/>
        <w:spacing w:after="60"/>
        <w:ind w:left="360"/>
      </w:pPr>
      <w:r>
        <w:rPr>
          <w:color w:val="000000"/>
          <w:sz w:val="19"/>
        </w:rPr>
        <w:t>SLC lease landlord consent obtained (both 2022 assignment and Sycamore transaction)</w:t>
      </w:r>
    </w:p>
    <w:p>
      <w:pPr>
        <w:pStyle w:val="ListBullet"/>
        <w:spacing w:after="60"/>
        <w:ind w:left="360"/>
      </w:pPr>
      <w:r>
        <w:rPr>
          <w:color w:val="000000"/>
          <w:sz w:val="19"/>
        </w:rPr>
        <w:t>DOE contract continuity confirmed (ceiling modification or follow-on contract)</w:t>
      </w:r>
    </w:p>
    <w:p>
      <w:pPr>
        <w:pStyle w:val="ListBullet"/>
        <w:spacing w:after="60"/>
        <w:ind w:left="360"/>
      </w:pPr>
      <w:r>
        <w:rPr>
          <w:color w:val="000000"/>
          <w:sz w:val="19"/>
        </w:rPr>
        <w:t>CDPHE enforcement action resolved or specific escrow established</w:t>
      </w:r>
    </w:p>
    <w:p>
      <w:pPr>
        <w:pStyle w:val="ListBullet"/>
        <w:spacing w:after="60"/>
        <w:ind w:left="360"/>
      </w:pPr>
      <w:r>
        <w:rPr>
          <w:color w:val="000000"/>
          <w:sz w:val="19"/>
        </w:rPr>
        <w:t>All material customer change-of-control consents obtained</w:t>
      </w:r>
    </w:p>
    <w:p>
      <w:pPr>
        <w:pStyle w:val="ListBullet"/>
        <w:spacing w:after="60"/>
        <w:ind w:left="360"/>
      </w:pPr>
      <w:r>
        <w:rPr>
          <w:color w:val="000000"/>
          <w:sz w:val="19"/>
        </w:rPr>
        <w:t>Audited financial statements delivered (FY2022-FY2024)</w:t>
      </w:r>
    </w:p>
    <w:p/>
    <w:p>
      <w:pPr>
        <w:spacing w:before="0" w:after="80"/>
        <w:jc w:val="left"/>
      </w:pPr>
      <w:r>
        <w:rPr>
          <w:b/>
          <w:i w:val="0"/>
          <w:color w:val="000000"/>
          <w:sz w:val="20"/>
        </w:rPr>
        <w:t>Valuation / Pricing Adjustments to Consider:</w:t>
      </w:r>
    </w:p>
    <w:p>
      <w:pPr>
        <w:pStyle w:val="ListBullet"/>
        <w:spacing w:after="60"/>
        <w:ind w:left="360"/>
      </w:pPr>
      <w:r>
        <w:rPr>
          <w:color w:val="000000"/>
          <w:sz w:val="19"/>
        </w:rPr>
        <w:t>Reduce EBITDA basis to reflect QoE-validated add-backs (potentially $18.4M-$21.0M range)</w:t>
      </w:r>
    </w:p>
    <w:p>
      <w:pPr>
        <w:pStyle w:val="ListBullet"/>
        <w:spacing w:after="60"/>
        <w:ind w:left="360"/>
      </w:pPr>
      <w:r>
        <w:rPr>
          <w:color w:val="000000"/>
          <w:sz w:val="19"/>
        </w:rPr>
        <w:t>Adjust for DOE ceiling exhaustion risk ($12.1M revenue headwind)</w:t>
      </w:r>
    </w:p>
    <w:p>
      <w:pPr>
        <w:pStyle w:val="ListBullet"/>
        <w:spacing w:after="60"/>
        <w:ind w:left="360"/>
      </w:pPr>
      <w:r>
        <w:rPr>
          <w:color w:val="000000"/>
          <w:sz w:val="19"/>
        </w:rPr>
        <w:t>Increase normalized maintenance capex by $3M/year for fleet backlog</w:t>
      </w:r>
    </w:p>
    <w:p>
      <w:pPr>
        <w:pStyle w:val="ListBullet"/>
        <w:spacing w:after="60"/>
        <w:ind w:left="360"/>
      </w:pPr>
      <w:r>
        <w:rPr>
          <w:color w:val="000000"/>
          <w:sz w:val="19"/>
        </w:rPr>
        <w:t>Establish specific environmental escrow ($3-5M) for Grand Junction remediation</w:t>
      </w:r>
    </w:p>
    <w:p>
      <w:pPr>
        <w:pStyle w:val="ListBullet"/>
        <w:spacing w:after="60"/>
        <w:ind w:left="360"/>
      </w:pPr>
      <w:r>
        <w:rPr>
          <w:color w:val="000000"/>
          <w:sz w:val="19"/>
        </w:rPr>
        <w:t>Establish specific CDPHE penalty escrow ($450K-$1.16M)</w:t>
      </w:r>
    </w:p>
    <w:p>
      <w:pPr>
        <w:pStyle w:val="ListBullet"/>
        <w:spacing w:after="60"/>
        <w:ind w:left="360"/>
      </w:pPr>
      <w:r>
        <w:rPr>
          <w:color w:val="000000"/>
          <w:sz w:val="19"/>
        </w:rPr>
        <w:t>Treat $2.625M CoC severance as seller transaction expense</w:t>
      </w:r>
    </w:p>
    <w:p/>
    <w:p>
      <w:pPr>
        <w:spacing w:before="240" w:after="120"/>
        <w:jc w:val="left"/>
      </w:pPr>
      <w:r>
        <w:rPr>
          <w:b w:val="0"/>
          <w:i/>
          <w:color w:val="606060"/>
          <w:sz w:val="18"/>
        </w:rPr>
        <w:t>This memorandum is based solely on the data room documents provided and does not constitute legal advice. All findings should be independently verified by Buyer's legal, financial, and technical advisors. This memorandum is protected by attorney-client privilege and the work product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