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65" w:name="due-diligence-red-flag-memorandum"/>
    <w:p>
      <w:pPr>
        <w:pStyle w:val="Heading1"/>
      </w:pPr>
      <w:r>
        <w:t xml:space="preserve">Due Diligence Red Flag Memorandum</w:t>
      </w:r>
    </w:p>
    <w:p>
      <w:pPr>
        <w:pStyle w:val="FirstParagraph"/>
      </w:pPr>
      <w:r>
        <w:rPr>
          <w:b/>
          <w:bCs/>
        </w:rPr>
        <w:t xml:space="preserve">Project Ridgeline — Acquisition of Ridgeline Environmental Services, Inc.</w:t>
      </w:r>
    </w:p>
    <w:p>
      <w:pPr>
        <w:pStyle w:val="BodyText"/>
      </w:pPr>
      <w:r>
        <w:rPr>
          <w:b/>
          <w:bCs/>
        </w:rPr>
        <w:t xml:space="preserve">Prepared for:</w:t>
      </w:r>
      <w:r>
        <w:t xml:space="preserve"> </w:t>
      </w:r>
      <w:r>
        <w:t xml:space="preserve">Sycamore Capital Partners, LP</w:t>
      </w:r>
    </w:p>
    <w:p>
      <w:pPr>
        <w:pStyle w:val="BodyText"/>
      </w:pPr>
      <w:r>
        <w:rPr>
          <w:b/>
          <w:bCs/>
        </w:rPr>
        <w:t xml:space="preserve">Prepared by:</w:t>
      </w:r>
      <w:r>
        <w:t xml:space="preserve"> </w:t>
      </w:r>
      <w:r>
        <w:t xml:space="preserve">Thornfield &amp; Associates LLP / Bridgewater Forsyth Group</w:t>
      </w:r>
    </w:p>
    <w:p>
      <w:pPr>
        <w:pStyle w:val="BodyText"/>
      </w:pPr>
      <w:r>
        <w:rPr>
          <w:b/>
          <w:bCs/>
        </w:rPr>
        <w:t xml:space="preserve">Date:</w:t>
      </w:r>
      <w:r>
        <w:t xml:space="preserve"> </w:t>
      </w:r>
      <w:r>
        <w:t xml:space="preserve">December 2024</w:t>
      </w:r>
    </w:p>
    <w:p>
      <w:pPr>
        <w:pStyle w:val="BodyText"/>
      </w:pPr>
      <w:r>
        <w:rPr>
          <w:b/>
          <w:bCs/>
        </w:rPr>
        <w:t xml:space="preserve">Classification:</w:t>
      </w:r>
      <w:r>
        <w:t xml:space="preserve"> </w:t>
      </w:r>
      <w:r>
        <w:t xml:space="preserve">Highly Confidential — Subject to NDA dated September 12, 2024</w:t>
      </w:r>
    </w:p>
    <w:p>
      <w:r>
        <w:pict>
          <v:rect style="width:0;height:1.5pt" o:hralign="center" o:hrstd="t" o:hr="t"/>
        </w:pict>
      </w:r>
    </w:p>
    <w:bookmarkStart w:id="21" w:name="documents-reviewed-and-cleared"/>
    <w:p>
      <w:pPr>
        <w:pStyle w:val="Heading2"/>
      </w:pPr>
      <w:r>
        <w:t xml:space="preserve">Documents Reviewed and Cleared</w:t>
      </w:r>
    </w:p>
    <w:p>
      <w:pPr>
        <w:pStyle w:val="FirstParagraph"/>
      </w:pPr>
      <w:r>
        <w:t xml:space="preserve">The following data room documents were reviewed in preparing this memorandum. Items marked</w:t>
      </w:r>
      <w:r>
        <w:t xml:space="preserve"> </w:t>
      </w:r>
      <w:r>
        <w:t xml:space="preserve">“</w:t>
      </w:r>
      <w:r>
        <w:t xml:space="preserve">Cleared</w:t>
      </w:r>
      <w:r>
        <w:t xml:space="preserve">”</w:t>
      </w:r>
      <w:r>
        <w:t xml:space="preserve"> </w:t>
      </w:r>
      <w:r>
        <w:t xml:space="preserve">presented no material red flags beyond those identified herein; items marked</w:t>
      </w:r>
      <w:r>
        <w:t xml:space="preserve"> </w:t>
      </w:r>
      <w:r>
        <w:t xml:space="preserve">“</w:t>
      </w:r>
      <w:r>
        <w:t xml:space="preserve">Issues Identified</w:t>
      </w:r>
      <w:r>
        <w:t xml:space="preserve">”</w:t>
      </w:r>
      <w:r>
        <w:t xml:space="preserve"> </w:t>
      </w:r>
      <w:r>
        <w:t xml:space="preserve">are discussed in the body of this 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Status</w:t>
            </w:r>
          </w:p>
        </w:tc>
      </w:tr>
      <w:tr>
        <w:tc>
          <w:tcPr/>
          <w:p>
            <w:pPr>
              <w:pStyle w:val="Compact"/>
              <w:jc w:val="left"/>
            </w:pPr>
            <w:r>
              <w:t xml:space="preserve">Confidential Information Memorandum (CIM)</w:t>
            </w:r>
          </w:p>
        </w:tc>
        <w:tc>
          <w:tcPr/>
          <w:p>
            <w:pPr>
              <w:pStyle w:val="Compact"/>
              <w:jc w:val="left"/>
            </w:pPr>
            <w:r>
              <w:t xml:space="preserve">Issues Identified</w:t>
            </w:r>
          </w:p>
        </w:tc>
      </w:tr>
      <w:tr>
        <w:tc>
          <w:tcPr/>
          <w:p>
            <w:pPr>
              <w:pStyle w:val="Compact"/>
              <w:jc w:val="left"/>
            </w:pPr>
            <w:r>
              <w:t xml:space="preserve">QofE Data Request Response (qoe-data-request-response.xlsx)</w:t>
            </w:r>
          </w:p>
        </w:tc>
        <w:tc>
          <w:tcPr/>
          <w:p>
            <w:pPr>
              <w:pStyle w:val="Compact"/>
              <w:jc w:val="left"/>
            </w:pPr>
            <w:r>
              <w:t xml:space="preserve">Issues Identified</w:t>
            </w:r>
          </w:p>
        </w:tc>
      </w:tr>
      <w:tr>
        <w:tc>
          <w:tcPr/>
          <w:p>
            <w:pPr>
              <w:pStyle w:val="Compact"/>
              <w:jc w:val="left"/>
            </w:pPr>
            <w:r>
              <w:t xml:space="preserve">Litigation and Regulatory Summary</w:t>
            </w:r>
          </w:p>
        </w:tc>
        <w:tc>
          <w:tcPr/>
          <w:p>
            <w:pPr>
              <w:pStyle w:val="Compact"/>
              <w:jc w:val="left"/>
            </w:pPr>
            <w:r>
              <w:t xml:space="preserve">Issues Identified</w:t>
            </w:r>
          </w:p>
        </w:tc>
      </w:tr>
      <w:tr>
        <w:tc>
          <w:tcPr/>
          <w:p>
            <w:pPr>
              <w:pStyle w:val="Compact"/>
              <w:jc w:val="left"/>
            </w:pPr>
            <w:r>
              <w:t xml:space="preserve">Real Property and Lease Schedule</w:t>
            </w:r>
          </w:p>
        </w:tc>
        <w:tc>
          <w:tcPr/>
          <w:p>
            <w:pPr>
              <w:pStyle w:val="Compact"/>
              <w:jc w:val="left"/>
            </w:pPr>
            <w:r>
              <w:t xml:space="preserve">Issues Identified</w:t>
            </w:r>
          </w:p>
        </w:tc>
      </w:tr>
      <w:tr>
        <w:tc>
          <w:tcPr/>
          <w:p>
            <w:pPr>
              <w:pStyle w:val="Compact"/>
              <w:jc w:val="left"/>
            </w:pPr>
            <w:r>
              <w:t xml:space="preserve">Phase II ESA Executive Summary (Grand Junction)</w:t>
            </w:r>
          </w:p>
        </w:tc>
        <w:tc>
          <w:tcPr/>
          <w:p>
            <w:pPr>
              <w:pStyle w:val="Compact"/>
              <w:jc w:val="left"/>
            </w:pPr>
            <w:r>
              <w:t xml:space="preserve">Issues Identified</w:t>
            </w:r>
          </w:p>
        </w:tc>
      </w:tr>
      <w:tr>
        <w:tc>
          <w:tcPr/>
          <w:p>
            <w:pPr>
              <w:pStyle w:val="Compact"/>
              <w:jc w:val="left"/>
            </w:pPr>
            <w:r>
              <w:t xml:space="preserve">Credit Agreement Summary</w:t>
            </w:r>
          </w:p>
        </w:tc>
        <w:tc>
          <w:tcPr/>
          <w:p>
            <w:pPr>
              <w:pStyle w:val="Compact"/>
              <w:jc w:val="left"/>
            </w:pPr>
            <w:r>
              <w:t xml:space="preserve">Issues Identified</w:t>
            </w:r>
          </w:p>
        </w:tc>
      </w:tr>
      <w:tr>
        <w:tc>
          <w:tcPr/>
          <w:p>
            <w:pPr>
              <w:pStyle w:val="Compact"/>
              <w:jc w:val="left"/>
            </w:pPr>
            <w:r>
              <w:t xml:space="preserve">Employment Agreements Summary</w:t>
            </w:r>
          </w:p>
        </w:tc>
        <w:tc>
          <w:tcPr/>
          <w:p>
            <w:pPr>
              <w:pStyle w:val="Compact"/>
              <w:jc w:val="left"/>
            </w:pPr>
            <w:r>
              <w:t xml:space="preserve">Issues Identified</w:t>
            </w:r>
          </w:p>
        </w:tc>
      </w:tr>
      <w:tr>
        <w:tc>
          <w:tcPr/>
          <w:p>
            <w:pPr>
              <w:pStyle w:val="Compact"/>
              <w:jc w:val="left"/>
            </w:pPr>
            <w:r>
              <w:t xml:space="preserve">Org Chart and Equity Structure</w:t>
            </w:r>
          </w:p>
        </w:tc>
        <w:tc>
          <w:tcPr/>
          <w:p>
            <w:pPr>
              <w:pStyle w:val="Compact"/>
              <w:jc w:val="left"/>
            </w:pPr>
            <w:r>
              <w:t xml:space="preserve">Cleared</w:t>
            </w:r>
          </w:p>
        </w:tc>
      </w:tr>
      <w:tr>
        <w:tc>
          <w:tcPr/>
          <w:p>
            <w:pPr>
              <w:pStyle w:val="Compact"/>
              <w:jc w:val="left"/>
            </w:pPr>
            <w:r>
              <w:t xml:space="preserve">Executed Letter of Intent</w:t>
            </w:r>
          </w:p>
        </w:tc>
        <w:tc>
          <w:tcPr/>
          <w:p>
            <w:pPr>
              <w:pStyle w:val="Compact"/>
              <w:jc w:val="left"/>
            </w:pPr>
            <w:r>
              <w:t xml:space="preserve">Issues Identified</w:t>
            </w:r>
          </w:p>
        </w:tc>
      </w:tr>
      <w:tr>
        <w:tc>
          <w:tcPr/>
          <w:p>
            <w:pPr>
              <w:pStyle w:val="Compact"/>
              <w:jc w:val="left"/>
            </w:pPr>
            <w:r>
              <w:t xml:space="preserve">Insurance Program Summary</w:t>
            </w:r>
          </w:p>
        </w:tc>
        <w:tc>
          <w:tcPr/>
          <w:p>
            <w:pPr>
              <w:pStyle w:val="Compact"/>
              <w:jc w:val="left"/>
            </w:pPr>
            <w:r>
              <w:t xml:space="preserve">Issues Identified</w:t>
            </w:r>
          </w:p>
        </w:tc>
      </w:tr>
      <w:tr>
        <w:tc>
          <w:tcPr/>
          <w:p>
            <w:pPr>
              <w:pStyle w:val="Compact"/>
              <w:jc w:val="left"/>
            </w:pPr>
            <w:r>
              <w:t xml:space="preserve">Environmental Permit Schedule</w:t>
            </w:r>
          </w:p>
        </w:tc>
        <w:tc>
          <w:tcPr/>
          <w:p>
            <w:pPr>
              <w:pStyle w:val="Compact"/>
              <w:jc w:val="left"/>
            </w:pPr>
            <w:r>
              <w:t xml:space="preserve">Issues Identified</w:t>
            </w:r>
          </w:p>
        </w:tc>
      </w:tr>
      <w:tr>
        <w:tc>
          <w:tcPr/>
          <w:p>
            <w:pPr>
              <w:pStyle w:val="Compact"/>
              <w:jc w:val="left"/>
            </w:pPr>
            <w:r>
              <w:t xml:space="preserve">Employee Benefits Summary</w:t>
            </w:r>
          </w:p>
        </w:tc>
        <w:tc>
          <w:tcPr/>
          <w:p>
            <w:pPr>
              <w:pStyle w:val="Compact"/>
              <w:jc w:val="left"/>
            </w:pPr>
            <w:r>
              <w:t xml:space="preserve">Issues Identified</w:t>
            </w:r>
          </w:p>
        </w:tc>
      </w:tr>
      <w:tr>
        <w:tc>
          <w:tcPr/>
          <w:p>
            <w:pPr>
              <w:pStyle w:val="Compact"/>
              <w:jc w:val="left"/>
            </w:pPr>
            <w:r>
              <w:t xml:space="preserve">Customer Contract Summary (customer-contract-summary.xlsx)</w:t>
            </w:r>
          </w:p>
        </w:tc>
        <w:tc>
          <w:tcPr/>
          <w:p>
            <w:pPr>
              <w:pStyle w:val="Compact"/>
              <w:jc w:val="left"/>
            </w:pPr>
            <w:r>
              <w:t xml:space="preserve">Issues Identified</w:t>
            </w:r>
          </w:p>
        </w:tc>
      </w:tr>
    </w:tbl>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memorandum summarizes material red flags identified across the Project Ridgeline data room in connection with the proposed acquisition of Ridgeline Environmental Services, Inc. (</w:t>
      </w:r>
      <w:r>
        <w:t xml:space="preserve">“</w:t>
      </w:r>
      <w:r>
        <w:t xml:space="preserve">RES</w:t>
      </w:r>
      <w:r>
        <w:t xml:space="preserve">”</w:t>
      </w:r>
      <w:r>
        <w:t xml:space="preserve"> </w:t>
      </w:r>
      <w:r>
        <w:t xml:space="preserve">or the</w:t>
      </w:r>
      <w:r>
        <w:t xml:space="preserve"> </w:t>
      </w:r>
      <w:r>
        <w:t xml:space="preserve">“</w:t>
      </w:r>
      <w:r>
        <w:t xml:space="preserve">Company</w:t>
      </w:r>
      <w:r>
        <w:t xml:space="preserve">”</w:t>
      </w:r>
      <w:r>
        <w:t xml:space="preserve">) by Sycamore Capital Partners, LP (</w:t>
      </w:r>
      <w:r>
        <w:t xml:space="preserve">“</w:t>
      </w:r>
      <w:r>
        <w:t xml:space="preserve">Buyer</w:t>
      </w:r>
      <w:r>
        <w:t xml:space="preserve">”</w:t>
      </w:r>
      <w:r>
        <w:t xml:space="preserve">). The indicative enterprise value range of $182–$205 million (8.0x–9.0x Adjusted EBITDA) is premised on management’s Adjusted EBITDA of $22.8 million. Our review has identified</w:t>
      </w:r>
      <w:r>
        <w:t xml:space="preserve"> </w:t>
      </w:r>
      <w:r>
        <w:rPr>
          <w:b/>
          <w:bCs/>
        </w:rPr>
        <w:t xml:space="preserve">twelve material red flag categories</w:t>
      </w:r>
      <w:r>
        <w:t xml:space="preserve"> </w:t>
      </w:r>
      <w:r>
        <w:t xml:space="preserve">that, in aggregate, could materially reduce the defensible purchase price, create significant post-closing liabilities, or impair the ability to close on the proposed timeline.</w:t>
      </w:r>
    </w:p>
    <w:p>
      <w:pPr>
        <w:pStyle w:val="BodyText"/>
      </w:pPr>
      <w:r>
        <w:t xml:space="preserve">The five most critical findings are:</w:t>
      </w:r>
    </w:p>
    <w:p>
      <w:pPr>
        <w:numPr>
          <w:ilvl w:val="0"/>
          <w:numId w:val="1001"/>
        </w:numPr>
      </w:pPr>
      <w:r>
        <w:rPr>
          <w:b/>
          <w:bCs/>
        </w:rPr>
        <w:t xml:space="preserve">EBITDA Quality (Critical):</w:t>
      </w:r>
      <w:r>
        <w:t xml:space="preserve"> </w:t>
      </w:r>
      <w:r>
        <w:t xml:space="preserve">Management’s Adjusted EBITDA of $22.8M contains a $1.0M unexplained internal discrepancy, aggressive add-back classifications, and a $7.6M gap versus the bank’s covenant EBITDA definition. Each $1M of EBITDA reduction implies an $8–$9M enterprise value impact at the stated multiple.</w:t>
      </w:r>
    </w:p>
    <w:p>
      <w:pPr>
        <w:numPr>
          <w:ilvl w:val="0"/>
          <w:numId w:val="1001"/>
        </w:numPr>
      </w:pPr>
      <w:r>
        <w:rPr>
          <w:b/>
          <w:bCs/>
        </w:rPr>
        <w:t xml:space="preserve">DOE Revenue Cliff (Critical):</w:t>
      </w:r>
      <w:r>
        <w:t xml:space="preserve"> </w:t>
      </w:r>
      <w:r>
        <w:t xml:space="preserve">The Company’s largest customer (19.2% of revenue, $24.4M) is operating under an IDIQ contract whose $45M ceiling is 72.7% consumed with only 61.7% of the contract period elapsed. The ceiling is projected to be exhausted by April–May 2025 — at the target closing date — creating a potential $12.1M annual revenue headwind in FY2025.</w:t>
      </w:r>
    </w:p>
    <w:p>
      <w:pPr>
        <w:numPr>
          <w:ilvl w:val="0"/>
          <w:numId w:val="1001"/>
        </w:numPr>
      </w:pPr>
      <w:r>
        <w:rPr>
          <w:b/>
          <w:bCs/>
        </w:rPr>
        <w:t xml:space="preserve">Environmental Liability — Stale Phase II ESA (High):</w:t>
      </w:r>
      <w:r>
        <w:t xml:space="preserve"> </w:t>
      </w:r>
      <w:r>
        <w:t xml:space="preserve">The Grand Junction owned facility has documented soil and groundwater contamination (PCE, TCE, petroleum hydrocarbons). The Phase II ESA is 5.5 years old, no vapor intrusion assessment has been conducted, no off-site sentinel wells have been installed, and the $3.2M remediation accrual is based on a stale 2019 estimate. The PLL insurance policy explicitly excludes gradual contamination at owned facilities.</w:t>
      </w:r>
    </w:p>
    <w:p>
      <w:pPr>
        <w:numPr>
          <w:ilvl w:val="0"/>
          <w:numId w:val="1001"/>
        </w:numPr>
      </w:pPr>
      <w:r>
        <w:rPr>
          <w:b/>
          <w:bCs/>
        </w:rPr>
        <w:t xml:space="preserve">Salt Lake City Lease and Permit Failure (High):</w:t>
      </w:r>
      <w:r>
        <w:t xml:space="preserve"> </w:t>
      </w:r>
      <w:r>
        <w:t xml:space="preserve">The SLC transfer station lease (serving ~$16.2M of revenue) has been operated without landlord consent to assignment for 32 months. The Utah hazardous waste permit remains in the name of the acquired subsidiary (Pinnacle Waste Solutions, LLC), not RES. The proposed acquisition would constitute a second change-of-control event requiring fresh landlord consent.</w:t>
      </w:r>
    </w:p>
    <w:p>
      <w:pPr>
        <w:numPr>
          <w:ilvl w:val="0"/>
          <w:numId w:val="1001"/>
        </w:numPr>
      </w:pPr>
      <w:r>
        <w:rPr>
          <w:b/>
          <w:bCs/>
        </w:rPr>
        <w:t xml:space="preserve">Fleet Deferred Replacement Backlog (Medium-High):</w:t>
      </w:r>
      <w:r>
        <w:t xml:space="preserve"> </w:t>
      </w:r>
      <w:r>
        <w:t xml:space="preserve">44.7% of fleet assets (38 of 85) are at or past their stated useful life, with an estimated replacement cost of $9.8M. Management’s normalized maintenance capex of $4.0–$4.5M per year appears understated by $3.0–$3.5M annually, implying a material overstatement of free cash flow conversion.</w:t>
      </w:r>
    </w:p>
    <w:p>
      <w:pPr>
        <w:pStyle w:val="FirstParagraph"/>
      </w:pPr>
      <w:r>
        <w:rPr>
          <w:b/>
          <w:bCs/>
        </w:rPr>
        <w:t xml:space="preserve">Estimated aggregate quantified exposure from identified red flags: $25–$55+ million</w:t>
      </w:r>
      <w:r>
        <w:t xml:space="preserve">, exclusive of unquantifiable long-tail environmental and asbestos liabilities. Buyer should consider price adjustments, enhanced indemnification protections, and targeted representations and warranties insurance coverage in response to the issues identified herein.</w:t>
      </w:r>
    </w:p>
    <w:p>
      <w:r>
        <w:pict>
          <v:rect style="width:0;height:1.5pt" o:hralign="center" o:hrstd="t" o:hr="t"/>
        </w:pict>
      </w:r>
    </w:p>
    <w:bookmarkEnd w:id="22"/>
    <w:bookmarkStart w:id="26" w:name="X4f549ff1aa1a8466f9643957d2721b261608dd9"/>
    <w:p>
      <w:pPr>
        <w:pStyle w:val="Heading2"/>
      </w:pPr>
      <w:r>
        <w:t xml:space="preserve">Red Flag 1 — EBITDA Quality: Overstated Adjusted EBITDA and Internal Inconsistency</w:t>
      </w:r>
    </w:p>
    <w:p>
      <w:pPr>
        <w:pStyle w:val="FirstParagraph"/>
      </w:pPr>
      <w:r>
        <w:rPr>
          <w:b/>
          <w:bCs/>
        </w:rPr>
        <w:t xml:space="preserve">Severity: CRITICAL | Category: Financial / Quality of Earnings</w:t>
      </w:r>
    </w:p>
    <w:bookmarkStart w:id="23" w:name="finding"/>
    <w:p>
      <w:pPr>
        <w:pStyle w:val="Heading3"/>
      </w:pPr>
      <w:r>
        <w:t xml:space="preserve">Finding</w:t>
      </w:r>
    </w:p>
    <w:p>
      <w:pPr>
        <w:pStyle w:val="FirstParagraph"/>
      </w:pPr>
      <w:r>
        <w:t xml:space="preserve">The Company’s Adjusted EBITDA of $22.8 million, as presented in the CIM and used as the basis for the $182–$205 million enterprise value range, is subject to multiple quality concerns:</w:t>
      </w:r>
    </w:p>
    <w:p>
      <w:pPr>
        <w:pStyle w:val="BodyText"/>
      </w:pPr>
      <w:r>
        <w:rPr>
          <w:b/>
          <w:bCs/>
        </w:rPr>
        <w:t xml:space="preserve">1. Internal Reconciliation Discrepancy ($1.0 million).</w:t>
      </w:r>
      <w:r>
        <w:t xml:space="preserve"> </w:t>
      </w:r>
      <w:r>
        <w:t xml:space="preserve">The QofE data request response (EBITDA Bridge tab) calculates Management Adjusted EBITDA at</w:t>
      </w:r>
      <w:r>
        <w:t xml:space="preserve"> </w:t>
      </w:r>
      <w:r>
        <w:rPr>
          <w:b/>
          <w:bCs/>
        </w:rPr>
        <w:t xml:space="preserve">$23.8 million</w:t>
      </w:r>
      <w:r>
        <w:t xml:space="preserve">, not $22.8 million as stated in the CIM. The $1.0 million discrepancy has not been explained or reconciled by management. The data room notes:</w:t>
      </w:r>
      <w:r>
        <w:t xml:space="preserve"> </w:t>
      </w:r>
      <w:r>
        <w:rPr>
          <w:i/>
          <w:iCs/>
        </w:rPr>
        <w:t xml:space="preserve">“</w:t>
      </w:r>
      <w:r>
        <w:rPr>
          <w:i/>
          <w:iCs/>
        </w:rPr>
        <w:t xml:space="preserve">Management intends to reconcile the difference and will provide an updated schedule. The specific adjustment category causing the discrepancy has not been identified.</w:t>
      </w:r>
      <w:r>
        <w:rPr>
          <w:i/>
          <w:iCs/>
        </w:rPr>
        <w:t xml:space="preserve">”</w:t>
      </w:r>
      <w:r>
        <w:t xml:space="preserve"> </w:t>
      </w:r>
      <w:r>
        <w:t xml:space="preserve">This is a fundamental quality-of-earnings failure.</w:t>
      </w:r>
    </w:p>
    <w:p>
      <w:pPr>
        <w:pStyle w:val="BodyText"/>
      </w:pPr>
      <w:r>
        <w:rPr>
          <w:b/>
          <w:bCs/>
        </w:rPr>
        <w:t xml:space="preserve">2. Reported EBITDA Discrepancy.</w:t>
      </w:r>
      <w:r>
        <w:t xml:space="preserve"> </w:t>
      </w:r>
      <w:r>
        <w:t xml:space="preserve">The CIM states Reported EBITDA of $18.4 million. The Historical P&amp;L tab calculates Reported EBITDA (EBIT + D&amp;A) at</w:t>
      </w:r>
      <w:r>
        <w:t xml:space="preserve"> </w:t>
      </w:r>
      <w:r>
        <w:rPr>
          <w:b/>
          <w:bCs/>
        </w:rPr>
        <w:t xml:space="preserve">$26.0 million</w:t>
      </w:r>
      <w:r>
        <w:t xml:space="preserve"> </w:t>
      </w:r>
      <w:r>
        <w:t xml:space="preserve">($18.4M EBIT + $7.6M D&amp;A). Management appears to be presenting EBIT as</w:t>
      </w:r>
      <w:r>
        <w:t xml:space="preserve"> </w:t>
      </w:r>
      <w:r>
        <w:t xml:space="preserve">“</w:t>
      </w:r>
      <w:r>
        <w:t xml:space="preserve">Reported EBITDA</w:t>
      </w:r>
      <w:r>
        <w:t xml:space="preserve">”</w:t>
      </w:r>
      <w:r>
        <w:t xml:space="preserve"> </w:t>
      </w:r>
      <w:r>
        <w:t xml:space="preserve">in the CIM, understating the reported base and inflating the apparent magnitude of add-backs.</w:t>
      </w:r>
    </w:p>
    <w:p>
      <w:pPr>
        <w:pStyle w:val="BodyText"/>
      </w:pPr>
      <w:r>
        <w:rPr>
          <w:b/>
          <w:bCs/>
        </w:rPr>
        <w:t xml:space="preserve">3. Aggressive Add-Back Classification ($5.4 million total).</w:t>
      </w:r>
      <w:r>
        <w:t xml:space="preserve"> </w:t>
      </w:r>
      <w:r>
        <w:t xml:space="preserve">The $5.4 million in management adjustments includes items of questionable non-recurring character:</w:t>
      </w:r>
      <w:r>
        <w:t xml:space="preserve"> </w:t>
      </w:r>
      <w:r>
        <w:t xml:space="preserve">-</w:t>
      </w:r>
      <w:r>
        <w:t xml:space="preserve"> </w:t>
      </w:r>
      <w:r>
        <w:rPr>
          <w:b/>
          <w:bCs/>
        </w:rPr>
        <w:t xml:space="preserve">Acquisition integration costs ($800K in FY2024):</w:t>
      </w:r>
      <w:r>
        <w:t xml:space="preserve"> </w:t>
      </w:r>
      <w:r>
        <w:t xml:space="preserve">The Pinnacle acquisition closed in March 2022 — over two years before the TTM period. Integration costs continuing into FY2024 suggest either the integration is not</w:t>
      </w:r>
      <w:r>
        <w:t xml:space="preserve"> </w:t>
      </w:r>
      <w:r>
        <w:t xml:space="preserve">“</w:t>
      </w:r>
      <w:r>
        <w:t xml:space="preserve">substantially complete</w:t>
      </w:r>
      <w:r>
        <w:t xml:space="preserve">”</w:t>
      </w:r>
      <w:r>
        <w:t xml:space="preserve"> </w:t>
      </w:r>
      <w:r>
        <w:t xml:space="preserve">as represented, or these are recurring operational costs being misclassified.</w:t>
      </w:r>
      <w:r>
        <w:t xml:space="preserve"> </w:t>
      </w:r>
      <w:r>
        <w:t xml:space="preserve">-</w:t>
      </w:r>
      <w:r>
        <w:t xml:space="preserve"> </w:t>
      </w:r>
      <w:r>
        <w:rPr>
          <w:b/>
          <w:bCs/>
        </w:rPr>
        <w:t xml:space="preserve">Owner compensation normalization ($950K):</w:t>
      </w:r>
      <w:r>
        <w:t xml:space="preserve"> </w:t>
      </w:r>
      <w:r>
        <w:t xml:space="preserve">While a standard adjustment, the implied market-rate replacement cost of $400K per founder-CEO/COO is arguably below market for a $127M revenue environmental services platform, potentially understating the true cost of replacing these executives.</w:t>
      </w:r>
      <w:r>
        <w:t xml:space="preserve"> </w:t>
      </w:r>
      <w:r>
        <w:t xml:space="preserve">-</w:t>
      </w:r>
      <w:r>
        <w:t xml:space="preserve"> </w:t>
      </w:r>
      <w:r>
        <w:rPr>
          <w:b/>
          <w:bCs/>
        </w:rPr>
        <w:t xml:space="preserve">ERP implementation ($650K):</w:t>
      </w:r>
      <w:r>
        <w:t xml:space="preserve"> </w:t>
      </w:r>
      <w:r>
        <w:t xml:space="preserve">The data room notes Phase 2 is expected to complete in Q2 FY2025, suggesting additional implementation costs will be incurred post-closing that are not reflected in the normalized cost structure.</w:t>
      </w:r>
    </w:p>
    <w:p>
      <w:pPr>
        <w:pStyle w:val="BodyText"/>
      </w:pPr>
      <w:r>
        <w:rPr>
          <w:b/>
          <w:bCs/>
        </w:rPr>
        <w:t xml:space="preserve">4. Bank EBITDA vs. Management EBITDA Gap.</w:t>
      </w:r>
      <w:r>
        <w:t xml:space="preserve"> </w:t>
      </w:r>
      <w:r>
        <w:t xml:space="preserve">The Credit Agreement defines Consolidated EBITDA at approximately</w:t>
      </w:r>
      <w:r>
        <w:t xml:space="preserve"> </w:t>
      </w:r>
      <w:r>
        <w:rPr>
          <w:b/>
          <w:bCs/>
        </w:rPr>
        <w:t xml:space="preserve">$18.4 million</w:t>
      </w:r>
      <w:r>
        <w:t xml:space="preserve"> </w:t>
      </w:r>
      <w:r>
        <w:t xml:space="preserve">— $4.4 million below management’s adjusted figure — because the bank definition expressly excludes all five management add-back categories. This is the operative EBITDA for covenant compliance purposes.</w:t>
      </w:r>
    </w:p>
    <w:bookmarkEnd w:id="23"/>
    <w:bookmarkStart w:id="24" w:name="implication"/>
    <w:p>
      <w:pPr>
        <w:pStyle w:val="Heading3"/>
      </w:pPr>
      <w:r>
        <w:t xml:space="preserve">Implication</w:t>
      </w:r>
    </w:p>
    <w:p>
      <w:pPr>
        <w:pStyle w:val="FirstParagraph"/>
      </w:pPr>
      <w:r>
        <w:t xml:space="preserve">At 8.0x–9.0x, each $1 million of EBITDA reduction translates to $8–$9 million of enterprise value. If the QofE process reduces Adjusted EBITDA by $2–$4 million (a plausible outcome given the issues above), the defensible enterprise value range could decline by $16–$36 million.</w:t>
      </w:r>
    </w:p>
    <w:bookmarkEnd w:id="24"/>
    <w:bookmarkStart w:id="25" w:name="required-actions"/>
    <w:p>
      <w:pPr>
        <w:pStyle w:val="Heading3"/>
      </w:pPr>
      <w:r>
        <w:t xml:space="preserve">Required Actions</w:t>
      </w:r>
    </w:p>
    <w:p>
      <w:pPr>
        <w:pStyle w:val="Compact"/>
        <w:numPr>
          <w:ilvl w:val="0"/>
          <w:numId w:val="1002"/>
        </w:numPr>
      </w:pPr>
      <w:r>
        <w:t xml:space="preserve">Demand full reconciliation of the $1.0 million CIM vs. QofE discrepancy before proceeding.</w:t>
      </w:r>
    </w:p>
    <w:p>
      <w:pPr>
        <w:pStyle w:val="Compact"/>
        <w:numPr>
          <w:ilvl w:val="0"/>
          <w:numId w:val="1002"/>
        </w:numPr>
      </w:pPr>
      <w:r>
        <w:t xml:space="preserve">Obtain three years of audited financial statements (required as a closing condition under the LOI).</w:t>
      </w:r>
    </w:p>
    <w:p>
      <w:pPr>
        <w:pStyle w:val="Compact"/>
        <w:numPr>
          <w:ilvl w:val="0"/>
          <w:numId w:val="1002"/>
        </w:numPr>
      </w:pPr>
      <w:r>
        <w:t xml:space="preserve">Conduct independent QofE analysis with particular scrutiny of integration cost classification and ERP capitalization vs. expense treatment.</w:t>
      </w:r>
    </w:p>
    <w:p>
      <w:pPr>
        <w:pStyle w:val="Compact"/>
        <w:numPr>
          <w:ilvl w:val="0"/>
          <w:numId w:val="1002"/>
        </w:numPr>
      </w:pPr>
      <w:r>
        <w:t xml:space="preserve">Validate that FY2024 is not a peak earnings year inflated by one-time project completions.</w:t>
      </w:r>
    </w:p>
    <w:p>
      <w:r>
        <w:pict>
          <v:rect style="width:0;height:1.5pt" o:hralign="center" o:hrstd="t" o:hr="t"/>
        </w:pict>
      </w:r>
    </w:p>
    <w:bookmarkEnd w:id="25"/>
    <w:bookmarkEnd w:id="26"/>
    <w:bookmarkStart w:id="30" w:name="Xa646889ab40be833f6e08c745abcdecb687fcf1"/>
    <w:p>
      <w:pPr>
        <w:pStyle w:val="Heading2"/>
      </w:pPr>
      <w:r>
        <w:t xml:space="preserve">Red Flag 2 — DOE Contract: IDIQ Ceiling Near Exhaustion / Revenue Cliff</w:t>
      </w:r>
    </w:p>
    <w:p>
      <w:pPr>
        <w:pStyle w:val="FirstParagraph"/>
      </w:pPr>
      <w:r>
        <w:rPr>
          <w:b/>
          <w:bCs/>
        </w:rPr>
        <w:t xml:space="preserve">Severity: CRITICAL | Category: Revenue Quality / Customer Concentration</w:t>
      </w:r>
    </w:p>
    <w:bookmarkStart w:id="27" w:name="finding-1"/>
    <w:p>
      <w:pPr>
        <w:pStyle w:val="Heading3"/>
      </w:pPr>
      <w:r>
        <w:t xml:space="preserve">Finding</w:t>
      </w:r>
    </w:p>
    <w:p>
      <w:pPr>
        <w:pStyle w:val="FirstParagraph"/>
      </w:pPr>
      <w:r>
        <w:t xml:space="preserve">The U.S. Department of Energy represents</w:t>
      </w:r>
      <w:r>
        <w:t xml:space="preserve"> </w:t>
      </w:r>
      <w:r>
        <w:rPr>
          <w:b/>
          <w:bCs/>
        </w:rPr>
        <w:t xml:space="preserve">19.2% of TTM revenue ($24.4 million)</w:t>
      </w:r>
      <w:r>
        <w:t xml:space="preserve"> </w:t>
      </w:r>
      <w:r>
        <w:t xml:space="preserve">— the Company’s single largest customer. The revenue is generated under IDIQ Contract No. DE-EM-0005523 (5-year term, $45 million ceiling, expiring August 31, 2026). The customer contract summary reveals a critical and undisclosed revenue sustainability risk:</w:t>
      </w:r>
    </w:p>
    <w:p>
      <w:pPr>
        <w:pStyle w:val="Compact"/>
        <w:numPr>
          <w:ilvl w:val="0"/>
          <w:numId w:val="1003"/>
        </w:numPr>
      </w:pPr>
      <w:r>
        <w:rPr>
          <w:b/>
          <w:bCs/>
        </w:rPr>
        <w:t xml:space="preserve">Ceiling utilization: 72.7%</w:t>
      </w:r>
      <w:r>
        <w:t xml:space="preserve"> </w:t>
      </w:r>
      <w:r>
        <w:t xml:space="preserve">($32.7M of $45.0M consumed) with only</w:t>
      </w:r>
      <w:r>
        <w:t xml:space="preserve"> </w:t>
      </w:r>
      <w:r>
        <w:rPr>
          <w:b/>
          <w:bCs/>
        </w:rPr>
        <w:t xml:space="preserve">61.7% of the contract period elapsed</w:t>
      </w:r>
      <w:r>
        <w:t xml:space="preserve">.</w:t>
      </w:r>
    </w:p>
    <w:p>
      <w:pPr>
        <w:pStyle w:val="Compact"/>
        <w:numPr>
          <w:ilvl w:val="0"/>
          <w:numId w:val="1003"/>
        </w:numPr>
      </w:pPr>
      <w:r>
        <w:rPr>
          <w:b/>
          <w:bCs/>
        </w:rPr>
        <w:t xml:space="preserve">Remaining ceiling: $12.3 million</w:t>
      </w:r>
      <w:r>
        <w:t xml:space="preserve"> </w:t>
      </w:r>
      <w:r>
        <w:t xml:space="preserve">— insufficient to sustain the current $24.4M annual run rate for even 6 months.</w:t>
      </w:r>
    </w:p>
    <w:p>
      <w:pPr>
        <w:pStyle w:val="Compact"/>
        <w:numPr>
          <w:ilvl w:val="0"/>
          <w:numId w:val="1003"/>
        </w:numPr>
      </w:pPr>
      <w:r>
        <w:rPr>
          <w:b/>
          <w:bCs/>
        </w:rPr>
        <w:t xml:space="preserve">Projected ceiling exhaustion: April–May 2025</w:t>
      </w:r>
      <w:r>
        <w:t xml:space="preserve"> </w:t>
      </w:r>
      <w:r>
        <w:t xml:space="preserve">— approximately at the target closing date.</w:t>
      </w:r>
    </w:p>
    <w:p>
      <w:pPr>
        <w:pStyle w:val="Compact"/>
        <w:numPr>
          <w:ilvl w:val="0"/>
          <w:numId w:val="1003"/>
        </w:numPr>
      </w:pPr>
      <w:r>
        <w:rPr>
          <w:b/>
          <w:bCs/>
        </w:rPr>
        <w:t xml:space="preserve">Revenue at risk in FY2025: ~$12.1 million</w:t>
      </w:r>
      <w:r>
        <w:t xml:space="preserve"> </w:t>
      </w:r>
      <w:r>
        <w:t xml:space="preserve">(9.5% of total revenue) if the ceiling is not increased or a new contract awarded.</w:t>
      </w:r>
    </w:p>
    <w:p>
      <w:pPr>
        <w:pStyle w:val="FirstParagraph"/>
      </w:pPr>
      <w:r>
        <w:t xml:space="preserve">The CIM presents the DOE relationship as providing</w:t>
      </w:r>
      <w:r>
        <w:t xml:space="preserve"> </w:t>
      </w:r>
      <w:r>
        <w:t xml:space="preserve">“</w:t>
      </w:r>
      <w:r>
        <w:t xml:space="preserve">substantial near-term revenue visibility</w:t>
      </w:r>
      <w:r>
        <w:t xml:space="preserve">”</w:t>
      </w:r>
      <w:r>
        <w:t xml:space="preserve"> </w:t>
      </w:r>
      <w:r>
        <w:t xml:space="preserve">through August 2026 — a materially misleading characterization given that the ceiling will be exhausted approximately 16 months before contract expiration.</w:t>
      </w:r>
    </w:p>
    <w:p>
      <w:pPr>
        <w:pStyle w:val="BodyText"/>
      </w:pPr>
      <w:r>
        <w:rPr>
          <w:b/>
          <w:bCs/>
        </w:rPr>
        <w:t xml:space="preserve">Assignment/Novation Risk.</w:t>
      </w:r>
      <w:r>
        <w:t xml:space="preserve"> </w:t>
      </w:r>
      <w:r>
        <w:t xml:space="preserve">The contract is non-assignable under the Anti-Assignment Act (41 U.S.C. § 6305). While a stock acquisition may not technically constitute an assignment, Contract Clause H-12 requires written notification to the Contracting Officer within 30 days of any change in ownership exceeding 50%. Failure to notify may constitute grounds for termination for default. A novation agreement may be required, which requires Government consent and could delay or complicate closing.</w:t>
      </w:r>
    </w:p>
    <w:bookmarkEnd w:id="27"/>
    <w:bookmarkStart w:id="28" w:name="implication-1"/>
    <w:p>
      <w:pPr>
        <w:pStyle w:val="Heading3"/>
      </w:pPr>
      <w:r>
        <w:t xml:space="preserve">Implication</w:t>
      </w:r>
    </w:p>
    <w:p>
      <w:pPr>
        <w:pStyle w:val="FirstParagraph"/>
      </w:pPr>
      <w:r>
        <w:t xml:space="preserve">The DOE revenue cliff represents a potential</w:t>
      </w:r>
      <w:r>
        <w:t xml:space="preserve"> </w:t>
      </w:r>
      <w:r>
        <w:rPr>
          <w:b/>
          <w:bCs/>
        </w:rPr>
        <w:t xml:space="preserve">$12+ million annual revenue headwind</w:t>
      </w:r>
      <w:r>
        <w:t xml:space="preserve"> </w:t>
      </w:r>
      <w:r>
        <w:t xml:space="preserve">beginning in FY2025 — the first full year of Buyer’s ownership. At current margins, this could reduce EBITDA by $2–$3 million, implying a $16–$27 million reduction in enterprise value at the stated multiple. The CIM’s forward revenue projections appear to assume continued DOE revenue at current levels, which is not supportable given ceiling constraints.</w:t>
      </w:r>
    </w:p>
    <w:bookmarkEnd w:id="28"/>
    <w:bookmarkStart w:id="29" w:name="required-actions-1"/>
    <w:p>
      <w:pPr>
        <w:pStyle w:val="Heading3"/>
      </w:pPr>
      <w:r>
        <w:t xml:space="preserve">Required Actions</w:t>
      </w:r>
    </w:p>
    <w:p>
      <w:pPr>
        <w:pStyle w:val="Compact"/>
        <w:numPr>
          <w:ilvl w:val="0"/>
          <w:numId w:val="1004"/>
        </w:numPr>
      </w:pPr>
      <w:r>
        <w:t xml:space="preserve">Obtain written confirmation from the DOE Contracting Officer regarding ceiling modification prospects and novation requirements.</w:t>
      </w:r>
    </w:p>
    <w:p>
      <w:pPr>
        <w:pStyle w:val="Compact"/>
        <w:numPr>
          <w:ilvl w:val="0"/>
          <w:numId w:val="1004"/>
        </w:numPr>
      </w:pPr>
      <w:r>
        <w:t xml:space="preserve">Require management to provide a detailed FY2025 revenue bridge that explicitly addresses the DOE ceiling exhaustion.</w:t>
      </w:r>
    </w:p>
    <w:p>
      <w:pPr>
        <w:pStyle w:val="Compact"/>
        <w:numPr>
          <w:ilvl w:val="0"/>
          <w:numId w:val="1004"/>
        </w:numPr>
      </w:pPr>
      <w:r>
        <w:t xml:space="preserve">Adjust enterprise value to reflect a normalized DOE revenue contribution consistent with the remaining ceiling.</w:t>
      </w:r>
    </w:p>
    <w:p>
      <w:pPr>
        <w:pStyle w:val="Compact"/>
        <w:numPr>
          <w:ilvl w:val="0"/>
          <w:numId w:val="1004"/>
        </w:numPr>
      </w:pPr>
      <w:r>
        <w:t xml:space="preserve">Include a specific indemnification or earnout mechanism tied to DOE contract renewal/ceiling modification.</w:t>
      </w:r>
    </w:p>
    <w:p>
      <w:r>
        <w:pict>
          <v:rect style="width:0;height:1.5pt" o:hralign="center" o:hrstd="t" o:hr="t"/>
        </w:pict>
      </w:r>
    </w:p>
    <w:bookmarkEnd w:id="29"/>
    <w:bookmarkEnd w:id="30"/>
    <w:bookmarkStart w:id="34" w:name="X475745ed123442ed4daa42819410821430ec335"/>
    <w:p>
      <w:pPr>
        <w:pStyle w:val="Heading2"/>
      </w:pPr>
      <w:r>
        <w:t xml:space="preserve">Red Flag 3 — Environmental Liability: Stale Phase II ESA and Unquantified Exposure</w:t>
      </w:r>
    </w:p>
    <w:p>
      <w:pPr>
        <w:pStyle w:val="FirstParagraph"/>
      </w:pPr>
      <w:r>
        <w:rPr>
          <w:b/>
          <w:bCs/>
        </w:rPr>
        <w:t xml:space="preserve">Severity: HIGH | Category: Environmental</w:t>
      </w:r>
    </w:p>
    <w:bookmarkStart w:id="31" w:name="finding-2"/>
    <w:p>
      <w:pPr>
        <w:pStyle w:val="Heading3"/>
      </w:pPr>
      <w:r>
        <w:t xml:space="preserve">Finding</w:t>
      </w:r>
    </w:p>
    <w:p>
      <w:pPr>
        <w:pStyle w:val="FirstParagraph"/>
      </w:pPr>
      <w:r>
        <w:t xml:space="preserve">The Company’s owned Grand Junction headquarters (8750 Industrial Parkway) has documented soil and groundwater contamination from pre-acquisition industrial operations. The Phase II ESA (Elkhorn Environmental Consultants, June 2019) identified:</w:t>
      </w:r>
    </w:p>
    <w:p>
      <w:pPr>
        <w:pStyle w:val="Compact"/>
        <w:numPr>
          <w:ilvl w:val="0"/>
          <w:numId w:val="1005"/>
        </w:numPr>
      </w:pPr>
      <w:r>
        <w:rPr>
          <w:b/>
          <w:bCs/>
        </w:rPr>
        <w:t xml:space="preserve">Petroleum hydrocarbon contamination</w:t>
      </w:r>
      <w:r>
        <w:t xml:space="preserve"> </w:t>
      </w:r>
      <w:r>
        <w:t xml:space="preserve">(TPH-diesel up to 4,200 mg/kg; benzene in groundwater at 12 µg/L — 2.4x the Colorado standard) in the former UST area.</w:t>
      </w:r>
    </w:p>
    <w:p>
      <w:pPr>
        <w:pStyle w:val="Compact"/>
        <w:numPr>
          <w:ilvl w:val="0"/>
          <w:numId w:val="1005"/>
        </w:numPr>
      </w:pPr>
      <w:r>
        <w:rPr>
          <w:b/>
          <w:bCs/>
        </w:rPr>
        <w:t xml:space="preserve">Chlorinated solvent contamination</w:t>
      </w:r>
      <w:r>
        <w:t xml:space="preserve"> </w:t>
      </w:r>
      <w:r>
        <w:t xml:space="preserve">(PCE up to 18 mg/kg in soil; PCE at 22 µg/L and TCE at 8.7 µg/L in groundwater — both exceeding Colorado standards) in the former degreasing area.</w:t>
      </w:r>
    </w:p>
    <w:p>
      <w:pPr>
        <w:pStyle w:val="Compact"/>
        <w:numPr>
          <w:ilvl w:val="0"/>
          <w:numId w:val="1005"/>
        </w:numPr>
      </w:pPr>
      <w:r>
        <w:rPr>
          <w:b/>
          <w:bCs/>
        </w:rPr>
        <w:t xml:space="preserve">Vapor intrusion risk</w:t>
      </w:r>
      <w:r>
        <w:t xml:space="preserve"> </w:t>
      </w:r>
      <w:r>
        <w:t xml:space="preserve">at the occupied vehicle maintenance building (PCE at 450 µg/m³ and TCE at 120 µg/m³ in soil gas — both exceeding EPA RSLs). No vapor intrusion assessment has been conducted.</w:t>
      </w:r>
    </w:p>
    <w:p>
      <w:pPr>
        <w:pStyle w:val="Compact"/>
        <w:numPr>
          <w:ilvl w:val="0"/>
          <w:numId w:val="1005"/>
        </w:numPr>
      </w:pPr>
      <w:r>
        <w:rPr>
          <w:b/>
          <w:bCs/>
        </w:rPr>
        <w:t xml:space="preserve">Potential off-site plume migration</w:t>
      </w:r>
      <w:r>
        <w:t xml:space="preserve"> </w:t>
      </w:r>
      <w:r>
        <w:t xml:space="preserve">toward the Colorado River drainage — no off-site sentinel wells have been installed as recommended.</w:t>
      </w:r>
    </w:p>
    <w:p>
      <w:pPr>
        <w:pStyle w:val="FirstParagraph"/>
      </w:pPr>
      <w:r>
        <w:rPr>
          <w:b/>
          <w:bCs/>
        </w:rPr>
        <w:t xml:space="preserve">The Phase II ESA is now 5.5 years old.</w:t>
      </w:r>
      <w:r>
        <w:t xml:space="preserve"> </w:t>
      </w:r>
      <w:r>
        <w:t xml:space="preserve">The ESA itself states it</w:t>
      </w:r>
      <w:r>
        <w:t xml:space="preserve"> </w:t>
      </w:r>
      <w:r>
        <w:t xml:space="preserve">“</w:t>
      </w:r>
      <w:r>
        <w:t xml:space="preserve">should not be relied upon as representative of conditions at any future date without updated investigation</w:t>
      </w:r>
      <w:r>
        <w:t xml:space="preserve">”</w:t>
      </w:r>
      <w:r>
        <w:t xml:space="preserve"> </w:t>
      </w:r>
      <w:r>
        <w:t xml:space="preserve">and expressly recommends updating prior to any property transaction. No updated investigation has been performed. The 2019 cost estimate of $1.8–$2.6 million has not been refreshed for inflation or potential plume migration.</w:t>
      </w:r>
    </w:p>
    <w:p>
      <w:pPr>
        <w:pStyle w:val="BodyText"/>
      </w:pPr>
      <w:r>
        <w:rPr>
          <w:b/>
          <w:bCs/>
        </w:rPr>
        <w:t xml:space="preserve">Insurance Gap.</w:t>
      </w:r>
      <w:r>
        <w:t xml:space="preserve"> </w:t>
      </w:r>
      <w:r>
        <w:t xml:space="preserve">The Pollution Legal Liability policy explicitly</w:t>
      </w:r>
      <w:r>
        <w:t xml:space="preserve"> </w:t>
      </w:r>
      <w:r>
        <w:rPr>
          <w:b/>
          <w:bCs/>
        </w:rPr>
        <w:t xml:space="preserve">excludes</w:t>
      </w:r>
      <w:r>
        <w:t xml:space="preserve"> </w:t>
      </w:r>
      <w:r>
        <w:t xml:space="preserve">gradual contamination at owned facilities — precisely the characterization applied to the Grand Junction contamination in the Phase II ESA (</w:t>
      </w:r>
      <w:r>
        <w:t xml:space="preserve">“</w:t>
      </w:r>
      <w:r>
        <w:t xml:space="preserve">gradual releases over extended periods</w:t>
      </w:r>
      <w:r>
        <w:t xml:space="preserve">”</w:t>
      </w:r>
      <w:r>
        <w:t xml:space="preserve">). The $3.2 million environmental remediation accrual on the balance sheet is based on the stale 2019 estimate and may be materially understated.</w:t>
      </w:r>
    </w:p>
    <w:p>
      <w:pPr>
        <w:pStyle w:val="BodyText"/>
      </w:pPr>
      <w:r>
        <w:rPr>
          <w:b/>
          <w:bCs/>
        </w:rPr>
        <w:t xml:space="preserve">Active RCRA Enforcement.</w:t>
      </w:r>
      <w:r>
        <w:t xml:space="preserve"> </w:t>
      </w:r>
      <w:r>
        <w:t xml:space="preserve">CDPHE has issued a Notice of Violation (Docket No. CDPHE-HW-2024-0093) for improper hazardous waste storage at the Grand Junction facility. The penalty exposure ranges from $200K–$450K (Company’s position) to $1.16 million (CDPHE’s position). No accrual has been recorded.</w:t>
      </w:r>
    </w:p>
    <w:bookmarkEnd w:id="31"/>
    <w:bookmarkStart w:id="32" w:name="implication-2"/>
    <w:p>
      <w:pPr>
        <w:pStyle w:val="Heading3"/>
      </w:pPr>
      <w:r>
        <w:t xml:space="preserve">Implication</w:t>
      </w:r>
    </w:p>
    <w:p>
      <w:pPr>
        <w:pStyle w:val="FirstParagraph"/>
      </w:pPr>
      <w:r>
        <w:t xml:space="preserve">The true remediation cost could materially exceed the $3.2 million accrual if: (i) the plume has migrated off-site; (ii) vapor intrusion mitigation is required; (iii) DNAPL migration has deepened the chlorinated solvent plume; or (iv) regulatory standards have tightened. The LOI contemplates a 6-year survival period for environmental representations — appropriate given this exposure.</w:t>
      </w:r>
    </w:p>
    <w:bookmarkEnd w:id="32"/>
    <w:bookmarkStart w:id="33" w:name="required-actions-2"/>
    <w:p>
      <w:pPr>
        <w:pStyle w:val="Heading3"/>
      </w:pPr>
      <w:r>
        <w:t xml:space="preserve">Required Actions</w:t>
      </w:r>
    </w:p>
    <w:p>
      <w:pPr>
        <w:pStyle w:val="Compact"/>
        <w:numPr>
          <w:ilvl w:val="0"/>
          <w:numId w:val="1006"/>
        </w:numPr>
      </w:pPr>
      <w:r>
        <w:t xml:space="preserve">Commission an updated Phase II ESA and vapor intrusion assessment as a condition to closing (or negotiate a price reduction/escrow for environmental uncertainty).</w:t>
      </w:r>
    </w:p>
    <w:p>
      <w:pPr>
        <w:pStyle w:val="Compact"/>
        <w:numPr>
          <w:ilvl w:val="0"/>
          <w:numId w:val="1006"/>
        </w:numPr>
      </w:pPr>
      <w:r>
        <w:t xml:space="preserve">Install off-site sentinel monitoring wells to confirm plume containment.</w:t>
      </w:r>
    </w:p>
    <w:p>
      <w:pPr>
        <w:pStyle w:val="Compact"/>
        <w:numPr>
          <w:ilvl w:val="0"/>
          <w:numId w:val="1006"/>
        </w:numPr>
      </w:pPr>
      <w:r>
        <w:t xml:space="preserve">Obtain an independent remediation cost estimate in current dollars.</w:t>
      </w:r>
    </w:p>
    <w:p>
      <w:pPr>
        <w:pStyle w:val="Compact"/>
        <w:numPr>
          <w:ilvl w:val="0"/>
          <w:numId w:val="1006"/>
        </w:numPr>
      </w:pPr>
      <w:r>
        <w:t xml:space="preserve">Negotiate specific environmental indemnification with a separate, higher cap (above the general 10% holdback).</w:t>
      </w:r>
    </w:p>
    <w:p>
      <w:pPr>
        <w:pStyle w:val="Compact"/>
        <w:numPr>
          <w:ilvl w:val="0"/>
          <w:numId w:val="1006"/>
        </w:numPr>
      </w:pPr>
      <w:r>
        <w:t xml:space="preserve">Require resolution or accrual of the CDPHE enforcement action prior to closing.</w:t>
      </w:r>
    </w:p>
    <w:p>
      <w:r>
        <w:pict>
          <v:rect style="width:0;height:1.5pt" o:hralign="center" o:hrstd="t" o:hr="t"/>
        </w:pict>
      </w:r>
    </w:p>
    <w:bookmarkEnd w:id="33"/>
    <w:bookmarkEnd w:id="34"/>
    <w:bookmarkStart w:id="37" w:name="X30e4a4fd62c51efd77d5a0e77ad1aaaaab03bd6"/>
    <w:p>
      <w:pPr>
        <w:pStyle w:val="Heading2"/>
      </w:pPr>
      <w:r>
        <w:t xml:space="preserve">Red Flag 4 — Salt Lake City Lease: Dual Consent Failure and Facility Disruption Risk</w:t>
      </w:r>
    </w:p>
    <w:p>
      <w:pPr>
        <w:pStyle w:val="FirstParagraph"/>
      </w:pPr>
      <w:r>
        <w:rPr>
          <w:b/>
          <w:bCs/>
        </w:rPr>
        <w:t xml:space="preserve">Severity: HIGH | Category: Real Property / Regulatory</w:t>
      </w:r>
    </w:p>
    <w:bookmarkStart w:id="35" w:name="finding-3"/>
    <w:p>
      <w:pPr>
        <w:pStyle w:val="Heading3"/>
      </w:pPr>
      <w:r>
        <w:t xml:space="preserve">Finding</w:t>
      </w:r>
    </w:p>
    <w:p>
      <w:pPr>
        <w:pStyle w:val="FirstParagraph"/>
      </w:pPr>
      <w:r>
        <w:t xml:space="preserve">The Salt Lake City transfer station (2100 West North Temple) is the Company’s second-largest facility by revenue contribution (~$16.2 million, or 12.7% of total revenue). This facility presents a compounding set of unresolved issues:</w:t>
      </w:r>
    </w:p>
    <w:p>
      <w:pPr>
        <w:pStyle w:val="BodyText"/>
      </w:pPr>
      <w:r>
        <w:rPr>
          <w:b/>
          <w:bCs/>
        </w:rPr>
        <w:t xml:space="preserve">1. Unresolved Lease Assignment (2+ Years Outstanding).</w:t>
      </w:r>
      <w:r>
        <w:t xml:space="preserve"> </w:t>
      </w:r>
      <w:r>
        <w:t xml:space="preserve">The SLC lease was executed by Pinnacle Waste Solutions, LLC in 2019. Following RES’s acquisition of Pinnacle in March 2022, RES submitted a consent-to-assignment request to landlord Wasatch Industrial Properties, LLC on April 12, 2022. As of December 2024 —</w:t>
      </w:r>
      <w:r>
        <w:t xml:space="preserve"> </w:t>
      </w:r>
      <w:r>
        <w:rPr>
          <w:b/>
          <w:bCs/>
        </w:rPr>
        <w:t xml:space="preserve">32 months later</w:t>
      </w:r>
      <w:r>
        <w:t xml:space="preserve"> </w:t>
      </w:r>
      <w:r>
        <w:t xml:space="preserve">— no written consent has been received. The lease explicitly requires landlord consent for any change of control of the tenant. RES is operating the facility without formal landlord consent, creating a potential default condition.</w:t>
      </w:r>
    </w:p>
    <w:p>
      <w:pPr>
        <w:pStyle w:val="BodyText"/>
      </w:pPr>
      <w:r>
        <w:rPr>
          <w:b/>
          <w:bCs/>
        </w:rPr>
        <w:t xml:space="preserve">2. Second Change-of-Control Event.</w:t>
      </w:r>
      <w:r>
        <w:t xml:space="preserve"> </w:t>
      </w:r>
      <w:r>
        <w:t xml:space="preserve">The proposed Sycamore acquisition would constitute a second change-of-control event under the lease, requiring a separate landlord consent. The landlord has already sent a</w:t>
      </w:r>
      <w:r>
        <w:t xml:space="preserve"> </w:t>
      </w:r>
      <w:r>
        <w:t xml:space="preserve">“</w:t>
      </w:r>
      <w:r>
        <w:t xml:space="preserve">lease compliance inquiry</w:t>
      </w:r>
      <w:r>
        <w:t xml:space="preserve">”</w:t>
      </w:r>
      <w:r>
        <w:t xml:space="preserve"> </w:t>
      </w:r>
      <w:r>
        <w:t xml:space="preserve">in November 2024 specifically referencing the consent-to-assignment clause — suggesting the landlord is aware of and focused on this issue.</w:t>
      </w:r>
    </w:p>
    <w:p>
      <w:pPr>
        <w:pStyle w:val="BodyText"/>
      </w:pPr>
      <w:r>
        <w:rPr>
          <w:b/>
          <w:bCs/>
        </w:rPr>
        <w:t xml:space="preserve">3. Permit Not Transferred.</w:t>
      </w:r>
      <w:r>
        <w:t xml:space="preserve"> </w:t>
      </w:r>
      <w:r>
        <w:t xml:space="preserve">Utah hazardous waste permit UTH-0441 remains in the name of Pinnacle Waste Solutions, LLC — not RES. The permit transfer application has been pending with the Utah Division of Waste Management since 2022. Operating under a permit issued to a different entity (even a wholly-owned subsidiary) creates regulatory compliance risk.</w:t>
      </w:r>
    </w:p>
    <w:p>
      <w:pPr>
        <w:pStyle w:val="BodyText"/>
      </w:pPr>
      <w:r>
        <w:rPr>
          <w:b/>
          <w:bCs/>
        </w:rPr>
        <w:t xml:space="preserve">4. Revenue Concentration at Risk.</w:t>
      </w:r>
      <w:r>
        <w:t xml:space="preserve"> </w:t>
      </w:r>
      <w:r>
        <w:t xml:space="preserve">Customers served from the SLC facility include Wasatch Front Petroleum ($6.4M), Silver Creek Mining ($5.8M), Utah DEQ ($4.6M partial), Summit County ($2.9M partial), and others. Disruption to this facility — whether from landlord action or permit issues — could affect approximately</w:t>
      </w:r>
      <w:r>
        <w:t xml:space="preserve"> </w:t>
      </w:r>
      <w:r>
        <w:rPr>
          <w:b/>
          <w:bCs/>
        </w:rPr>
        <w:t xml:space="preserve">$16.2 million of annual revenue</w:t>
      </w:r>
      <w:r>
        <w:t xml:space="preserve">.</w:t>
      </w:r>
    </w:p>
    <w:bookmarkEnd w:id="35"/>
    <w:bookmarkStart w:id="36" w:name="required-actions-3"/>
    <w:p>
      <w:pPr>
        <w:pStyle w:val="Heading3"/>
      </w:pPr>
      <w:r>
        <w:t xml:space="preserve">Required Actions</w:t>
      </w:r>
    </w:p>
    <w:p>
      <w:pPr>
        <w:pStyle w:val="Compact"/>
        <w:numPr>
          <w:ilvl w:val="0"/>
          <w:numId w:val="1007"/>
        </w:numPr>
      </w:pPr>
      <w:r>
        <w:t xml:space="preserve">Obtain landlord consent to the existing Pinnacle-to-RES assignment and to the proposed Sycamore acquisition as a condition to closing.</w:t>
      </w:r>
    </w:p>
    <w:p>
      <w:pPr>
        <w:pStyle w:val="Compact"/>
        <w:numPr>
          <w:ilvl w:val="0"/>
          <w:numId w:val="1007"/>
        </w:numPr>
      </w:pPr>
      <w:r>
        <w:t xml:space="preserve">Complete the Utah permit transfer to RES prior to closing.</w:t>
      </w:r>
    </w:p>
    <w:p>
      <w:pPr>
        <w:pStyle w:val="Compact"/>
        <w:numPr>
          <w:ilvl w:val="0"/>
          <w:numId w:val="1007"/>
        </w:numPr>
      </w:pPr>
      <w:r>
        <w:t xml:space="preserve">Negotiate a specific indemnification or purchase price escrow for SLC facility disruption risk.</w:t>
      </w:r>
    </w:p>
    <w:p>
      <w:pPr>
        <w:pStyle w:val="Compact"/>
        <w:numPr>
          <w:ilvl w:val="0"/>
          <w:numId w:val="1007"/>
        </w:numPr>
      </w:pPr>
      <w:r>
        <w:t xml:space="preserve">Evaluate whether the landlord’s acceptance of rent payments without objection constitutes implied consent under Utah law.</w:t>
      </w:r>
    </w:p>
    <w:p>
      <w:r>
        <w:pict>
          <v:rect style="width:0;height:1.5pt" o:hralign="center" o:hrstd="t" o:hr="t"/>
        </w:pict>
      </w:r>
    </w:p>
    <w:bookmarkEnd w:id="36"/>
    <w:bookmarkEnd w:id="37"/>
    <w:bookmarkStart w:id="40" w:name="X3ad5ac3e2ec88fcc0abf51eb2517adc7bbae371"/>
    <w:p>
      <w:pPr>
        <w:pStyle w:val="Heading2"/>
      </w:pPr>
      <w:r>
        <w:t xml:space="preserve">Red Flag 5 — Government and Commercial Contract Assignment Risk</w:t>
      </w:r>
    </w:p>
    <w:p>
      <w:pPr>
        <w:pStyle w:val="FirstParagraph"/>
      </w:pPr>
      <w:r>
        <w:rPr>
          <w:b/>
          <w:bCs/>
        </w:rPr>
        <w:t xml:space="preserve">Severity: HIGH | Category: Government Contracts / Commercial Contracts</w:t>
      </w:r>
    </w:p>
    <w:bookmarkStart w:id="38" w:name="finding-4"/>
    <w:p>
      <w:pPr>
        <w:pStyle w:val="Heading3"/>
      </w:pPr>
      <w:r>
        <w:t xml:space="preserve">Finding</w:t>
      </w:r>
    </w:p>
    <w:p>
      <w:pPr>
        <w:pStyle w:val="FirstParagraph"/>
      </w:pPr>
      <w:r>
        <w:t xml:space="preserve">The DOE IDIQ contract (DE-EM-0005523) is subject to the Anti-Assignment Act (41 U.S.C. § 6305) and FAR 42.12. While a stock acquisition technically transfers the contracting entity rather than the contract itself, Contract Clause H-12 requires written notification to the Contracting Officer within 30 days of any change in ownership exceeding 50%, with failure to notify potentially constituting grounds for termination for default.</w:t>
      </w:r>
    </w:p>
    <w:p>
      <w:pPr>
        <w:pStyle w:val="BodyText"/>
      </w:pPr>
      <w:r>
        <w:t xml:space="preserve">Additionally, 8 of the top 20 customer contracts contain assignment, change-of-control, or notification provisions, including:</w:t>
      </w:r>
      <w:r>
        <w:t xml:space="preserve"> </w:t>
      </w:r>
      <w:r>
        <w:t xml:space="preserve">-</w:t>
      </w:r>
      <w:r>
        <w:t xml:space="preserve"> </w:t>
      </w:r>
      <w:r>
        <w:rPr>
          <w:b/>
          <w:bCs/>
        </w:rPr>
        <w:t xml:space="preserve">Intermountain Health Systems ($7.1M):</w:t>
      </w:r>
      <w:r>
        <w:t xml:space="preserve"> </w:t>
      </w:r>
      <w:r>
        <w:t xml:space="preserve">Requires prior written consent; 60-day advance notice of change of control.</w:t>
      </w:r>
      <w:r>
        <w:t xml:space="preserve"> </w:t>
      </w:r>
      <w:r>
        <w:t xml:space="preserve">-</w:t>
      </w:r>
      <w:r>
        <w:t xml:space="preserve"> </w:t>
      </w:r>
      <w:r>
        <w:rPr>
          <w:b/>
          <w:bCs/>
        </w:rPr>
        <w:t xml:space="preserve">Rocky Mountain Pipeline Systems ($4.2M):</w:t>
      </w:r>
      <w:r>
        <w:t xml:space="preserve"> </w:t>
      </w:r>
      <w:r>
        <w:t xml:space="preserve">Requires prior written consent; 30-day notification and consent period.</w:t>
      </w:r>
      <w:r>
        <w:t xml:space="preserve"> </w:t>
      </w:r>
      <w:r>
        <w:t xml:space="preserve">-</w:t>
      </w:r>
      <w:r>
        <w:t xml:space="preserve"> </w:t>
      </w:r>
      <w:r>
        <w:rPr>
          <w:b/>
          <w:bCs/>
        </w:rPr>
        <w:t xml:space="preserve">Colorado DOT ($3.9M):</w:t>
      </w:r>
      <w:r>
        <w:t xml:space="preserve"> </w:t>
      </w:r>
      <w:r>
        <w:t xml:space="preserve">Requires prior written consent; notification required for change in ownership.</w:t>
      </w:r>
      <w:r>
        <w:t xml:space="preserve"> </w:t>
      </w:r>
      <w:r>
        <w:t xml:space="preserve">-</w:t>
      </w:r>
      <w:r>
        <w:t xml:space="preserve"> </w:t>
      </w:r>
      <w:r>
        <w:rPr>
          <w:b/>
          <w:bCs/>
        </w:rPr>
        <w:t xml:space="preserve">Utah DEQ ($4.6M):</w:t>
      </w:r>
      <w:r>
        <w:t xml:space="preserve"> </w:t>
      </w:r>
      <w:r>
        <w:t xml:space="preserve">State reserves right to terminate if change materially affects contractor qualifications.</w:t>
      </w:r>
      <w:r>
        <w:t xml:space="preserve"> </w:t>
      </w:r>
      <w:r>
        <w:t xml:space="preserve">-</w:t>
      </w:r>
      <w:r>
        <w:t xml:space="preserve"> </w:t>
      </w:r>
      <w:r>
        <w:rPr>
          <w:b/>
          <w:bCs/>
        </w:rPr>
        <w:t xml:space="preserve">Bridger Valley Ranches ($4.1M):</w:t>
      </w:r>
      <w:r>
        <w:t xml:space="preserve"> </w:t>
      </w:r>
      <w:r>
        <w:t xml:space="preserve">No assignment without prior written consent of both parties.</w:t>
      </w:r>
    </w:p>
    <w:p>
      <w:pPr>
        <w:pStyle w:val="BodyText"/>
      </w:pPr>
      <w:r>
        <w:t xml:space="preserve">The aggregate revenue subject to assignment/change-of-control provisions in the top 20 customers alone is approximately</w:t>
      </w:r>
      <w:r>
        <w:t xml:space="preserve"> </w:t>
      </w:r>
      <w:r>
        <w:rPr>
          <w:b/>
          <w:bCs/>
        </w:rPr>
        <w:t xml:space="preserve">$48 million (37.7% of total revenue)</w:t>
      </w:r>
      <w:r>
        <w:t xml:space="preserve">.</w:t>
      </w:r>
    </w:p>
    <w:bookmarkEnd w:id="38"/>
    <w:bookmarkStart w:id="39" w:name="required-actions-4"/>
    <w:p>
      <w:pPr>
        <w:pStyle w:val="Heading3"/>
      </w:pPr>
      <w:r>
        <w:t xml:space="preserve">Required Actions</w:t>
      </w:r>
    </w:p>
    <w:p>
      <w:pPr>
        <w:pStyle w:val="Compact"/>
        <w:numPr>
          <w:ilvl w:val="0"/>
          <w:numId w:val="1008"/>
        </w:numPr>
      </w:pPr>
      <w:r>
        <w:t xml:space="preserve">Engage DOE Contracting Officer pre-signing to assess novation requirements and timeline.</w:t>
      </w:r>
    </w:p>
    <w:p>
      <w:pPr>
        <w:pStyle w:val="Compact"/>
        <w:numPr>
          <w:ilvl w:val="0"/>
          <w:numId w:val="1008"/>
        </w:numPr>
      </w:pPr>
      <w:r>
        <w:t xml:space="preserve">Obtain or initiate consent processes for all material contracts with assignment/change-of-control provisions prior to closing.</w:t>
      </w:r>
    </w:p>
    <w:p>
      <w:pPr>
        <w:pStyle w:val="Compact"/>
        <w:numPr>
          <w:ilvl w:val="0"/>
          <w:numId w:val="1008"/>
        </w:numPr>
      </w:pPr>
      <w:r>
        <w:t xml:space="preserve">Include a closing condition requiring receipt of all material third-party consents.</w:t>
      </w:r>
    </w:p>
    <w:p>
      <w:pPr>
        <w:pStyle w:val="Compact"/>
        <w:numPr>
          <w:ilvl w:val="0"/>
          <w:numId w:val="1008"/>
        </w:numPr>
      </w:pPr>
      <w:r>
        <w:t xml:space="preserve">Assess whether the LOI’s closing condition regarding</w:t>
      </w:r>
      <w:r>
        <w:t xml:space="preserve"> </w:t>
      </w:r>
      <w:r>
        <w:t xml:space="preserve">“</w:t>
      </w:r>
      <w:r>
        <w:t xml:space="preserve">governmental and regulatory approvals</w:t>
      </w:r>
      <w:r>
        <w:t xml:space="preserve">”</w:t>
      </w:r>
      <w:r>
        <w:t xml:space="preserve"> </w:t>
      </w:r>
      <w:r>
        <w:t xml:space="preserve">adequately captures contract novation requirements.</w:t>
      </w:r>
    </w:p>
    <w:p>
      <w:r>
        <w:pict>
          <v:rect style="width:0;height:1.5pt" o:hralign="center" o:hrstd="t" o:hr="t"/>
        </w:pict>
      </w:r>
    </w:p>
    <w:bookmarkEnd w:id="39"/>
    <w:bookmarkEnd w:id="40"/>
    <w:bookmarkStart w:id="43" w:name="Xb9a77ce31625029f6197aa801390533f6effe3e"/>
    <w:p>
      <w:pPr>
        <w:pStyle w:val="Heading2"/>
      </w:pPr>
      <w:r>
        <w:t xml:space="preserve">Red Flag 6 — Change-of-Control Severance: $2.625 Million Certain Cash Obligation at Closing</w:t>
      </w:r>
    </w:p>
    <w:p>
      <w:pPr>
        <w:pStyle w:val="FirstParagraph"/>
      </w:pPr>
      <w:r>
        <w:rPr>
          <w:b/>
          <w:bCs/>
        </w:rPr>
        <w:t xml:space="preserve">Severity: HIGH | Category: Human Capital / Transaction Costs</w:t>
      </w:r>
    </w:p>
    <w:bookmarkStart w:id="41" w:name="finding-5"/>
    <w:p>
      <w:pPr>
        <w:pStyle w:val="Heading3"/>
      </w:pPr>
      <w:r>
        <w:t xml:space="preserve">Finding</w:t>
      </w:r>
    </w:p>
    <w:p>
      <w:pPr>
        <w:pStyle w:val="FirstParagraph"/>
      </w:pPr>
      <w:r>
        <w:t xml:space="preserve">The employment agreements for Derek Calloway (CEO) and Jason Calloway (COO) contain</w:t>
      </w:r>
      <w:r>
        <w:t xml:space="preserve"> </w:t>
      </w:r>
      <w:r>
        <w:rPr>
          <w:b/>
          <w:bCs/>
        </w:rPr>
        <w:t xml:space="preserve">single-trigger</w:t>
      </w:r>
      <w:r>
        <w:t xml:space="preserve"> </w:t>
      </w:r>
      <w:r>
        <w:t xml:space="preserve">change-of-control severance provisions. Upon closing of the proposed 100% stock acquisition:</w:t>
      </w:r>
    </w:p>
    <w:p>
      <w:pPr>
        <w:pStyle w:val="Compact"/>
        <w:numPr>
          <w:ilvl w:val="0"/>
          <w:numId w:val="1009"/>
        </w:numPr>
      </w:pPr>
      <w:r>
        <w:rPr>
          <w:b/>
          <w:bCs/>
        </w:rPr>
        <w:t xml:space="preserve">Derek Calloway:</w:t>
      </w:r>
      <w:r>
        <w:t xml:space="preserve"> </w:t>
      </w:r>
      <w:r>
        <w:t xml:space="preserve">$1,312,500 (18 months’ base salary of $875,000) — payable within 30 days of closing, regardless of post-closing employment status.</w:t>
      </w:r>
    </w:p>
    <w:p>
      <w:pPr>
        <w:pStyle w:val="Compact"/>
        <w:numPr>
          <w:ilvl w:val="0"/>
          <w:numId w:val="1009"/>
        </w:numPr>
      </w:pPr>
      <w:r>
        <w:rPr>
          <w:b/>
          <w:bCs/>
        </w:rPr>
        <w:t xml:space="preserve">Jason Calloway:</w:t>
      </w:r>
      <w:r>
        <w:t xml:space="preserve"> </w:t>
      </w:r>
      <w:r>
        <w:t xml:space="preserve">$1,312,500 (same structure) — payable within 30 days of closing, regardless of post-closing employment status.</w:t>
      </w:r>
    </w:p>
    <w:p>
      <w:pPr>
        <w:pStyle w:val="Compact"/>
        <w:numPr>
          <w:ilvl w:val="0"/>
          <w:numId w:val="1009"/>
        </w:numPr>
      </w:pPr>
      <w:r>
        <w:rPr>
          <w:b/>
          <w:bCs/>
        </w:rPr>
        <w:t xml:space="preserve">Total certain obligation: $2,625,000</w:t>
      </w:r>
    </w:p>
    <w:p>
      <w:pPr>
        <w:pStyle w:val="FirstParagraph"/>
      </w:pPr>
      <w:r>
        <w:t xml:space="preserve">Additionally, double-trigger provisions for CFO Engel ($425K), VP Dillon ($375K), and VP Oakes ($350K) total $1,150,000 — contingent on post-closing termination or material diminution of duties.</w:t>
      </w:r>
    </w:p>
    <w:p>
      <w:pPr>
        <w:pStyle w:val="BodyText"/>
      </w:pPr>
      <w:r>
        <w:rPr>
          <w:b/>
          <w:bCs/>
        </w:rPr>
        <w:t xml:space="preserve">The LOI does not address the treatment of these severance obligations.</w:t>
      </w:r>
      <w:r>
        <w:t xml:space="preserve"> </w:t>
      </w:r>
      <w:r>
        <w:t xml:space="preserve">The LOI’s definition of</w:t>
      </w:r>
      <w:r>
        <w:t xml:space="preserve"> </w:t>
      </w:r>
      <w:r>
        <w:t xml:space="preserve">“</w:t>
      </w:r>
      <w:r>
        <w:t xml:space="preserve">Transaction Expenses</w:t>
      </w:r>
      <w:r>
        <w:t xml:space="preserve">”</w:t>
      </w:r>
      <w:r>
        <w:t xml:space="preserve"> </w:t>
      </w:r>
      <w:r>
        <w:t xml:space="preserve">does not explicitly include change-of-control severance payments. If these amounts are not deducted from the purchase price as Transaction Expenses, they represent an additional $2.625–$3.775 million cost to the Buyer (or the Company post-closing).</w:t>
      </w:r>
    </w:p>
    <w:p>
      <w:pPr>
        <w:pStyle w:val="BodyText"/>
      </w:pPr>
      <w:r>
        <w:rPr>
          <w:b/>
          <w:bCs/>
        </w:rPr>
        <w:t xml:space="preserve">Compensation Normalization Concern.</w:t>
      </w:r>
      <w:r>
        <w:t xml:space="preserve"> </w:t>
      </w:r>
      <w:r>
        <w:t xml:space="preserve">The EBITDA adjustment normalizes CEO/COO compensation to $400K each (market rate). However, post-closing, the Calloways will receive their $875K salaries plus the $1.3125M severance each — a total first-year cost of approximately $2.19M per founder, far exceeding the normalized assumption.</w:t>
      </w:r>
    </w:p>
    <w:bookmarkEnd w:id="41"/>
    <w:bookmarkStart w:id="42" w:name="required-actions-5"/>
    <w:p>
      <w:pPr>
        <w:pStyle w:val="Heading3"/>
      </w:pPr>
      <w:r>
        <w:t xml:space="preserve">Required Actions</w:t>
      </w:r>
    </w:p>
    <w:p>
      <w:pPr>
        <w:pStyle w:val="Compact"/>
        <w:numPr>
          <w:ilvl w:val="0"/>
          <w:numId w:val="1010"/>
        </w:numPr>
      </w:pPr>
      <w:r>
        <w:t xml:space="preserve">Confirm treatment of change-of-control severance in the purchase price mechanism (seller Transaction Expense vs. buyer-borne cost).</w:t>
      </w:r>
    </w:p>
    <w:p>
      <w:pPr>
        <w:pStyle w:val="Compact"/>
        <w:numPr>
          <w:ilvl w:val="0"/>
          <w:numId w:val="1010"/>
        </w:numPr>
      </w:pPr>
      <w:r>
        <w:t xml:space="preserve">Negotiate post-closing employment agreements with the Calloways at market-rate compensation as a condition to closing.</w:t>
      </w:r>
    </w:p>
    <w:p>
      <w:pPr>
        <w:pStyle w:val="Compact"/>
        <w:numPr>
          <w:ilvl w:val="0"/>
          <w:numId w:val="1010"/>
        </w:numPr>
      </w:pPr>
      <w:r>
        <w:t xml:space="preserve">Assess whether the single-trigger structure creates a perverse incentive for the founders to depart immediately post-closing.</w:t>
      </w:r>
    </w:p>
    <w:p>
      <w:pPr>
        <w:pStyle w:val="Compact"/>
        <w:numPr>
          <w:ilvl w:val="0"/>
          <w:numId w:val="1010"/>
        </w:numPr>
      </w:pPr>
      <w:r>
        <w:t xml:space="preserve">Evaluate whether the $950K owner compensation normalization add-back is appropriate given the actual post-closing compensation structure.</w:t>
      </w:r>
    </w:p>
    <w:p>
      <w:r>
        <w:pict>
          <v:rect style="width:0;height:1.5pt" o:hralign="center" o:hrstd="t" o:hr="t"/>
        </w:pict>
      </w:r>
    </w:p>
    <w:bookmarkEnd w:id="42"/>
    <w:bookmarkEnd w:id="43"/>
    <w:bookmarkStart w:id="46" w:name="Xfa9d7a6e09f006fac90b7551935fec5a49b0572"/>
    <w:p>
      <w:pPr>
        <w:pStyle w:val="Heading2"/>
      </w:pPr>
      <w:r>
        <w:t xml:space="preserve">Red Flag 7 — Credit Facility: Mandatory Prepayment and Change-of-Control Default</w:t>
      </w:r>
    </w:p>
    <w:p>
      <w:pPr>
        <w:pStyle w:val="FirstParagraph"/>
      </w:pPr>
      <w:r>
        <w:rPr>
          <w:b/>
          <w:bCs/>
        </w:rPr>
        <w:t xml:space="preserve">Severity: HIGH | Category: Financing / Transaction Mechanics</w:t>
      </w:r>
    </w:p>
    <w:bookmarkStart w:id="44" w:name="finding-6"/>
    <w:p>
      <w:pPr>
        <w:pStyle w:val="Heading3"/>
      </w:pPr>
      <w:r>
        <w:t xml:space="preserve">Finding</w:t>
      </w:r>
    </w:p>
    <w:p>
      <w:pPr>
        <w:pStyle w:val="FirstParagraph"/>
      </w:pPr>
      <w:r>
        <w:t xml:space="preserve">The Company’s senior secured credit facility with High Plains National Bank ($38.7 million outstanding) contains a Change of Control provision that is triggered by the proposed acquisition. Upon closing:</w:t>
      </w:r>
    </w:p>
    <w:p>
      <w:pPr>
        <w:pStyle w:val="Compact"/>
        <w:numPr>
          <w:ilvl w:val="0"/>
          <w:numId w:val="1011"/>
        </w:numPr>
      </w:pPr>
      <w:r>
        <w:rPr>
          <w:b/>
          <w:bCs/>
        </w:rPr>
        <w:t xml:space="preserve">Mandatory prepayment within 5 business days</w:t>
      </w:r>
      <w:r>
        <w:t xml:space="preserve"> </w:t>
      </w:r>
      <w:r>
        <w:t xml:space="preserve">of all outstanding obligations (~$38.7 million principal + accrued interest + fees).</w:t>
      </w:r>
    </w:p>
    <w:p>
      <w:pPr>
        <w:pStyle w:val="Compact"/>
        <w:numPr>
          <w:ilvl w:val="0"/>
          <w:numId w:val="1011"/>
        </w:numPr>
      </w:pPr>
      <w:r>
        <w:rPr>
          <w:b/>
          <w:bCs/>
        </w:rPr>
        <w:t xml:space="preserve">Term loan prepayment premium of 1.00%</w:t>
      </w:r>
      <w:r>
        <w:t xml:space="preserve"> </w:t>
      </w:r>
      <w:r>
        <w:t xml:space="preserve">($263,000) if closing occurs between January 17, 2025 and January 16, 2026 (the target closing window).</w:t>
      </w:r>
    </w:p>
    <w:p>
      <w:pPr>
        <w:pStyle w:val="Compact"/>
        <w:numPr>
          <w:ilvl w:val="0"/>
          <w:numId w:val="1011"/>
        </w:numPr>
      </w:pPr>
      <w:r>
        <w:rPr>
          <w:b/>
          <w:bCs/>
        </w:rPr>
        <w:t xml:space="preserve">Revolving commitment permanently terminated</w:t>
      </w:r>
      <w:r>
        <w:t xml:space="preserve"> </w:t>
      </w:r>
      <w:r>
        <w:t xml:space="preserve">upon Change of Control.</w:t>
      </w:r>
    </w:p>
    <w:p>
      <w:pPr>
        <w:pStyle w:val="Compact"/>
        <w:numPr>
          <w:ilvl w:val="0"/>
          <w:numId w:val="1011"/>
        </w:numPr>
      </w:pPr>
      <w:r>
        <w:rPr>
          <w:b/>
          <w:bCs/>
        </w:rPr>
        <w:t xml:space="preserve">No waiver or consent mechanism</w:t>
      </w:r>
      <w:r>
        <w:t xml:space="preserve"> </w:t>
      </w:r>
      <w:r>
        <w:t xml:space="preserve">— the only alternative is refinancing or payoff.</w:t>
      </w:r>
    </w:p>
    <w:p>
      <w:pPr>
        <w:pStyle w:val="FirstParagraph"/>
      </w:pPr>
      <w:r>
        <w:rPr>
          <w:b/>
          <w:bCs/>
        </w:rPr>
        <w:t xml:space="preserve">Derek Calloway Key Man Provision.</w:t>
      </w:r>
      <w:r>
        <w:t xml:space="preserve"> </w:t>
      </w:r>
      <w:r>
        <w:t xml:space="preserve">The Credit Agreement contains a separate Event of Default if Derek Calloway ceases to serve as CEO without a Lender-approved successor within 90 days. This provision interacts with the single-trigger severance — if Calloway collects his severance and departs, the Company could face a credit facility default absent lender approval of a successor.</w:t>
      </w:r>
    </w:p>
    <w:p>
      <w:pPr>
        <w:pStyle w:val="BodyText"/>
      </w:pPr>
      <w:r>
        <w:rPr>
          <w:b/>
          <w:bCs/>
        </w:rPr>
        <w:t xml:space="preserve">Total estimated mandatory prepayment: ~$39.2 million</w:t>
      </w:r>
      <w:r>
        <w:t xml:space="preserve"> </w:t>
      </w:r>
      <w:r>
        <w:t xml:space="preserve">(principal + premium + accrued interest).</w:t>
      </w:r>
    </w:p>
    <w:bookmarkEnd w:id="44"/>
    <w:bookmarkStart w:id="45" w:name="required-actions-6"/>
    <w:p>
      <w:pPr>
        <w:pStyle w:val="Heading3"/>
      </w:pPr>
      <w:r>
        <w:t xml:space="preserve">Required Actions</w:t>
      </w:r>
    </w:p>
    <w:p>
      <w:pPr>
        <w:pStyle w:val="Compact"/>
        <w:numPr>
          <w:ilvl w:val="0"/>
          <w:numId w:val="1012"/>
        </w:numPr>
      </w:pPr>
      <w:r>
        <w:t xml:space="preserve">Arrange acquisition financing to refinance the existing credit facility at or prior to closing.</w:t>
      </w:r>
    </w:p>
    <w:p>
      <w:pPr>
        <w:pStyle w:val="Compact"/>
        <w:numPr>
          <w:ilvl w:val="0"/>
          <w:numId w:val="1012"/>
        </w:numPr>
      </w:pPr>
      <w:r>
        <w:t xml:space="preserve">Confirm that the prepayment premium is treated as a Transaction Expense or seller cost.</w:t>
      </w:r>
    </w:p>
    <w:p>
      <w:pPr>
        <w:pStyle w:val="Compact"/>
        <w:numPr>
          <w:ilvl w:val="0"/>
          <w:numId w:val="1012"/>
        </w:numPr>
      </w:pPr>
      <w:r>
        <w:t xml:space="preserve">Negotiate with High Plains National Bank regarding the key man provision in connection with post-closing management arrangements.</w:t>
      </w:r>
    </w:p>
    <w:p>
      <w:pPr>
        <w:pStyle w:val="Compact"/>
        <w:numPr>
          <w:ilvl w:val="0"/>
          <w:numId w:val="1012"/>
        </w:numPr>
      </w:pPr>
      <w:r>
        <w:t xml:space="preserve">Ensure the LOI’s closing condition regarding</w:t>
      </w:r>
      <w:r>
        <w:t xml:space="preserve"> </w:t>
      </w:r>
      <w:r>
        <w:t xml:space="preserve">“</w:t>
      </w:r>
      <w:r>
        <w:t xml:space="preserve">consent of High Plains National Bank</w:t>
      </w:r>
      <w:r>
        <w:t xml:space="preserve">”</w:t>
      </w:r>
      <w:r>
        <w:t xml:space="preserve"> </w:t>
      </w:r>
      <w:r>
        <w:t xml:space="preserve">is satisfied through payoff/refinancing, not waiver (no waiver mechanism exists).</w:t>
      </w:r>
    </w:p>
    <w:p>
      <w:r>
        <w:pict>
          <v:rect style="width:0;height:1.5pt" o:hralign="center" o:hrstd="t" o:hr="t"/>
        </w:pict>
      </w:r>
    </w:p>
    <w:bookmarkEnd w:id="45"/>
    <w:bookmarkEnd w:id="46"/>
    <w:bookmarkStart w:id="50" w:name="Xa8399d4b1d1b751e0143642b35efeb14ef347f4"/>
    <w:p>
      <w:pPr>
        <w:pStyle w:val="Heading2"/>
      </w:pPr>
      <w:r>
        <w:t xml:space="preserve">Red Flag 8 — Fleet and Equipment: Deferred Replacement Backlog (~$9.8 Million)</w:t>
      </w:r>
    </w:p>
    <w:p>
      <w:pPr>
        <w:pStyle w:val="FirstParagraph"/>
      </w:pPr>
      <w:r>
        <w:rPr>
          <w:b/>
          <w:bCs/>
        </w:rPr>
        <w:t xml:space="preserve">Severity: MEDIUM-HIGH | Category: Capital Expenditure / Asset Quality</w:t>
      </w:r>
    </w:p>
    <w:bookmarkStart w:id="47" w:name="finding-7"/>
    <w:p>
      <w:pPr>
        <w:pStyle w:val="Heading3"/>
      </w:pPr>
      <w:r>
        <w:t xml:space="preserve">Finding</w:t>
      </w:r>
    </w:p>
    <w:p>
      <w:pPr>
        <w:pStyle w:val="FirstParagraph"/>
      </w:pPr>
      <w:r>
        <w:t xml:space="preserve">The Fleet &amp; Equipment Schedule reveals a significantly aged fleet with deferred replacement obligations that are not reflected in management’s normalized maintenance capex estimate:</w:t>
      </w:r>
    </w:p>
    <w:p>
      <w:pPr>
        <w:pStyle w:val="Compact"/>
        <w:numPr>
          <w:ilvl w:val="0"/>
          <w:numId w:val="1013"/>
        </w:numPr>
      </w:pPr>
      <w:r>
        <w:rPr>
          <w:b/>
          <w:bCs/>
        </w:rPr>
        <w:t xml:space="preserve">38 of 85 assets (44.7%) are at or past their stated useful life</w:t>
      </w:r>
      <w:r>
        <w:t xml:space="preserve">, including trucks, trailers, and heavy equipment.</w:t>
      </w:r>
    </w:p>
    <w:p>
      <w:pPr>
        <w:pStyle w:val="Compact"/>
        <w:numPr>
          <w:ilvl w:val="0"/>
          <w:numId w:val="1013"/>
        </w:numPr>
      </w:pPr>
      <w:r>
        <w:rPr>
          <w:b/>
          <w:bCs/>
        </w:rPr>
        <w:t xml:space="preserve">Average fleet age: 8.2 years</w:t>
      </w:r>
      <w:r>
        <w:t xml:space="preserve"> </w:t>
      </w:r>
      <w:r>
        <w:t xml:space="preserve">— exceeding the weighted average useful life of 7.0 years for trucks/trailers.</w:t>
      </w:r>
    </w:p>
    <w:p>
      <w:pPr>
        <w:pStyle w:val="Compact"/>
        <w:numPr>
          <w:ilvl w:val="0"/>
          <w:numId w:val="1013"/>
        </w:numPr>
      </w:pPr>
      <w:r>
        <w:rPr>
          <w:b/>
          <w:bCs/>
        </w:rPr>
        <w:t xml:space="preserve">Estimated replacement cost for past-useful-life assets: $9.8 million.</w:t>
      </w:r>
    </w:p>
    <w:p>
      <w:pPr>
        <w:pStyle w:val="Compact"/>
        <w:numPr>
          <w:ilvl w:val="0"/>
          <w:numId w:val="1013"/>
        </w:numPr>
      </w:pPr>
      <w:r>
        <w:rPr>
          <w:b/>
          <w:bCs/>
        </w:rPr>
        <w:t xml:space="preserve">6 assets are classified</w:t>
      </w:r>
      <w:r>
        <w:rPr>
          <w:b/>
          <w:bCs/>
        </w:rPr>
        <w:t xml:space="preserve"> </w:t>
      </w:r>
      <w:r>
        <w:rPr>
          <w:b/>
          <w:bCs/>
        </w:rPr>
        <w:t xml:space="preserve">“</w:t>
      </w:r>
      <w:r>
        <w:rPr>
          <w:b/>
          <w:bCs/>
        </w:rPr>
        <w:t xml:space="preserve">At End of Life — No Replacement Scheduled</w:t>
      </w:r>
      <w:r>
        <w:rPr>
          <w:b/>
          <w:bCs/>
        </w:rPr>
        <w:t xml:space="preserve">”</w:t>
      </w:r>
      <w:r>
        <w:t xml:space="preserve"> </w:t>
      </w:r>
      <w:r>
        <w:t xml:space="preserve">— meaning the Company has no plan to replace assets that are already past their useful life.</w:t>
      </w:r>
    </w:p>
    <w:p>
      <w:pPr>
        <w:pStyle w:val="FirstParagraph"/>
      </w:pPr>
      <w:r>
        <w:t xml:space="preserve">Management’s normalized maintenance capex estimate of $4.0–$4.5 million per year appears understated. The fleet data suggests that spreading the $9.8 million replacement backlog over 3 years would require approximately</w:t>
      </w:r>
      <w:r>
        <w:t xml:space="preserve"> </w:t>
      </w:r>
      <w:r>
        <w:rPr>
          <w:b/>
          <w:bCs/>
        </w:rPr>
        <w:t xml:space="preserve">$3.3 million per year in catch-up capex</w:t>
      </w:r>
      <w:r>
        <w:t xml:space="preserve"> </w:t>
      </w:r>
      <w:r>
        <w:t xml:space="preserve">above the current run-rate — implying true normalized maintenance capex of $7.3–$7.8 million annually, nearly double management’s estimate.</w:t>
      </w:r>
    </w:p>
    <w:p>
      <w:pPr>
        <w:pStyle w:val="BodyText"/>
      </w:pPr>
      <w:r>
        <w:t xml:space="preserve">The fleet deferral appears to have been a deliberate management decision during the Pinnacle integration period (FY2022–FY2023), but the backlog has not been addressed in FY2024 despite integration being</w:t>
      </w:r>
      <w:r>
        <w:t xml:space="preserve"> </w:t>
      </w:r>
      <w:r>
        <w:t xml:space="preserve">“</w:t>
      </w:r>
      <w:r>
        <w:t xml:space="preserve">substantially complete.</w:t>
      </w:r>
      <w:r>
        <w:t xml:space="preserve">”</w:t>
      </w:r>
    </w:p>
    <w:bookmarkEnd w:id="47"/>
    <w:bookmarkStart w:id="48" w:name="implication-3"/>
    <w:p>
      <w:pPr>
        <w:pStyle w:val="Heading3"/>
      </w:pPr>
      <w:r>
        <w:t xml:space="preserve">Implication</w:t>
      </w:r>
    </w:p>
    <w:p>
      <w:pPr>
        <w:pStyle w:val="FirstParagraph"/>
      </w:pPr>
      <w:r>
        <w:t xml:space="preserve">If true normalized maintenance capex is $7.0–$8.0 million (vs. management’s $4.0–$4.5 million), the EBITDA-to-free-cash-flow conversion is materially lower than implied. At a $3.0–$3.5 million capex understatement, the implied enterprise value overstatement is $24–$31 million at the stated multiple.</w:t>
      </w:r>
    </w:p>
    <w:bookmarkEnd w:id="48"/>
    <w:bookmarkStart w:id="49" w:name="required-actions-7"/>
    <w:p>
      <w:pPr>
        <w:pStyle w:val="Heading3"/>
      </w:pPr>
      <w:r>
        <w:t xml:space="preserve">Required Actions</w:t>
      </w:r>
    </w:p>
    <w:p>
      <w:pPr>
        <w:pStyle w:val="Compact"/>
        <w:numPr>
          <w:ilvl w:val="0"/>
          <w:numId w:val="1014"/>
        </w:numPr>
      </w:pPr>
      <w:r>
        <w:t xml:space="preserve">Commission an independent fleet appraisal and condition assessment.</w:t>
      </w:r>
    </w:p>
    <w:p>
      <w:pPr>
        <w:pStyle w:val="Compact"/>
        <w:numPr>
          <w:ilvl w:val="0"/>
          <w:numId w:val="1014"/>
        </w:numPr>
      </w:pPr>
      <w:r>
        <w:t xml:space="preserve">Require management to provide a 3-year fleet replacement plan with associated capex.</w:t>
      </w:r>
    </w:p>
    <w:p>
      <w:pPr>
        <w:pStyle w:val="Compact"/>
        <w:numPr>
          <w:ilvl w:val="0"/>
          <w:numId w:val="1014"/>
        </w:numPr>
      </w:pPr>
      <w:r>
        <w:t xml:space="preserve">Adjust the normalized maintenance capex assumption in the valuation model.</w:t>
      </w:r>
    </w:p>
    <w:p>
      <w:pPr>
        <w:pStyle w:val="Compact"/>
        <w:numPr>
          <w:ilvl w:val="0"/>
          <w:numId w:val="1014"/>
        </w:numPr>
      </w:pPr>
      <w:r>
        <w:t xml:space="preserve">Negotiate a purchase price reduction or escrow for deferred fleet replacement obligations.</w:t>
      </w:r>
    </w:p>
    <w:p>
      <w:r>
        <w:pict>
          <v:rect style="width:0;height:1.5pt" o:hralign="center" o:hrstd="t" o:hr="t"/>
        </w:pict>
      </w:r>
    </w:p>
    <w:bookmarkEnd w:id="49"/>
    <w:bookmarkEnd w:id="50"/>
    <w:bookmarkStart w:id="53" w:name="X951b8ef0fde05af7208991be18f1f8dd124d5e9"/>
    <w:p>
      <w:pPr>
        <w:pStyle w:val="Heading2"/>
      </w:pPr>
      <w:r>
        <w:t xml:space="preserve">Red Flag 9 — Asbestos Abatement: Long-Tail Liability and Insurance Gap</w:t>
      </w:r>
    </w:p>
    <w:p>
      <w:pPr>
        <w:pStyle w:val="FirstParagraph"/>
      </w:pPr>
      <w:r>
        <w:rPr>
          <w:b/>
          <w:bCs/>
        </w:rPr>
        <w:t xml:space="preserve">Severity: MEDIUM-HIGH | Category: Environmental / Insurance</w:t>
      </w:r>
    </w:p>
    <w:bookmarkStart w:id="51" w:name="finding-8"/>
    <w:p>
      <w:pPr>
        <w:pStyle w:val="Heading3"/>
      </w:pPr>
      <w:r>
        <w:t xml:space="preserve">Finding</w:t>
      </w:r>
    </w:p>
    <w:p>
      <w:pPr>
        <w:pStyle w:val="FirstParagraph"/>
      </w:pPr>
      <w:r>
        <w:t xml:space="preserve">RES operated an asbestos abatement service line from 2012 through September 30, 2023, performing work at approximately</w:t>
      </w:r>
      <w:r>
        <w:t xml:space="preserve"> </w:t>
      </w:r>
      <w:r>
        <w:rPr>
          <w:b/>
          <w:bCs/>
        </w:rPr>
        <w:t xml:space="preserve">145 commercial and industrial sites</w:t>
      </w:r>
      <w:r>
        <w:t xml:space="preserve"> </w:t>
      </w:r>
      <w:r>
        <w:t xml:space="preserve">across Colorado, Utah, and Wyoming. Total revenue from this service line over 11 years was approximately $31.2 million.</w:t>
      </w:r>
    </w:p>
    <w:p>
      <w:pPr>
        <w:pStyle w:val="BodyText"/>
      </w:pPr>
      <w:r>
        <w:rPr>
          <w:b/>
          <w:bCs/>
        </w:rPr>
        <w:t xml:space="preserve">Insurance Coverage Gap.</w:t>
      </w:r>
      <w:r>
        <w:t xml:space="preserve"> </w:t>
      </w:r>
      <w:r>
        <w:t xml:space="preserve">The current Pollution Legal Liability policy has a</w:t>
      </w:r>
      <w:r>
        <w:t xml:space="preserve"> </w:t>
      </w:r>
      <w:r>
        <w:rPr>
          <w:b/>
          <w:bCs/>
        </w:rPr>
        <w:t xml:space="preserve">retroactive date of January 1, 2015</w:t>
      </w:r>
      <w:r>
        <w:t xml:space="preserve">. Work performed from 2012 through 2014 — approximately 3 years of asbestos abatement operations — is</w:t>
      </w:r>
      <w:r>
        <w:t xml:space="preserve"> </w:t>
      </w:r>
      <w:r>
        <w:rPr>
          <w:b/>
          <w:bCs/>
        </w:rPr>
        <w:t xml:space="preserve">not covered</w:t>
      </w:r>
      <w:r>
        <w:t xml:space="preserve"> </w:t>
      </w:r>
      <w:r>
        <w:t xml:space="preserve">under the current policy. No separate tail coverage or completed operations coverage for asbestos-related work has been procured. The CGL policy contains a</w:t>
      </w:r>
      <w:r>
        <w:t xml:space="preserve"> </w:t>
      </w:r>
      <w:r>
        <w:rPr>
          <w:b/>
          <w:bCs/>
        </w:rPr>
        <w:t xml:space="preserve">blanket asbestos exclusion</w:t>
      </w:r>
      <w:r>
        <w:t xml:space="preserve"> </w:t>
      </w:r>
      <w:r>
        <w:t xml:space="preserve">applicable to all bodily injury and property damage claims.</w:t>
      </w:r>
    </w:p>
    <w:p>
      <w:pPr>
        <w:pStyle w:val="BodyText"/>
      </w:pPr>
      <w:r>
        <w:rPr>
          <w:b/>
          <w:bCs/>
        </w:rPr>
        <w:t xml:space="preserve">Open Workers’ Compensation Claims.</w:t>
      </w:r>
      <w:r>
        <w:t xml:space="preserve"> </w:t>
      </w:r>
      <w:r>
        <w:t xml:space="preserve">Two workers’ compensation claims from former asbestos abatement employees remain open (filed 2021 and 2022), alleging occupational respiratory exposure. These claims are not reflected in the closed claims history.</w:t>
      </w:r>
    </w:p>
    <w:p>
      <w:pPr>
        <w:pStyle w:val="BodyText"/>
      </w:pPr>
      <w:r>
        <w:rPr>
          <w:b/>
          <w:bCs/>
        </w:rPr>
        <w:t xml:space="preserve">No Accrual.</w:t>
      </w:r>
      <w:r>
        <w:t xml:space="preserve"> </w:t>
      </w:r>
      <w:r>
        <w:t xml:space="preserve">No reserve has been established for potential future asbestos-related personal injury claims. Management characterizes the probability as</w:t>
      </w:r>
      <w:r>
        <w:t xml:space="preserve"> </w:t>
      </w:r>
      <w:r>
        <w:t xml:space="preserve">“</w:t>
      </w:r>
      <w:r>
        <w:t xml:space="preserve">Remote</w:t>
      </w:r>
      <w:r>
        <w:t xml:space="preserve">”</w:t>
      </w:r>
      <w:r>
        <w:t xml:space="preserve"> </w:t>
      </w:r>
      <w:r>
        <w:t xml:space="preserve">— but this assessment is made by the party with the greatest incentive to minimize the liability.</w:t>
      </w:r>
    </w:p>
    <w:bookmarkEnd w:id="51"/>
    <w:bookmarkStart w:id="52" w:name="required-actions-8"/>
    <w:p>
      <w:pPr>
        <w:pStyle w:val="Heading3"/>
      </w:pPr>
      <w:r>
        <w:t xml:space="preserve">Required Actions</w:t>
      </w:r>
    </w:p>
    <w:p>
      <w:pPr>
        <w:pStyle w:val="Compact"/>
        <w:numPr>
          <w:ilvl w:val="0"/>
          <w:numId w:val="1015"/>
        </w:numPr>
      </w:pPr>
      <w:r>
        <w:t xml:space="preserve">Obtain an independent assessment of asbestos long-tail liability exposure from a qualified environmental attorney.</w:t>
      </w:r>
    </w:p>
    <w:p>
      <w:pPr>
        <w:pStyle w:val="Compact"/>
        <w:numPr>
          <w:ilvl w:val="0"/>
          <w:numId w:val="1015"/>
        </w:numPr>
      </w:pPr>
      <w:r>
        <w:t xml:space="preserve">Negotiate a specific asbestos indemnification with an extended survival period (beyond the standard 6-year environmental rep survival).</w:t>
      </w:r>
    </w:p>
    <w:p>
      <w:pPr>
        <w:pStyle w:val="Compact"/>
        <w:numPr>
          <w:ilvl w:val="0"/>
          <w:numId w:val="1015"/>
        </w:numPr>
      </w:pPr>
      <w:r>
        <w:t xml:space="preserve">Evaluate procurement of a tail policy covering the 2012–2014 period as a condition to closing.</w:t>
      </w:r>
    </w:p>
    <w:p>
      <w:pPr>
        <w:pStyle w:val="Compact"/>
        <w:numPr>
          <w:ilvl w:val="0"/>
          <w:numId w:val="1015"/>
        </w:numPr>
      </w:pPr>
      <w:r>
        <w:t xml:space="preserve">Require resolution or disclosure of the two open workers’ compensation claims.</w:t>
      </w:r>
    </w:p>
    <w:p>
      <w:r>
        <w:pict>
          <v:rect style="width:0;height:1.5pt" o:hralign="center" o:hrstd="t" o:hr="t"/>
        </w:pict>
      </w:r>
    </w:p>
    <w:bookmarkEnd w:id="52"/>
    <w:bookmarkEnd w:id="53"/>
    <w:bookmarkStart w:id="56" w:name="X802d786bd3f57cd233a53ae7a0e0c70379bc777"/>
    <w:p>
      <w:pPr>
        <w:pStyle w:val="Heading2"/>
      </w:pPr>
      <w:r>
        <w:t xml:space="preserve">Red Flag 10 — Wyoming Permit Expiration and Regulatory Compliance Pattern</w:t>
      </w:r>
    </w:p>
    <w:p>
      <w:pPr>
        <w:pStyle w:val="FirstParagraph"/>
      </w:pPr>
      <w:r>
        <w:rPr>
          <w:b/>
          <w:bCs/>
        </w:rPr>
        <w:t xml:space="preserve">Severity: MEDIUM | Category: Regulatory / Permitting</w:t>
      </w:r>
    </w:p>
    <w:bookmarkStart w:id="54" w:name="finding-9"/>
    <w:p>
      <w:pPr>
        <w:pStyle w:val="Heading3"/>
      </w:pPr>
      <w:r>
        <w:t xml:space="preserve">Finding</w:t>
      </w:r>
    </w:p>
    <w:p>
      <w:pPr>
        <w:pStyle w:val="FirstParagraph"/>
      </w:pPr>
      <w:r>
        <w:t xml:space="preserve">The Wyoming hazardous waste permit (WY-HW-2019-033) for the Casper facility</w:t>
      </w:r>
      <w:r>
        <w:t xml:space="preserve"> </w:t>
      </w:r>
      <w:r>
        <w:rPr>
          <w:b/>
          <w:bCs/>
        </w:rPr>
        <w:t xml:space="preserve">expired November 30, 2024</w:t>
      </w:r>
      <w:r>
        <w:t xml:space="preserve">. While a timely renewal application was filed on October 15, 2024, the facility is currently operating under</w:t>
      </w:r>
      <w:r>
        <w:t xml:space="preserve"> </w:t>
      </w:r>
      <w:r>
        <w:t xml:space="preserve">“</w:t>
      </w:r>
      <w:r>
        <w:t xml:space="preserve">timely renewal provisions</w:t>
      </w:r>
      <w:r>
        <w:t xml:space="preserve">”</w:t>
      </w:r>
      <w:r>
        <w:t xml:space="preserve"> </w:t>
      </w:r>
      <w:r>
        <w:t xml:space="preserve">— meaning it is operating on an expired permit pending agency action. The Casper facility employs approximately 68 people and serves key customers including High Plains Energy Partners ($8.3M) and Powder River Resources ($3.5M).</w:t>
      </w:r>
    </w:p>
    <w:p>
      <w:pPr>
        <w:pStyle w:val="BodyText"/>
      </w:pPr>
      <w:r>
        <w:rPr>
          <w:b/>
          <w:bCs/>
        </w:rPr>
        <w:t xml:space="preserve">Broader Compliance Pattern.</w:t>
      </w:r>
      <w:r>
        <w:t xml:space="preserve"> </w:t>
      </w:r>
      <w:r>
        <w:t xml:space="preserve">The data room reveals a pattern of regulatory compliance issues:</w:t>
      </w:r>
      <w:r>
        <w:t xml:space="preserve"> </w:t>
      </w:r>
      <w:r>
        <w:t xml:space="preserve">- Active CDPHE enforcement action (Grand Junction, 2024) — no accrual recorded.</w:t>
      </w:r>
      <w:r>
        <w:t xml:space="preserve"> </w:t>
      </w:r>
      <w:r>
        <w:t xml:space="preserve">- OSHA recordkeeping citations at Grand Junction and Casper (2024) — paid but indicative of compliance culture.</w:t>
      </w:r>
      <w:r>
        <w:t xml:space="preserve"> </w:t>
      </w:r>
      <w:r>
        <w:t xml:space="preserve">- Minor administrative deficiency at Casper (2022).</w:t>
      </w:r>
      <w:r>
        <w:t xml:space="preserve"> </w:t>
      </w:r>
      <w:r>
        <w:t xml:space="preserve">- Prior container labeling violation at Grand Junction (2016).</w:t>
      </w:r>
      <w:r>
        <w:t xml:space="preserve"> </w:t>
      </w:r>
      <w:r>
        <w:t xml:space="preserve">- Pending NLRB election petition (see Red Flag 11).</w:t>
      </w:r>
    </w:p>
    <w:p>
      <w:pPr>
        <w:pStyle w:val="BodyText"/>
      </w:pPr>
      <w:r>
        <w:t xml:space="preserve">The Credit Agreement defines permit revocation, suspension, or non-renewal as an Event of Default. If the Wyoming renewal is denied or significantly delayed, it could trigger a credit facility default and disrupt operations at the Casper facility.</w:t>
      </w:r>
    </w:p>
    <w:bookmarkEnd w:id="54"/>
    <w:bookmarkStart w:id="55" w:name="required-actions-9"/>
    <w:p>
      <w:pPr>
        <w:pStyle w:val="Heading3"/>
      </w:pPr>
      <w:r>
        <w:t xml:space="preserve">Required Actions</w:t>
      </w:r>
    </w:p>
    <w:p>
      <w:pPr>
        <w:pStyle w:val="Compact"/>
        <w:numPr>
          <w:ilvl w:val="0"/>
          <w:numId w:val="1016"/>
        </w:numPr>
      </w:pPr>
      <w:r>
        <w:t xml:space="preserve">Obtain written confirmation from Wyoming DEQ regarding renewal timeline and status.</w:t>
      </w:r>
    </w:p>
    <w:p>
      <w:pPr>
        <w:pStyle w:val="Compact"/>
        <w:numPr>
          <w:ilvl w:val="0"/>
          <w:numId w:val="1016"/>
        </w:numPr>
      </w:pPr>
      <w:r>
        <w:t xml:space="preserve">Confirm that the Casper facility’s operations are fully compliant with all permit conditions during the renewal period.</w:t>
      </w:r>
    </w:p>
    <w:p>
      <w:pPr>
        <w:pStyle w:val="Compact"/>
        <w:numPr>
          <w:ilvl w:val="0"/>
          <w:numId w:val="1016"/>
        </w:numPr>
      </w:pPr>
      <w:r>
        <w:t xml:space="preserve">Negotiate a closing condition requiring Wyoming permit renewal or a specific indemnification for permit-related disruption.</w:t>
      </w:r>
    </w:p>
    <w:p>
      <w:r>
        <w:pict>
          <v:rect style="width:0;height:1.5pt" o:hralign="center" o:hrstd="t" o:hr="t"/>
        </w:pict>
      </w:r>
    </w:p>
    <w:bookmarkEnd w:id="55"/>
    <w:bookmarkEnd w:id="56"/>
    <w:bookmarkStart w:id="59" w:name="X626dbf21123f4e393064a03857f2c86413c443f"/>
    <w:p>
      <w:pPr>
        <w:pStyle w:val="Heading2"/>
      </w:pPr>
      <w:r>
        <w:t xml:space="preserve">Red Flag 11 — Pending NLRB Unionization Petition</w:t>
      </w:r>
    </w:p>
    <w:p>
      <w:pPr>
        <w:pStyle w:val="FirstParagraph"/>
      </w:pPr>
      <w:r>
        <w:rPr>
          <w:b/>
          <w:bCs/>
        </w:rPr>
        <w:t xml:space="preserve">Severity: MEDIUM | Category: Human Capital / Labor Relations</w:t>
      </w:r>
    </w:p>
    <w:bookmarkStart w:id="57" w:name="finding-10"/>
    <w:p>
      <w:pPr>
        <w:pStyle w:val="Heading3"/>
      </w:pPr>
      <w:r>
        <w:t xml:space="preserve">Finding</w:t>
      </w:r>
    </w:p>
    <w:p>
      <w:pPr>
        <w:pStyle w:val="FirstParagraph"/>
      </w:pPr>
      <w:r>
        <w:t xml:space="preserve">A footnote in the Employee Benefits Summary discloses that on</w:t>
      </w:r>
      <w:r>
        <w:t xml:space="preserve"> </w:t>
      </w:r>
      <w:r>
        <w:rPr>
          <w:b/>
          <w:bCs/>
        </w:rPr>
        <w:t xml:space="preserve">November 4, 2024</w:t>
      </w:r>
      <w:r>
        <w:t xml:space="preserve">, the International Brotherhood of Teamsters Local 455 filed an NLRB election petition covering</w:t>
      </w:r>
      <w:r>
        <w:t xml:space="preserve"> </w:t>
      </w:r>
      <w:r>
        <w:rPr>
          <w:b/>
          <w:bCs/>
        </w:rPr>
        <w:t xml:space="preserve">62 field technicians at the Grand Junction and Casper facilities</w:t>
      </w:r>
      <w:r>
        <w:t xml:space="preserve">. This disclosure was buried in a footnote and was not highlighted in the CIM or the Litigation and Regulatory Summary.</w:t>
      </w:r>
    </w:p>
    <w:p>
      <w:pPr>
        <w:pStyle w:val="BodyText"/>
      </w:pPr>
      <w:r>
        <w:t xml:space="preserve">The 62 employees covered by the petition represent approximately</w:t>
      </w:r>
      <w:r>
        <w:t xml:space="preserve"> </w:t>
      </w:r>
      <w:r>
        <w:rPr>
          <w:b/>
          <w:bCs/>
        </w:rPr>
        <w:t xml:space="preserve">13% of the total workforce</w:t>
      </w:r>
      <w:r>
        <w:t xml:space="preserve"> </w:t>
      </w:r>
      <w:r>
        <w:t xml:space="preserve">and are concentrated in the Company’s two largest operational facilities. Successful unionization could:</w:t>
      </w:r>
      <w:r>
        <w:t xml:space="preserve"> </w:t>
      </w:r>
      <w:r>
        <w:t xml:space="preserve">- Increase labor costs through collective bargaining.</w:t>
      </w:r>
      <w:r>
        <w:t xml:space="preserve"> </w:t>
      </w:r>
      <w:r>
        <w:t xml:space="preserve">- Restrict management’s flexibility in workforce deployment and scheduling.</w:t>
      </w:r>
      <w:r>
        <w:t xml:space="preserve"> </w:t>
      </w:r>
      <w:r>
        <w:t xml:space="preserve">- Affect the Company’s non-union status, which is presented as a competitive advantage in the CIM.</w:t>
      </w:r>
      <w:r>
        <w:t xml:space="preserve"> </w:t>
      </w:r>
      <w:r>
        <w:t xml:space="preserve">- Trigger change-of-control notification obligations under the NLRA.</w:t>
      </w:r>
    </w:p>
    <w:p>
      <w:pPr>
        <w:pStyle w:val="BodyText"/>
      </w:pPr>
      <w:r>
        <w:t xml:space="preserve">The LOI’s pre-closing operating covenant prohibits the Company from entering into any new employment agreement or severance arrangement without Buyer consent — but does not specifically address collective bargaining negotiations.</w:t>
      </w:r>
    </w:p>
    <w:bookmarkEnd w:id="57"/>
    <w:bookmarkStart w:id="58" w:name="required-actions-10"/>
    <w:p>
      <w:pPr>
        <w:pStyle w:val="Heading3"/>
      </w:pPr>
      <w:r>
        <w:t xml:space="preserve">Required Actions</w:t>
      </w:r>
    </w:p>
    <w:p>
      <w:pPr>
        <w:pStyle w:val="Compact"/>
        <w:numPr>
          <w:ilvl w:val="0"/>
          <w:numId w:val="1017"/>
        </w:numPr>
      </w:pPr>
      <w:r>
        <w:t xml:space="preserve">Obtain a full briefing on the NLRB petition, including the Company’s response strategy and timeline.</w:t>
      </w:r>
    </w:p>
    <w:p>
      <w:pPr>
        <w:pStyle w:val="Compact"/>
        <w:numPr>
          <w:ilvl w:val="0"/>
          <w:numId w:val="1017"/>
        </w:numPr>
      </w:pPr>
      <w:r>
        <w:t xml:space="preserve">Assess the potential financial impact of unionization on labor costs and operational flexibility.</w:t>
      </w:r>
    </w:p>
    <w:p>
      <w:pPr>
        <w:pStyle w:val="Compact"/>
        <w:numPr>
          <w:ilvl w:val="0"/>
          <w:numId w:val="1017"/>
        </w:numPr>
      </w:pPr>
      <w:r>
        <w:t xml:space="preserve">Confirm that the Litigation and Regulatory Summary will be updated to include this matter.</w:t>
      </w:r>
    </w:p>
    <w:p>
      <w:pPr>
        <w:pStyle w:val="Compact"/>
        <w:numPr>
          <w:ilvl w:val="0"/>
          <w:numId w:val="1017"/>
        </w:numPr>
      </w:pPr>
      <w:r>
        <w:t xml:space="preserve">Evaluate whether the NLRB petition constitutes a</w:t>
      </w:r>
      <w:r>
        <w:t xml:space="preserve"> </w:t>
      </w:r>
      <w:r>
        <w:t xml:space="preserve">“</w:t>
      </w:r>
      <w:r>
        <w:t xml:space="preserve">material development</w:t>
      </w:r>
      <w:r>
        <w:t xml:space="preserve">”</w:t>
      </w:r>
      <w:r>
        <w:t xml:space="preserve"> </w:t>
      </w:r>
      <w:r>
        <w:t xml:space="preserve">requiring notification under the LOI’s pre-closing covenant.</w:t>
      </w:r>
    </w:p>
    <w:p>
      <w:r>
        <w:pict>
          <v:rect style="width:0;height:1.5pt" o:hralign="center" o:hrstd="t" o:hr="t"/>
        </w:pict>
      </w:r>
    </w:p>
    <w:bookmarkEnd w:id="58"/>
    <w:bookmarkEnd w:id="59"/>
    <w:bookmarkStart w:id="62" w:name="X80727f10fd6e6a36c9cd887bca4c140e9e1aaa8"/>
    <w:p>
      <w:pPr>
        <w:pStyle w:val="Heading2"/>
      </w:pPr>
      <w:r>
        <w:t xml:space="preserve">Red Flag 12 — Ramirez Personal Injury Litigation: Coverage Uncertainty</w:t>
      </w:r>
    </w:p>
    <w:p>
      <w:pPr>
        <w:pStyle w:val="FirstParagraph"/>
      </w:pPr>
      <w:r>
        <w:rPr>
          <w:b/>
          <w:bCs/>
        </w:rPr>
        <w:t xml:space="preserve">Severity: MEDIUM | Category: Litigation / Insurance</w:t>
      </w:r>
    </w:p>
    <w:bookmarkStart w:id="60" w:name="finding-11"/>
    <w:p>
      <w:pPr>
        <w:pStyle w:val="Heading3"/>
      </w:pPr>
      <w:r>
        <w:t xml:space="preserve">Finding</w:t>
      </w:r>
    </w:p>
    <w:p>
      <w:pPr>
        <w:pStyle w:val="FirstParagraph"/>
      </w:pPr>
      <w:r>
        <w:t xml:space="preserve">Miguel Ramirez v. RES (D. Wyo., Case No. 2:24-cv-00187) is a personal injury action filed August 12, 2024, seeking</w:t>
      </w:r>
      <w:r>
        <w:t xml:space="preserve"> </w:t>
      </w:r>
      <w:r>
        <w:rPr>
          <w:b/>
          <w:bCs/>
        </w:rPr>
        <w:t xml:space="preserve">$4.8 million</w:t>
      </w:r>
      <w:r>
        <w:t xml:space="preserve"> </w:t>
      </w:r>
      <w:r>
        <w:t xml:space="preserve">in damages (including punitive damages) by a former field technician alleging VOC and heavy metal exposure at a Sheridan, Wyoming remediation site. Key concerns:</w:t>
      </w:r>
    </w:p>
    <w:p>
      <w:pPr>
        <w:pStyle w:val="Compact"/>
        <w:numPr>
          <w:ilvl w:val="0"/>
          <w:numId w:val="1018"/>
        </w:numPr>
      </w:pPr>
      <w:r>
        <w:rPr>
          <w:b/>
          <w:bCs/>
        </w:rPr>
        <w:t xml:space="preserve">Reservation of Rights.</w:t>
      </w:r>
      <w:r>
        <w:t xml:space="preserve"> </w:t>
      </w:r>
      <w:r>
        <w:t xml:space="preserve">The insurer (Frontier Specialty Insurance Group) issued a reservation of rights letter dated September 19, 2024. Coverage determination remains pending. If coverage is denied, the Company bears the full exposure.</w:t>
      </w:r>
    </w:p>
    <w:p>
      <w:pPr>
        <w:pStyle w:val="Compact"/>
        <w:numPr>
          <w:ilvl w:val="0"/>
          <w:numId w:val="1018"/>
        </w:numPr>
      </w:pPr>
      <w:r>
        <w:rPr>
          <w:b/>
          <w:bCs/>
        </w:rPr>
        <w:t xml:space="preserve">No Accrual.</w:t>
      </w:r>
      <w:r>
        <w:t xml:space="preserve"> </w:t>
      </w:r>
      <w:r>
        <w:t xml:space="preserve">No reserve has been recorded as of September 30, 2024.</w:t>
      </w:r>
    </w:p>
    <w:p>
      <w:pPr>
        <w:pStyle w:val="Compact"/>
        <w:numPr>
          <w:ilvl w:val="0"/>
          <w:numId w:val="1018"/>
        </w:numPr>
      </w:pPr>
      <w:r>
        <w:rPr>
          <w:b/>
          <w:bCs/>
        </w:rPr>
        <w:t xml:space="preserve">OSHA Allegations.</w:t>
      </w:r>
      <w:r>
        <w:t xml:space="preserve"> </w:t>
      </w:r>
      <w:r>
        <w:t xml:space="preserve">The complaint alleges failure to provide adequate PPE and failure to conduct required air monitoring — allegations that, if proven, could support punitive damages and regulatory follow-on actions.</w:t>
      </w:r>
    </w:p>
    <w:p>
      <w:pPr>
        <w:pStyle w:val="Compact"/>
        <w:numPr>
          <w:ilvl w:val="0"/>
          <w:numId w:val="1018"/>
        </w:numPr>
      </w:pPr>
      <w:r>
        <w:rPr>
          <w:b/>
          <w:bCs/>
        </w:rPr>
        <w:t xml:space="preserve">Trial Date: February 2026</w:t>
      </w:r>
      <w:r>
        <w:t xml:space="preserve"> </w:t>
      </w:r>
      <w:r>
        <w:t xml:space="preserve">— within the Buyer’s ownership period.</w:t>
      </w:r>
    </w:p>
    <w:p>
      <w:pPr>
        <w:pStyle w:val="Compact"/>
        <w:numPr>
          <w:ilvl w:val="0"/>
          <w:numId w:val="1018"/>
        </w:numPr>
      </w:pPr>
      <w:r>
        <w:rPr>
          <w:b/>
          <w:bCs/>
        </w:rPr>
        <w:t xml:space="preserve">Cross-Default Risk.</w:t>
      </w:r>
      <w:r>
        <w:t xml:space="preserve"> </w:t>
      </w:r>
      <w:r>
        <w:t xml:space="preserve">A judgment exceeding $1.0 million not covered by insurance would constitute an Event of Default under the Credit Agreement.</w:t>
      </w:r>
    </w:p>
    <w:bookmarkEnd w:id="60"/>
    <w:bookmarkStart w:id="61" w:name="required-actions-11"/>
    <w:p>
      <w:pPr>
        <w:pStyle w:val="Heading3"/>
      </w:pPr>
      <w:r>
        <w:t xml:space="preserve">Required Actions</w:t>
      </w:r>
    </w:p>
    <w:p>
      <w:pPr>
        <w:pStyle w:val="Compact"/>
        <w:numPr>
          <w:ilvl w:val="0"/>
          <w:numId w:val="1019"/>
        </w:numPr>
      </w:pPr>
      <w:r>
        <w:t xml:space="preserve">Obtain copies of the reservation of rights letter and all coverage correspondence.</w:t>
      </w:r>
    </w:p>
    <w:p>
      <w:pPr>
        <w:pStyle w:val="Compact"/>
        <w:numPr>
          <w:ilvl w:val="0"/>
          <w:numId w:val="1019"/>
        </w:numPr>
      </w:pPr>
      <w:r>
        <w:t xml:space="preserve">Require management to provide a detailed assessment of the OSHA compliance record at the Sheridan site.</w:t>
      </w:r>
    </w:p>
    <w:p>
      <w:pPr>
        <w:pStyle w:val="Compact"/>
        <w:numPr>
          <w:ilvl w:val="0"/>
          <w:numId w:val="1019"/>
        </w:numPr>
      </w:pPr>
      <w:r>
        <w:t xml:space="preserve">Negotiate a specific indemnification for the Ramirez matter with a separate escrow or holdback.</w:t>
      </w:r>
    </w:p>
    <w:p>
      <w:pPr>
        <w:pStyle w:val="Compact"/>
        <w:numPr>
          <w:ilvl w:val="0"/>
          <w:numId w:val="1019"/>
        </w:numPr>
      </w:pPr>
      <w:r>
        <w:t xml:space="preserve">Confirm that the LOI’s 10% holdback is sufficient to cover this and other identified contingent liabilities.</w:t>
      </w:r>
    </w:p>
    <w:p>
      <w:r>
        <w:pict>
          <v:rect style="width:0;height:1.5pt" o:hralign="center" o:hrstd="t" o:hr="t"/>
        </w:pict>
      </w:r>
    </w:p>
    <w:bookmarkEnd w:id="61"/>
    <w:bookmarkEnd w:id="62"/>
    <w:bookmarkStart w:id="63" w:name="summary-of-quantified-exposures"/>
    <w:p>
      <w:pPr>
        <w:pStyle w:val="Heading2"/>
      </w:pPr>
      <w:r>
        <w:t xml:space="preserve">Summary of Quantified Exposures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Red Flag</w:t>
            </w:r>
          </w:p>
        </w:tc>
        <w:tc>
          <w:tcPr/>
          <w:p>
            <w:pPr>
              <w:pStyle w:val="Compact"/>
              <w:jc w:val="left"/>
            </w:pPr>
            <w:r>
              <w:t xml:space="preserve">Category</w:t>
            </w:r>
          </w:p>
        </w:tc>
        <w:tc>
          <w:tcPr/>
          <w:p>
            <w:pPr>
              <w:pStyle w:val="Compact"/>
              <w:jc w:val="left"/>
            </w:pPr>
            <w:r>
              <w:t xml:space="preserve">Estimated Exposure</w:t>
            </w:r>
          </w:p>
        </w:tc>
        <w:tc>
          <w:tcPr/>
          <w:p>
            <w:pPr>
              <w:pStyle w:val="Compact"/>
              <w:jc w:val="left"/>
            </w:pPr>
            <w:r>
              <w:t xml:space="preserve">Severity</w:t>
            </w:r>
          </w:p>
        </w:tc>
      </w:tr>
      <w:tr>
        <w:tc>
          <w:tcPr/>
          <w:p>
            <w:pPr>
              <w:pStyle w:val="Compact"/>
              <w:jc w:val="left"/>
            </w:pPr>
            <w:r>
              <w:t xml:space="preserve">RF-1</w:t>
            </w:r>
          </w:p>
        </w:tc>
        <w:tc>
          <w:tcPr/>
          <w:p>
            <w:pPr>
              <w:pStyle w:val="Compact"/>
              <w:jc w:val="left"/>
            </w:pPr>
            <w:r>
              <w:t xml:space="preserve">EBITDA Overstatement</w:t>
            </w:r>
          </w:p>
        </w:tc>
        <w:tc>
          <w:tcPr/>
          <w:p>
            <w:pPr>
              <w:pStyle w:val="Compact"/>
              <w:jc w:val="left"/>
            </w:pPr>
            <w:r>
              <w:t xml:space="preserve">Financial</w:t>
            </w:r>
          </w:p>
        </w:tc>
        <w:tc>
          <w:tcPr/>
          <w:p>
            <w:pPr>
              <w:pStyle w:val="Compact"/>
              <w:jc w:val="left"/>
            </w:pPr>
            <w:r>
              <w:t xml:space="preserve">$16–$36M enterprise value impact</w:t>
            </w:r>
          </w:p>
        </w:tc>
        <w:tc>
          <w:tcPr/>
          <w:p>
            <w:pPr>
              <w:pStyle w:val="Compact"/>
              <w:jc w:val="left"/>
            </w:pPr>
            <w:r>
              <w:t xml:space="preserve">Critical</w:t>
            </w:r>
          </w:p>
        </w:tc>
      </w:tr>
      <w:tr>
        <w:tc>
          <w:tcPr/>
          <w:p>
            <w:pPr>
              <w:pStyle w:val="Compact"/>
              <w:jc w:val="left"/>
            </w:pPr>
            <w:r>
              <w:t xml:space="preserve">RF-2</w:t>
            </w:r>
          </w:p>
        </w:tc>
        <w:tc>
          <w:tcPr/>
          <w:p>
            <w:pPr>
              <w:pStyle w:val="Compact"/>
              <w:jc w:val="left"/>
            </w:pPr>
            <w:r>
              <w:t xml:space="preserve">DOE Revenue Cliff</w:t>
            </w:r>
          </w:p>
        </w:tc>
        <w:tc>
          <w:tcPr/>
          <w:p>
            <w:pPr>
              <w:pStyle w:val="Compact"/>
              <w:jc w:val="left"/>
            </w:pPr>
            <w:r>
              <w:t xml:space="preserve">Revenue</w:t>
            </w:r>
          </w:p>
        </w:tc>
        <w:tc>
          <w:tcPr/>
          <w:p>
            <w:pPr>
              <w:pStyle w:val="Compact"/>
              <w:jc w:val="left"/>
            </w:pPr>
            <w:r>
              <w:t xml:space="preserve">$12.1M annual revenue headwind</w:t>
            </w:r>
          </w:p>
        </w:tc>
        <w:tc>
          <w:tcPr/>
          <w:p>
            <w:pPr>
              <w:pStyle w:val="Compact"/>
              <w:jc w:val="left"/>
            </w:pPr>
            <w:r>
              <w:t xml:space="preserve">Critical</w:t>
            </w:r>
          </w:p>
        </w:tc>
      </w:tr>
      <w:tr>
        <w:tc>
          <w:tcPr/>
          <w:p>
            <w:pPr>
              <w:pStyle w:val="Compact"/>
              <w:jc w:val="left"/>
            </w:pPr>
            <w:r>
              <w:t xml:space="preserve">RF-3</w:t>
            </w:r>
          </w:p>
        </w:tc>
        <w:tc>
          <w:tcPr/>
          <w:p>
            <w:pPr>
              <w:pStyle w:val="Compact"/>
              <w:jc w:val="left"/>
            </w:pPr>
            <w:r>
              <w:t xml:space="preserve">Environmental Liability</w:t>
            </w:r>
          </w:p>
        </w:tc>
        <w:tc>
          <w:tcPr/>
          <w:p>
            <w:pPr>
              <w:pStyle w:val="Compact"/>
              <w:jc w:val="left"/>
            </w:pPr>
            <w:r>
              <w:t xml:space="preserve">Environmental</w:t>
            </w:r>
          </w:p>
        </w:tc>
        <w:tc>
          <w:tcPr/>
          <w:p>
            <w:pPr>
              <w:pStyle w:val="Compact"/>
              <w:jc w:val="left"/>
            </w:pPr>
            <w:r>
              <w:t xml:space="preserve">$2.6M–$10M+ (stale estimate)</w:t>
            </w:r>
          </w:p>
        </w:tc>
        <w:tc>
          <w:tcPr/>
          <w:p>
            <w:pPr>
              <w:pStyle w:val="Compact"/>
              <w:jc w:val="left"/>
            </w:pPr>
            <w:r>
              <w:t xml:space="preserve">High</w:t>
            </w:r>
          </w:p>
        </w:tc>
      </w:tr>
      <w:tr>
        <w:tc>
          <w:tcPr/>
          <w:p>
            <w:pPr>
              <w:pStyle w:val="Compact"/>
              <w:jc w:val="left"/>
            </w:pPr>
            <w:r>
              <w:t xml:space="preserve">RF-4</w:t>
            </w:r>
          </w:p>
        </w:tc>
        <w:tc>
          <w:tcPr/>
          <w:p>
            <w:pPr>
              <w:pStyle w:val="Compact"/>
              <w:jc w:val="left"/>
            </w:pPr>
            <w:r>
              <w:t xml:space="preserve">SLC Lease/Permit</w:t>
            </w:r>
          </w:p>
        </w:tc>
        <w:tc>
          <w:tcPr/>
          <w:p>
            <w:pPr>
              <w:pStyle w:val="Compact"/>
              <w:jc w:val="left"/>
            </w:pPr>
            <w:r>
              <w:t xml:space="preserve">Real Property</w:t>
            </w:r>
          </w:p>
        </w:tc>
        <w:tc>
          <w:tcPr/>
          <w:p>
            <w:pPr>
              <w:pStyle w:val="Compact"/>
              <w:jc w:val="left"/>
            </w:pPr>
            <w:r>
              <w:t xml:space="preserve">$16.2M revenue at risk</w:t>
            </w:r>
          </w:p>
        </w:tc>
        <w:tc>
          <w:tcPr/>
          <w:p>
            <w:pPr>
              <w:pStyle w:val="Compact"/>
              <w:jc w:val="left"/>
            </w:pPr>
            <w:r>
              <w:t xml:space="preserve">High</w:t>
            </w:r>
          </w:p>
        </w:tc>
      </w:tr>
      <w:tr>
        <w:tc>
          <w:tcPr/>
          <w:p>
            <w:pPr>
              <w:pStyle w:val="Compact"/>
              <w:jc w:val="left"/>
            </w:pPr>
            <w:r>
              <w:t xml:space="preserve">RF-5</w:t>
            </w:r>
          </w:p>
        </w:tc>
        <w:tc>
          <w:tcPr/>
          <w:p>
            <w:pPr>
              <w:pStyle w:val="Compact"/>
              <w:jc w:val="left"/>
            </w:pPr>
            <w:r>
              <w:t xml:space="preserve">Contract Assignment</w:t>
            </w:r>
          </w:p>
        </w:tc>
        <w:tc>
          <w:tcPr/>
          <w:p>
            <w:pPr>
              <w:pStyle w:val="Compact"/>
              <w:jc w:val="left"/>
            </w:pPr>
            <w:r>
              <w:t xml:space="preserve">Government/Commercial</w:t>
            </w:r>
          </w:p>
        </w:tc>
        <w:tc>
          <w:tcPr/>
          <w:p>
            <w:pPr>
              <w:pStyle w:val="Compact"/>
              <w:jc w:val="left"/>
            </w:pPr>
            <w:r>
              <w:t xml:space="preserve">$48M revenue subject to consent</w:t>
            </w:r>
          </w:p>
        </w:tc>
        <w:tc>
          <w:tcPr/>
          <w:p>
            <w:pPr>
              <w:pStyle w:val="Compact"/>
              <w:jc w:val="left"/>
            </w:pPr>
            <w:r>
              <w:t xml:space="preserve">High</w:t>
            </w:r>
          </w:p>
        </w:tc>
      </w:tr>
      <w:tr>
        <w:tc>
          <w:tcPr/>
          <w:p>
            <w:pPr>
              <w:pStyle w:val="Compact"/>
              <w:jc w:val="left"/>
            </w:pPr>
            <w:r>
              <w:t xml:space="preserve">RF-6</w:t>
            </w:r>
          </w:p>
        </w:tc>
        <w:tc>
          <w:tcPr/>
          <w:p>
            <w:pPr>
              <w:pStyle w:val="Compact"/>
              <w:jc w:val="left"/>
            </w:pPr>
            <w:r>
              <w:t xml:space="preserve">CoC Severance</w:t>
            </w:r>
          </w:p>
        </w:tc>
        <w:tc>
          <w:tcPr/>
          <w:p>
            <w:pPr>
              <w:pStyle w:val="Compact"/>
              <w:jc w:val="left"/>
            </w:pPr>
            <w:r>
              <w:t xml:space="preserve">Human Capital</w:t>
            </w:r>
          </w:p>
        </w:tc>
        <w:tc>
          <w:tcPr/>
          <w:p>
            <w:pPr>
              <w:pStyle w:val="Compact"/>
              <w:jc w:val="left"/>
            </w:pPr>
            <w:r>
              <w:t xml:space="preserve">$2.625M certain; $3.775M potential</w:t>
            </w:r>
          </w:p>
        </w:tc>
        <w:tc>
          <w:tcPr/>
          <w:p>
            <w:pPr>
              <w:pStyle w:val="Compact"/>
              <w:jc w:val="left"/>
            </w:pPr>
            <w:r>
              <w:t xml:space="preserve">High</w:t>
            </w:r>
          </w:p>
        </w:tc>
      </w:tr>
      <w:tr>
        <w:tc>
          <w:tcPr/>
          <w:p>
            <w:pPr>
              <w:pStyle w:val="Compact"/>
              <w:jc w:val="left"/>
            </w:pPr>
            <w:r>
              <w:t xml:space="preserve">RF-7</w:t>
            </w:r>
          </w:p>
        </w:tc>
        <w:tc>
          <w:tcPr/>
          <w:p>
            <w:pPr>
              <w:pStyle w:val="Compact"/>
              <w:jc w:val="left"/>
            </w:pPr>
            <w:r>
              <w:t xml:space="preserve">Credit Facility Prepayment</w:t>
            </w:r>
          </w:p>
        </w:tc>
        <w:tc>
          <w:tcPr/>
          <w:p>
            <w:pPr>
              <w:pStyle w:val="Compact"/>
              <w:jc w:val="left"/>
            </w:pPr>
            <w:r>
              <w:t xml:space="preserve">Financing</w:t>
            </w:r>
          </w:p>
        </w:tc>
        <w:tc>
          <w:tcPr/>
          <w:p>
            <w:pPr>
              <w:pStyle w:val="Compact"/>
              <w:jc w:val="left"/>
            </w:pPr>
            <w:r>
              <w:t xml:space="preserve">$39.2M mandatory prepayment</w:t>
            </w:r>
          </w:p>
        </w:tc>
        <w:tc>
          <w:tcPr/>
          <w:p>
            <w:pPr>
              <w:pStyle w:val="Compact"/>
              <w:jc w:val="left"/>
            </w:pPr>
            <w:r>
              <w:t xml:space="preserve">High</w:t>
            </w:r>
          </w:p>
        </w:tc>
      </w:tr>
      <w:tr>
        <w:tc>
          <w:tcPr/>
          <w:p>
            <w:pPr>
              <w:pStyle w:val="Compact"/>
              <w:jc w:val="left"/>
            </w:pPr>
            <w:r>
              <w:t xml:space="preserve">RF-8</w:t>
            </w:r>
          </w:p>
        </w:tc>
        <w:tc>
          <w:tcPr/>
          <w:p>
            <w:pPr>
              <w:pStyle w:val="Compact"/>
              <w:jc w:val="left"/>
            </w:pPr>
            <w:r>
              <w:t xml:space="preserve">Fleet Deferred Capex</w:t>
            </w:r>
          </w:p>
        </w:tc>
        <w:tc>
          <w:tcPr/>
          <w:p>
            <w:pPr>
              <w:pStyle w:val="Compact"/>
              <w:jc w:val="left"/>
            </w:pPr>
            <w:r>
              <w:t xml:space="preserve">Capital Expenditure</w:t>
            </w:r>
          </w:p>
        </w:tc>
        <w:tc>
          <w:tcPr/>
          <w:p>
            <w:pPr>
              <w:pStyle w:val="Compact"/>
              <w:jc w:val="left"/>
            </w:pPr>
            <w:r>
              <w:t xml:space="preserve">$9.8M replacement backlog</w:t>
            </w:r>
          </w:p>
        </w:tc>
        <w:tc>
          <w:tcPr/>
          <w:p>
            <w:pPr>
              <w:pStyle w:val="Compact"/>
              <w:jc w:val="left"/>
            </w:pPr>
            <w:r>
              <w:t xml:space="preserve">Medium-High</w:t>
            </w:r>
          </w:p>
        </w:tc>
      </w:tr>
      <w:tr>
        <w:tc>
          <w:tcPr/>
          <w:p>
            <w:pPr>
              <w:pStyle w:val="Compact"/>
              <w:jc w:val="left"/>
            </w:pPr>
            <w:r>
              <w:t xml:space="preserve">RF-9</w:t>
            </w:r>
          </w:p>
        </w:tc>
        <w:tc>
          <w:tcPr/>
          <w:p>
            <w:pPr>
              <w:pStyle w:val="Compact"/>
              <w:jc w:val="left"/>
            </w:pPr>
            <w:r>
              <w:t xml:space="preserve">Asbestos Long-Tail</w:t>
            </w:r>
          </w:p>
        </w:tc>
        <w:tc>
          <w:tcPr/>
          <w:p>
            <w:pPr>
              <w:pStyle w:val="Compact"/>
              <w:jc w:val="left"/>
            </w:pPr>
            <w:r>
              <w:t xml:space="preserve">Environmental</w:t>
            </w:r>
          </w:p>
        </w:tc>
        <w:tc>
          <w:tcPr/>
          <w:p>
            <w:pPr>
              <w:pStyle w:val="Compact"/>
              <w:jc w:val="left"/>
            </w:pPr>
            <w:r>
              <w:t xml:space="preserve">Unquantifiable</w:t>
            </w:r>
          </w:p>
        </w:tc>
        <w:tc>
          <w:tcPr/>
          <w:p>
            <w:pPr>
              <w:pStyle w:val="Compact"/>
              <w:jc w:val="left"/>
            </w:pPr>
            <w:r>
              <w:t xml:space="preserve">Medium-High</w:t>
            </w:r>
          </w:p>
        </w:tc>
      </w:tr>
      <w:tr>
        <w:tc>
          <w:tcPr/>
          <w:p>
            <w:pPr>
              <w:pStyle w:val="Compact"/>
              <w:jc w:val="left"/>
            </w:pPr>
            <w:r>
              <w:t xml:space="preserve">RF-10</w:t>
            </w:r>
          </w:p>
        </w:tc>
        <w:tc>
          <w:tcPr/>
          <w:p>
            <w:pPr>
              <w:pStyle w:val="Compact"/>
              <w:jc w:val="left"/>
            </w:pPr>
            <w:r>
              <w:t xml:space="preserve">Wyoming Permit</w:t>
            </w:r>
          </w:p>
        </w:tc>
        <w:tc>
          <w:tcPr/>
          <w:p>
            <w:pPr>
              <w:pStyle w:val="Compact"/>
              <w:jc w:val="left"/>
            </w:pPr>
            <w:r>
              <w:t xml:space="preserve">Regulatory</w:t>
            </w:r>
          </w:p>
        </w:tc>
        <w:tc>
          <w:tcPr/>
          <w:p>
            <w:pPr>
              <w:pStyle w:val="Compact"/>
              <w:jc w:val="left"/>
            </w:pPr>
            <w:r>
              <w:t xml:space="preserve">Operational disruption risk</w:t>
            </w:r>
          </w:p>
        </w:tc>
        <w:tc>
          <w:tcPr/>
          <w:p>
            <w:pPr>
              <w:pStyle w:val="Compact"/>
              <w:jc w:val="left"/>
            </w:pPr>
            <w:r>
              <w:t xml:space="preserve">Medium</w:t>
            </w:r>
          </w:p>
        </w:tc>
      </w:tr>
      <w:tr>
        <w:tc>
          <w:tcPr/>
          <w:p>
            <w:pPr>
              <w:pStyle w:val="Compact"/>
              <w:jc w:val="left"/>
            </w:pPr>
            <w:r>
              <w:t xml:space="preserve">RF-11</w:t>
            </w:r>
          </w:p>
        </w:tc>
        <w:tc>
          <w:tcPr/>
          <w:p>
            <w:pPr>
              <w:pStyle w:val="Compact"/>
              <w:jc w:val="left"/>
            </w:pPr>
            <w:r>
              <w:t xml:space="preserve">NLRB Petition</w:t>
            </w:r>
          </w:p>
        </w:tc>
        <w:tc>
          <w:tcPr/>
          <w:p>
            <w:pPr>
              <w:pStyle w:val="Compact"/>
              <w:jc w:val="left"/>
            </w:pPr>
            <w:r>
              <w:t xml:space="preserve">Labor</w:t>
            </w:r>
          </w:p>
        </w:tc>
        <w:tc>
          <w:tcPr/>
          <w:p>
            <w:pPr>
              <w:pStyle w:val="Compact"/>
              <w:jc w:val="left"/>
            </w:pPr>
            <w:r>
              <w:t xml:space="preserve">Labor cost increase risk</w:t>
            </w:r>
          </w:p>
        </w:tc>
        <w:tc>
          <w:tcPr/>
          <w:p>
            <w:pPr>
              <w:pStyle w:val="Compact"/>
              <w:jc w:val="left"/>
            </w:pPr>
            <w:r>
              <w:t xml:space="preserve">Medium</w:t>
            </w:r>
          </w:p>
        </w:tc>
      </w:tr>
      <w:tr>
        <w:tc>
          <w:tcPr/>
          <w:p>
            <w:pPr>
              <w:pStyle w:val="Compact"/>
              <w:jc w:val="left"/>
            </w:pPr>
            <w:r>
              <w:t xml:space="preserve">RF-12</w:t>
            </w:r>
          </w:p>
        </w:tc>
        <w:tc>
          <w:tcPr/>
          <w:p>
            <w:pPr>
              <w:pStyle w:val="Compact"/>
              <w:jc w:val="left"/>
            </w:pPr>
            <w:r>
              <w:t xml:space="preserve">Ramirez Litigation</w:t>
            </w:r>
          </w:p>
        </w:tc>
        <w:tc>
          <w:tcPr/>
          <w:p>
            <w:pPr>
              <w:pStyle w:val="Compact"/>
              <w:jc w:val="left"/>
            </w:pPr>
            <w:r>
              <w:t xml:space="preserve">Litigation</w:t>
            </w:r>
          </w:p>
        </w:tc>
        <w:tc>
          <w:tcPr/>
          <w:p>
            <w:pPr>
              <w:pStyle w:val="Compact"/>
              <w:jc w:val="left"/>
            </w:pPr>
            <w:r>
              <w:t xml:space="preserve">Up to $4.8M (pre-insurance)</w:t>
            </w:r>
          </w:p>
        </w:tc>
        <w:tc>
          <w:tcPr/>
          <w:p>
            <w:pPr>
              <w:pStyle w:val="Compact"/>
              <w:jc w:val="left"/>
            </w:pPr>
            <w:r>
              <w:t xml:space="preserve">Medium</w:t>
            </w:r>
          </w:p>
        </w:tc>
      </w:tr>
    </w:tbl>
    <w:p>
      <w:r>
        <w:pict>
          <v:rect style="width:0;height:1.5pt" o:hralign="center" o:hrstd="t" o:hr="t"/>
        </w:pict>
      </w:r>
    </w:p>
    <w:bookmarkEnd w:id="63"/>
    <w:bookmarkStart w:id="64" w:name="recommended-next-steps"/>
    <w:p>
      <w:pPr>
        <w:pStyle w:val="Heading2"/>
      </w:pPr>
      <w:r>
        <w:t xml:space="preserve">Recommended Next Steps</w:t>
      </w:r>
    </w:p>
    <w:p>
      <w:pPr>
        <w:pStyle w:val="Compact"/>
        <w:numPr>
          <w:ilvl w:val="0"/>
          <w:numId w:val="1020"/>
        </w:numPr>
      </w:pPr>
      <w:r>
        <w:rPr>
          <w:b/>
          <w:bCs/>
        </w:rPr>
        <w:t xml:space="preserve">Demand EBITDA reconciliation</w:t>
      </w:r>
      <w:r>
        <w:t xml:space="preserve"> </w:t>
      </w:r>
      <w:r>
        <w:t xml:space="preserve">and updated financial model from management before proceeding to LOI confirmation.</w:t>
      </w:r>
    </w:p>
    <w:p>
      <w:pPr>
        <w:pStyle w:val="Compact"/>
        <w:numPr>
          <w:ilvl w:val="0"/>
          <w:numId w:val="1020"/>
        </w:numPr>
      </w:pPr>
      <w:r>
        <w:rPr>
          <w:b/>
          <w:bCs/>
        </w:rPr>
        <w:t xml:space="preserve">Commission updated Phase II ESA</w:t>
      </w:r>
      <w:r>
        <w:t xml:space="preserve"> </w:t>
      </w:r>
      <w:r>
        <w:t xml:space="preserve">and vapor intrusion assessment at Grand Junction immediately.</w:t>
      </w:r>
    </w:p>
    <w:p>
      <w:pPr>
        <w:pStyle w:val="Compact"/>
        <w:numPr>
          <w:ilvl w:val="0"/>
          <w:numId w:val="1020"/>
        </w:numPr>
      </w:pPr>
      <w:r>
        <w:rPr>
          <w:b/>
          <w:bCs/>
        </w:rPr>
        <w:t xml:space="preserve">Engage DOE Contracting Officer</w:t>
      </w:r>
      <w:r>
        <w:t xml:space="preserve"> </w:t>
      </w:r>
      <w:r>
        <w:t xml:space="preserve">regarding ceiling modification and novation requirements.</w:t>
      </w:r>
    </w:p>
    <w:p>
      <w:pPr>
        <w:pStyle w:val="Compact"/>
        <w:numPr>
          <w:ilvl w:val="0"/>
          <w:numId w:val="1020"/>
        </w:numPr>
      </w:pPr>
      <w:r>
        <w:rPr>
          <w:b/>
          <w:bCs/>
        </w:rPr>
        <w:t xml:space="preserve">Require SLC lease consent and permit transfer</w:t>
      </w:r>
      <w:r>
        <w:t xml:space="preserve"> </w:t>
      </w:r>
      <w:r>
        <w:t xml:space="preserve">as conditions to closing.</w:t>
      </w:r>
    </w:p>
    <w:p>
      <w:pPr>
        <w:pStyle w:val="Compact"/>
        <w:numPr>
          <w:ilvl w:val="0"/>
          <w:numId w:val="1020"/>
        </w:numPr>
      </w:pPr>
      <w:r>
        <w:rPr>
          <w:b/>
          <w:bCs/>
        </w:rPr>
        <w:t xml:space="preserve">Initiate contract consent processes</w:t>
      </w:r>
      <w:r>
        <w:t xml:space="preserve"> </w:t>
      </w:r>
      <w:r>
        <w:t xml:space="preserve">for all material contracts with assignment/change-of-control provisions.</w:t>
      </w:r>
    </w:p>
    <w:p>
      <w:pPr>
        <w:pStyle w:val="Compact"/>
        <w:numPr>
          <w:ilvl w:val="0"/>
          <w:numId w:val="1020"/>
        </w:numPr>
      </w:pPr>
      <w:r>
        <w:rPr>
          <w:b/>
          <w:bCs/>
        </w:rPr>
        <w:t xml:space="preserve">Negotiate enhanced indemnification structure</w:t>
      </w:r>
      <w:r>
        <w:t xml:space="preserve"> </w:t>
      </w:r>
      <w:r>
        <w:t xml:space="preserve">with separate escrows for environmental, asbestos, and DOE revenue risk.</w:t>
      </w:r>
    </w:p>
    <w:p>
      <w:pPr>
        <w:pStyle w:val="Compact"/>
        <w:numPr>
          <w:ilvl w:val="0"/>
          <w:numId w:val="1020"/>
        </w:numPr>
      </w:pPr>
      <w:r>
        <w:rPr>
          <w:b/>
          <w:bCs/>
        </w:rPr>
        <w:t xml:space="preserve">Commission independent fleet appraisal</w:t>
      </w:r>
      <w:r>
        <w:t xml:space="preserve"> </w:t>
      </w:r>
      <w:r>
        <w:t xml:space="preserve">and adjust normalized capex assumptions.</w:t>
      </w:r>
    </w:p>
    <w:p>
      <w:pPr>
        <w:pStyle w:val="Compact"/>
        <w:numPr>
          <w:ilvl w:val="0"/>
          <w:numId w:val="1020"/>
        </w:numPr>
      </w:pPr>
      <w:r>
        <w:rPr>
          <w:b/>
          <w:bCs/>
        </w:rPr>
        <w:t xml:space="preserve">Obtain full NLRB briefing</w:t>
      </w:r>
      <w:r>
        <w:t xml:space="preserve"> </w:t>
      </w:r>
      <w:r>
        <w:t xml:space="preserve">and assess unionization risk.</w:t>
      </w:r>
    </w:p>
    <w:p>
      <w:pPr>
        <w:pStyle w:val="Compact"/>
        <w:numPr>
          <w:ilvl w:val="0"/>
          <w:numId w:val="1020"/>
        </w:numPr>
      </w:pPr>
      <w:r>
        <w:rPr>
          <w:b/>
          <w:bCs/>
        </w:rPr>
        <w:t xml:space="preserve">Confirm insurance coverage</w:t>
      </w:r>
      <w:r>
        <w:t xml:space="preserve"> </w:t>
      </w:r>
      <w:r>
        <w:t xml:space="preserve">for Ramirez matter and negotiate specific indemnification.</w:t>
      </w:r>
    </w:p>
    <w:p>
      <w:pPr>
        <w:pStyle w:val="Compact"/>
        <w:numPr>
          <w:ilvl w:val="0"/>
          <w:numId w:val="1020"/>
        </w:numPr>
      </w:pPr>
      <w:r>
        <w:rPr>
          <w:b/>
          <w:bCs/>
        </w:rPr>
        <w:t xml:space="preserve">Adjust enterprise value</w:t>
      </w:r>
      <w:r>
        <w:t xml:space="preserve"> </w:t>
      </w:r>
      <w:r>
        <w:t xml:space="preserve">to reflect identified risks — a price reduction of $15–$30 million from the midpoint of the indicative range ($193.5M) may be warranted pending resolution of the identified issues.</w:t>
      </w:r>
    </w:p>
    <w:p>
      <w:r>
        <w:pict>
          <v:rect style="width:0;height:1.5pt" o:hralign="center" o:hrstd="t" o:hr="t"/>
        </w:pict>
      </w:r>
    </w:p>
    <w:p>
      <w:pPr>
        <w:pStyle w:val="FirstParagraph"/>
      </w:pPr>
      <w:r>
        <w:rPr>
          <w:i/>
          <w:iCs/>
        </w:rPr>
        <w:t xml:space="preserve">This memorandum is prepared solely for the use of Sycamore Capital Partners, LP and its advisors in connection with the proposed acquisition of Ridgeline Environmental Services, Inc. It is based on information available in the Project Ridgeline data room as of December 2024 and is subject to revision as additional information becomes available. This memorandum does not constitute legal advice and should not be relied upon as such.</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2026-08-25T02:54:04Z</dcterms:created>
  <dcterms:modified xsi:type="dcterms:W3CDTF">2026-08-25T02:54:04Z</dcterms:modified>
</cp:coreProperties>
</file>

<file path=docProps/custom.xml><?xml version="1.0" encoding="utf-8"?>
<Properties xmlns="http://schemas.openxmlformats.org/officeDocument/2006/custom-properties" xmlns:vt="http://schemas.openxmlformats.org/officeDocument/2006/docPropsVTypes"/>
</file>