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ue-diligence-red-flag-memorandum"/>
    <w:p>
      <w:pPr>
        <w:pStyle w:val="Heading1"/>
      </w:pPr>
      <w:r>
        <w:t xml:space="preserve">Due Diligence Red Flag Memorandum</w:t>
      </w:r>
    </w:p>
    <w:p>
      <w:pPr>
        <w:pStyle w:val="FirstParagraph"/>
      </w:pPr>
      <w:r>
        <w:t xml:space="preserve">Project Ridgeline — Proposed Acquisition of Ridgeline Environmental Services, Inc.</w:t>
      </w:r>
    </w:p>
    <w:p>
      <w:pPr>
        <w:pStyle w:val="BodyText"/>
      </w:pPr>
      <w:r>
        <w:t xml:space="preserve">Prepared for: Sycamore Capital Partners, LP — Deal Team</w:t>
      </w:r>
      <w:r>
        <w:t xml:space="preserve"> </w:t>
      </w:r>
      <w:r>
        <w:t xml:space="preserve">Date: December 2024</w:t>
      </w:r>
      <w:r>
        <w:t xml:space="preserve"> </w:t>
      </w:r>
      <w:r>
        <w:t xml:space="preserve">Classification: Confidential — Subject to NDA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red flags and diligence concerns identified across the Project Ridgeline data room in connection with the proposed acquisition of 100% of the outstanding common stock of Ridgeline Environmental Services, Inc. at an indicative enterprise value of $182–$205 million (8.0x–9.0x FY2024 Adjusted EBITDA of $22.8M).</w:t>
      </w:r>
    </w:p>
    <w:p>
      <w:pPr>
        <w:pStyle w:val="BodyText"/>
      </w:pPr>
      <w:r>
        <w:t xml:space="preserve">Thirteen discrete red flags have been identified across seven risk categories. Five flags are rated High severity and warrant resolution before execution of a definitive agreement.</w:t>
      </w:r>
    </w:p>
    <w:p>
      <w:r>
        <w:pict>
          <v:rect style="width:0;height:1.5pt" o:hralign="center" o:hrstd="t" o:hr="t"/>
        </w:pict>
      </w:r>
    </w:p>
    <w:bookmarkEnd w:id="20"/>
    <w:bookmarkStart w:id="21" w:name="red-flag-summary"/>
    <w:p>
      <w:pPr>
        <w:pStyle w:val="Heading2"/>
      </w:pPr>
      <w:r>
        <w:t xml:space="preserve">Red Flag Summary</w:t>
      </w:r>
    </w:p>
    <w:tbl>
      <w:tblPr>
        <w:tblStyle w:val="Table"/>
        <w:tblW w:type="pct" w:w="5000"/>
        <w:jc w:val="left"/>
        <w:tblLayout w:type="fixed"/>
        <w:tblLook w:firstRow="1" w:lastRow="0" w:firstColumn="0" w:lastColumn="0" w:noHBand="0" w:noVBand="0" w:val="0020"/>
      </w:tblPr>
      <w:tblGrid>
        <w:gridCol w:w="720"/>
        <w:gridCol w:w="2400"/>
        <w:gridCol w:w="2400"/>
        <w:gridCol w:w="240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Red Flag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Financial / QoE</w:t>
            </w:r>
          </w:p>
        </w:tc>
        <w:tc>
          <w:tcPr/>
          <w:p>
            <w:pPr>
              <w:pStyle w:val="Compact"/>
              <w:jc w:val="left"/>
            </w:pPr>
            <w:r>
              <w:t xml:space="preserve">Adjusted EBITDA Discrepancy: CIM vs. QoE Data Package ($1.0M Unexplained Gap)</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Financial / QoE</w:t>
            </w:r>
          </w:p>
        </w:tc>
        <w:tc>
          <w:tcPr/>
          <w:p>
            <w:pPr>
              <w:pStyle w:val="Compact"/>
              <w:jc w:val="left"/>
            </w:pPr>
            <w:r>
              <w:t xml:space="preserve">DOE IDIQ Ceiling Near Exhaustion — $12.1M+ FY2025 Revenue Headwind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Environmental</w:t>
            </w:r>
          </w:p>
        </w:tc>
        <w:tc>
          <w:tcPr/>
          <w:p>
            <w:pPr>
              <w:pStyle w:val="Compact"/>
              <w:jc w:val="left"/>
            </w:pPr>
            <w:r>
              <w:t xml:space="preserve">Grand Junction Phase II ESA Stale (5+ Years); Unquantified Vapor Intrusion and Off-Site Plume Risk</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Regulatory</w:t>
            </w:r>
          </w:p>
        </w:tc>
        <w:tc>
          <w:tcPr/>
          <w:p>
            <w:pPr>
              <w:pStyle w:val="Compact"/>
              <w:jc w:val="left"/>
            </w:pPr>
            <w:r>
              <w:t xml:space="preserve">CDPHE RCRA Enforcement Action (Docket CDPHE-HW-2024-0093) — Unaccrued Penalty Exposure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Transaction</w:t>
            </w:r>
          </w:p>
        </w:tc>
        <w:tc>
          <w:tcPr/>
          <w:p>
            <w:pPr>
              <w:pStyle w:val="Compact"/>
              <w:jc w:val="left"/>
            </w:pPr>
            <w:r>
              <w:t xml:space="preserve">Credit Facility Change-of-Control Triggers Mandatory Prepayment + Prepayment Premium (~$39.2M)</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Regulatory</w:t>
            </w:r>
          </w:p>
        </w:tc>
        <w:tc>
          <w:tcPr/>
          <w:p>
            <w:pPr>
              <w:pStyle w:val="Compact"/>
              <w:jc w:val="left"/>
            </w:pPr>
            <w:r>
              <w:t xml:space="preserve">Wyoming Permit WY-HW-2019-033 Expired; Operating Under Timely Renewal Provisions</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Regulatory</w:t>
            </w:r>
          </w:p>
        </w:tc>
        <w:tc>
          <w:tcPr/>
          <w:p>
            <w:pPr>
              <w:pStyle w:val="Compact"/>
              <w:jc w:val="left"/>
            </w:pPr>
            <w:r>
              <w:t xml:space="preserve">Utah SLC Transfer Station Permit (UTH-0441) Not Transferred from Pinnacle to RES</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Transaction</w:t>
            </w:r>
          </w:p>
        </w:tc>
        <w:tc>
          <w:tcPr/>
          <w:p>
            <w:pPr>
              <w:pStyle w:val="Compact"/>
              <w:jc w:val="left"/>
            </w:pPr>
            <w:r>
              <w:t xml:space="preserve">SLC Lease Assignment Unresolved Since 2022; Dual Change-of-Control Consent Required</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Financial / QoE</w:t>
            </w:r>
          </w:p>
        </w:tc>
        <w:tc>
          <w:tcPr/>
          <w:p>
            <w:pPr>
              <w:pStyle w:val="Compact"/>
              <w:jc w:val="left"/>
            </w:pPr>
            <w:r>
              <w:t xml:space="preserve">Fleet Deferred Replacement Backlog: 38 of 85 Assets (44.7%) Past Useful Life; ~$9.8M Catch-Up Capex</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Employment</w:t>
            </w:r>
          </w:p>
        </w:tc>
        <w:tc>
          <w:tcPr/>
          <w:p>
            <w:pPr>
              <w:pStyle w:val="Compact"/>
              <w:jc w:val="left"/>
            </w:pPr>
            <w:r>
              <w:t xml:space="preserve">Single-Trigger CoC Severance for Calloway Brothers ($2.625M) — Certain Cash Outflow at Closing</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Employment</w:t>
            </w:r>
          </w:p>
        </w:tc>
        <w:tc>
          <w:tcPr/>
          <w:p>
            <w:pPr>
              <w:pStyle w:val="Compact"/>
              <w:jc w:val="left"/>
            </w:pPr>
            <w:r>
              <w:t xml:space="preserve">NLRB Unionization Petition Filed (62 Field Technicians, Teamsters Local 455)</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Environmental</w:t>
            </w:r>
          </w:p>
        </w:tc>
        <w:tc>
          <w:tcPr/>
          <w:p>
            <w:pPr>
              <w:pStyle w:val="Compact"/>
              <w:jc w:val="left"/>
            </w:pPr>
            <w:r>
              <w:t xml:space="preserve">Asbestos Abatement Long-Tail Liability — Pre-2015 Work Not Covered by Current PLL Policy</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Employment</w:t>
            </w:r>
          </w:p>
        </w:tc>
        <w:tc>
          <w:tcPr/>
          <w:p>
            <w:pPr>
              <w:pStyle w:val="Compact"/>
              <w:jc w:val="left"/>
            </w:pPr>
            <w:r>
              <w:t xml:space="preserve">Personal Injury Litigation (Ramirez v. RES) — Insurance Coverage Reservation of Rights</w:t>
            </w:r>
          </w:p>
        </w:tc>
        <w:tc>
          <w:tcPr/>
          <w:p>
            <w:pPr>
              <w:pStyle w:val="Compact"/>
              <w:jc w:val="left"/>
            </w:pPr>
            <w:r>
              <w:t xml:space="preserve">Low</w:t>
            </w:r>
          </w:p>
        </w:tc>
      </w:tr>
    </w:tbl>
    <w:p>
      <w:r>
        <w:pict>
          <v:rect style="width:0;height:1.5pt" o:hralign="center" o:hrstd="t" o:hr="t"/>
        </w:pict>
      </w:r>
    </w:p>
    <w:bookmarkEnd w:id="21"/>
    <w:bookmarkStart w:id="48" w:name="detailed-red-flag-analysis"/>
    <w:p>
      <w:pPr>
        <w:pStyle w:val="Heading2"/>
      </w:pPr>
      <w:r>
        <w:t xml:space="preserve">Detailed Red Flag Analysis</w:t>
      </w:r>
    </w:p>
    <w:bookmarkStart w:id="22" w:name="red-flag-1-financial-qoe"/>
    <w:p>
      <w:pPr>
        <w:pStyle w:val="Heading3"/>
      </w:pPr>
      <w:r>
        <w:t xml:space="preserve">RED FLAG 1 — FINANCIAL / QoE</w:t>
      </w:r>
    </w:p>
    <w:bookmarkEnd w:id="22"/>
    <w:bookmarkStart w:id="23" w:name="X62a674c9a418945ab087530596333a4e08aec89"/>
    <w:p>
      <w:pPr>
        <w:pStyle w:val="Heading3"/>
      </w:pPr>
      <w:r>
        <w:t xml:space="preserve">Adjusted EBITDA Discrepancy: CIM vs. QoE Data Package ($1.0M Unexplained Gap)</w:t>
      </w:r>
    </w:p>
    <w:p>
      <w:pPr>
        <w:pStyle w:val="FirstParagraph"/>
      </w:pPr>
      <w:r>
        <w:t xml:space="preserve">Severity: HIGH</w:t>
      </w:r>
    </w:p>
    <w:p>
      <w:pPr>
        <w:pStyle w:val="BodyText"/>
      </w:pPr>
      <w:r>
        <w:t xml:space="preserve">Finding. The Confidential Information Memorandum presents FY2024 Adjusted EBITDA of $22.8 million with total adjustments of $4.4M from reported EBITDA of $18.4M. The QoE data request response prepared by the CFO for Bridgewater Forsyth Group presents Management Adjusted EBITDA of $23.8 million — a $1.0 million discrepancy that management has acknowledged in the data package but has not reconciled. The specific adjustment category causing the gap has not been identified.</w:t>
      </w:r>
    </w:p>
    <w:p>
      <w:pPr>
        <w:pStyle w:val="BodyText"/>
      </w:pPr>
      <w:r>
        <w:t xml:space="preserve">Key Facts.</w:t>
      </w:r>
      <w:r>
        <w:t xml:space="preserve"> </w:t>
      </w:r>
      <w:r>
        <w:t xml:space="preserve">- The five adjustments in the QoE bridge (litigation settlement $1.2M, owner comp normalization $950K, ERP costs $650K, Pinnacle integration $800K, asbestos wind-down $1.8M) sum to $5.4M — not $4.4M as stated in the CIM.</w:t>
      </w:r>
      <w:r>
        <w:t xml:space="preserve"> </w:t>
      </w:r>
      <w:r>
        <w:t xml:space="preserve">- The valuation range of $182–$205M is anchored to the $22.8M figure. A $1.0M discrepancy shifts the implied multiple range by approximately 0.4x.</w:t>
      </w:r>
      <w:r>
        <w:t xml:space="preserve"> </w:t>
      </w:r>
      <w:r>
        <w:t xml:space="preserve">- The Pinnacle integration cost adjustment has been claimed for three consecutive years (FY2022: $1.24M; FY2023: $620K; FY2024: $800K), raising questions about whether this is truly non-recurring.</w:t>
      </w:r>
      <w:r>
        <w:t xml:space="preserve"> </w:t>
      </w:r>
      <w:r>
        <w:t xml:space="preserve">- The bank’s Consolidated EBITDA definition permits only up to $500K of non-recurring add-backs, yielding bank EBITDA of approximately $18.4M — a $4.4M–$5.4M gap versus management’s adjusted figures. None of the five management adjustments qualify as permitted add-backs under the credit agreement.</w:t>
      </w:r>
      <w:r>
        <w:t xml:space="preserve"> </w:t>
      </w:r>
      <w:r>
        <w:t xml:space="preserve">- The owner compensation normalization adjustment ($950K) assumes market-rate replacement compensation of $400K per executive. If the Calloway brothers remain post-closing at their current $875K salaries, this adjustment is not achievable and Adjusted EBITDA is overstated by $950K.</w:t>
      </w:r>
    </w:p>
    <w:p>
      <w:pPr>
        <w:pStyle w:val="BodyText"/>
      </w:pPr>
      <w:r>
        <w:t xml:space="preserve">Required Actions.</w:t>
      </w:r>
      <w:r>
        <w:t xml:space="preserve"> </w:t>
      </w:r>
      <w:r>
        <w:t xml:space="preserve">- Demand a written reconciliation of the $1.0M discrepancy before proceeding to definitive agreement.</w:t>
      </w:r>
      <w:r>
        <w:t xml:space="preserve"> </w:t>
      </w:r>
      <w:r>
        <w:t xml:space="preserve">- Confirm which adjusted EBITDA figure governs the purchase price multiple.</w:t>
      </w:r>
      <w:r>
        <w:t xml:space="preserve"> </w:t>
      </w:r>
      <w:r>
        <w:t xml:space="preserve">- Scrutinize the Pinnacle integration cost add-back for recurrence risk.</w:t>
      </w:r>
      <w:r>
        <w:t xml:space="preserve"> </w:t>
      </w:r>
      <w:r>
        <w:t xml:space="preserve">- Confirm post-closing compensation arrangements for the Calloway brothers before accepting the owner comp normalization adjustment.</w:t>
      </w:r>
    </w:p>
    <w:p>
      <w:r>
        <w:pict>
          <v:rect style="width:0;height:1.5pt" o:hralign="center" o:hrstd="t" o:hr="t"/>
        </w:pict>
      </w:r>
    </w:p>
    <w:bookmarkEnd w:id="23"/>
    <w:bookmarkStart w:id="24" w:name="red-flag-2-financial-qoe"/>
    <w:p>
      <w:pPr>
        <w:pStyle w:val="Heading3"/>
      </w:pPr>
      <w:r>
        <w:t xml:space="preserve">RED FLAG 2 — FINANCIAL / QoE</w:t>
      </w:r>
    </w:p>
    <w:bookmarkEnd w:id="24"/>
    <w:bookmarkStart w:id="25" w:name="Xa19625f0c721ce66e590cd95943d29db17bcb79"/>
    <w:p>
      <w:pPr>
        <w:pStyle w:val="Heading3"/>
      </w:pPr>
      <w:r>
        <w:t xml:space="preserve">DOE IDIQ Ceiling Near Exhaustion — $12.1M+ FY2025 Revenue Headwind</w:t>
      </w:r>
    </w:p>
    <w:p>
      <w:pPr>
        <w:pStyle w:val="FirstParagraph"/>
      </w:pPr>
      <w:r>
        <w:t xml:space="preserve">Severity: HIGH</w:t>
      </w:r>
    </w:p>
    <w:p>
      <w:pPr>
        <w:pStyle w:val="BodyText"/>
      </w:pPr>
      <w:r>
        <w:t xml:space="preserve">Finding. The U.S. Department of Energy represents 19.2% of TTM revenue ($24.4M) under IDIQ Contract No. DE-EM-0005523. As of October 2024, 72.7% of the $45M ceiling ($32.7M) has been consumed in 61.7% of the contract period. At the current run rate of approximately $2.03M/month, the remaining $12.3M ceiling will be exhausted by approximately April–May 2025 — coinciding with the target closing date. The contract does not expire until August 31, 2026, leaving approximately 16 months of unfunded contract period.</w:t>
      </w:r>
    </w:p>
    <w:p>
      <w:pPr>
        <w:pStyle w:val="BodyText"/>
      </w:pPr>
      <w:r>
        <w:t xml:space="preserve">Key Facts.</w:t>
      </w:r>
      <w:r>
        <w:t xml:space="preserve"> </w:t>
      </w:r>
      <w:r>
        <w:t xml:space="preserve">- If the ceiling is not increased via a contract modification, FY2025 DOE revenue could decline from $24.4M to $12.3M or less — a $12.1M revenue headwind representing 9.5% of total revenue.</w:t>
      </w:r>
      <w:r>
        <w:t xml:space="preserve"> </w:t>
      </w:r>
      <w:r>
        <w:t xml:space="preserve">- The CIM characterizes the DOE relationship as providing</w:t>
      </w:r>
      <w:r>
        <w:t xml:space="preserve"> </w:t>
      </w:r>
      <w:r>
        <w:t xml:space="preserve">“</w:t>
      </w:r>
      <w:r>
        <w:t xml:space="preserve">substantial near-term revenue visibility</w:t>
      </w:r>
      <w:r>
        <w:t xml:space="preserve">”</w:t>
      </w:r>
      <w:r>
        <w:t xml:space="preserve"> </w:t>
      </w:r>
      <w:r>
        <w:t xml:space="preserve">through August 2026 — this characterization is materially misleading given the ceiling exhaustion timeline.</w:t>
      </w:r>
      <w:r>
        <w:t xml:space="preserve"> </w:t>
      </w:r>
      <w:r>
        <w:t xml:space="preserve">- The contract is non-assignable under the Anti-Assignment Act (41 U.S.C. Section 6305) and FAR 42.12. Contract Clause H-12 requires written notification to the Contracting Officer within 30 days of any change in ownership; failure to notify may be grounds for termination for default.</w:t>
      </w:r>
      <w:r>
        <w:t xml:space="preserve"> </w:t>
      </w:r>
      <w:r>
        <w:t xml:space="preserve">- A novation agreement may be required if DOE determines the transaction constitutes a change in contractor identity.</w:t>
      </w:r>
      <w:r>
        <w:t xml:space="preserve"> </w:t>
      </w:r>
      <w:r>
        <w:t xml:space="preserve">- The most recent task order received only a</w:t>
      </w:r>
      <w:r>
        <w:t xml:space="preserve"> </w:t>
      </w:r>
      <w:r>
        <w:t xml:space="preserve">“</w:t>
      </w:r>
      <w:r>
        <w:t xml:space="preserve">Satisfactory</w:t>
      </w:r>
      <w:r>
        <w:t xml:space="preserve">”</w:t>
      </w:r>
      <w:r>
        <w:t xml:space="preserve"> </w:t>
      </w:r>
      <w:r>
        <w:t xml:space="preserve">CPARS rating — a step down from prior</w:t>
      </w:r>
      <w:r>
        <w:t xml:space="preserve"> </w:t>
      </w:r>
      <w:r>
        <w:t xml:space="preserve">“</w:t>
      </w:r>
      <w:r>
        <w:t xml:space="preserve">Exceptional</w:t>
      </w:r>
      <w:r>
        <w:t xml:space="preserve">”</w:t>
      </w:r>
      <w:r>
        <w:t xml:space="preserve"> </w:t>
      </w:r>
      <w:r>
        <w:t xml:space="preserve">and</w:t>
      </w:r>
      <w:r>
        <w:t xml:space="preserve"> </w:t>
      </w:r>
      <w:r>
        <w:t xml:space="preserve">“</w:t>
      </w:r>
      <w:r>
        <w:t xml:space="preserve">Very Good</w:t>
      </w:r>
      <w:r>
        <w:t xml:space="preserve">”</w:t>
      </w:r>
      <w:r>
        <w:t xml:space="preserve"> </w:t>
      </w:r>
      <w:r>
        <w:t xml:space="preserve">ratings — which could affect the Company’s competitive position for a ceiling modification or follow-on contract.</w:t>
      </w:r>
    </w:p>
    <w:p>
      <w:pPr>
        <w:pStyle w:val="BodyText"/>
      </w:pPr>
      <w:r>
        <w:t xml:space="preserve">Required Actions.</w:t>
      </w:r>
      <w:r>
        <w:t xml:space="preserve"> </w:t>
      </w:r>
      <w:r>
        <w:t xml:space="preserve">- Obtain written confirmation from the DOE Contracting Officer regarding: (a) the status of any pending ceiling modification request; (b) the likelihood of a follow-on contract award; and (c) novation requirements for the proposed transaction.</w:t>
      </w:r>
      <w:r>
        <w:t xml:space="preserve"> </w:t>
      </w:r>
      <w:r>
        <w:t xml:space="preserve">- Model a downside scenario in which DOE revenue declines to $12.3M in FY2025 and assess the impact on EBITDA, leverage, and purchase price.</w:t>
      </w:r>
      <w:r>
        <w:t xml:space="preserve"> </w:t>
      </w:r>
      <w:r>
        <w:t xml:space="preserve">- Consider a purchase price adjustment mechanism or earnout tied to DOE contract continuity.</w:t>
      </w:r>
      <w:r>
        <w:t xml:space="preserve"> </w:t>
      </w:r>
      <w:r>
        <w:t xml:space="preserve">- Require a representation and warranty that no notice of termination or intent not to exercise options has been received from DOE.</w:t>
      </w:r>
    </w:p>
    <w:p>
      <w:r>
        <w:pict>
          <v:rect style="width:0;height:1.5pt" o:hralign="center" o:hrstd="t" o:hr="t"/>
        </w:pict>
      </w:r>
    </w:p>
    <w:bookmarkEnd w:id="25"/>
    <w:bookmarkStart w:id="26" w:name="red-flag-3-environmental-liability"/>
    <w:p>
      <w:pPr>
        <w:pStyle w:val="Heading3"/>
      </w:pPr>
      <w:r>
        <w:t xml:space="preserve">RED FLAG 3 — ENVIRONMENTAL LIABILITY</w:t>
      </w:r>
    </w:p>
    <w:bookmarkEnd w:id="26"/>
    <w:bookmarkStart w:id="27" w:name="Xc0625f3d8b8a313fb45b8b6e67280baff110034"/>
    <w:p>
      <w:pPr>
        <w:pStyle w:val="Heading3"/>
      </w:pPr>
      <w:r>
        <w:t xml:space="preserve">Grand Junction Phase II ESA Stale (5+ Years); Unquantified Vapor Intrusion and Off-Site Plume Risk</w:t>
      </w:r>
    </w:p>
    <w:p>
      <w:pPr>
        <w:pStyle w:val="FirstParagraph"/>
      </w:pPr>
      <w:r>
        <w:t xml:space="preserve">Severity: HIGH</w:t>
      </w:r>
    </w:p>
    <w:p>
      <w:pPr>
        <w:pStyle w:val="BodyText"/>
      </w:pPr>
      <w:r>
        <w:t xml:space="preserve">Finding. The only Phase II Environmental Site Assessment for the Company’s owned Grand Junction headquarters was completed in June 2019 — over five years ago. The ESA identified significant soil and groundwater contamination (petroleum hydrocarbons and chlorinated solvents PCE/TCE) with a remediation cost estimate of $1.8M–$2.6M in 2019 dollars. The ESA explicitly recommended updated investigation before any property transaction. Three critical follow-up items identified in the ESA have not been completed: (1) vapor intrusion assessment of the occupied vehicle maintenance building, (2) off-site sentinel monitoring wells to confirm plume containment, and (3) initiation of CDPHE voluntary cleanup discussions.</w:t>
      </w:r>
    </w:p>
    <w:p>
      <w:pPr>
        <w:pStyle w:val="BodyText"/>
      </w:pPr>
      <w:r>
        <w:t xml:space="preserve">Key Facts.</w:t>
      </w:r>
      <w:r>
        <w:t xml:space="preserve"> </w:t>
      </w:r>
      <w:r>
        <w:t xml:space="preserve">- PCE detected at 18 mg/kg (vs. 3.4 mg/kg cleanup level); TCE at 6.8 mg/kg (vs. 2.3 mg/kg); benzene in groundwater at 12 ug/L (vs. 5 ug/L standard); PCE in groundwater at 22 ug/L (vs. 5 ug/L standard).</w:t>
      </w:r>
      <w:r>
        <w:t xml:space="preserve"> </w:t>
      </w:r>
      <w:r>
        <w:t xml:space="preserve">- Soil gas adjacent to the occupied 28,000 sq. ft. vehicle maintenance building: PCE at 450 ug/m3 (vs. EPA RSL of 240 ug/m3); TCE at 120 ug/m3 (vs. EPA RSL of 21 ug/m3). Vapor intrusion into the occupied building was flagged as requiring</w:t>
      </w:r>
      <w:r>
        <w:t xml:space="preserve"> </w:t>
      </w:r>
      <w:r>
        <w:t xml:space="preserve">“</w:t>
      </w:r>
      <w:r>
        <w:t xml:space="preserve">prompt attention.</w:t>
      </w:r>
      <w:r>
        <w:t xml:space="preserve">”</w:t>
      </w:r>
      <w:r>
        <w:t xml:space="preserve"> </w:t>
      </w:r>
      <w:r>
        <w:t xml:space="preserve">- Chlorinated solvents (PCE/TCE) are DNAPLs that can migrate vertically through the aquifer. The current monitoring well network does not include off-site sentinel wells, so plume containment is unconfirmed.</w:t>
      </w:r>
      <w:r>
        <w:t xml:space="preserve"> </w:t>
      </w:r>
      <w:r>
        <w:t xml:space="preserve">- The 2019 cost estimate does not include vapor intrusion mitigation, off-site remediation (if plume has migrated), or natural resource damage claims. Inflation-adjusted costs in 2024 dollars would be materially higher.</w:t>
      </w:r>
      <w:r>
        <w:t xml:space="preserve"> </w:t>
      </w:r>
      <w:r>
        <w:t xml:space="preserve">- The Company’s balance sheet accrual of $3.2M (approximately $2.2M attributable to Grand Junction) may be inadequate given the stale assessment and unresolved risks.</w:t>
      </w:r>
      <w:r>
        <w:t xml:space="preserve"> </w:t>
      </w:r>
      <w:r>
        <w:t xml:space="preserve">- The Pollution Legal Liability policy explicitly excludes gradual contamination at owned facilities — the Grand Junction contamination (characterized as gradual releases over decades) is therefore not covered by the current PLL policy.</w:t>
      </w:r>
    </w:p>
    <w:p>
      <w:pPr>
        <w:pStyle w:val="BodyText"/>
      </w:pPr>
      <w:r>
        <w:t xml:space="preserve">Required Actions.</w:t>
      </w:r>
      <w:r>
        <w:t xml:space="preserve"> </w:t>
      </w:r>
      <w:r>
        <w:t xml:space="preserve">- Commission an updated Phase II ESA and vapor intrusion assessment at the Grand Junction facility prior to signing.</w:t>
      </w:r>
      <w:r>
        <w:t xml:space="preserve"> </w:t>
      </w:r>
      <w:r>
        <w:t xml:space="preserve">- Install off-site sentinel monitoring wells to confirm plume containment.</w:t>
      </w:r>
      <w:r>
        <w:t xml:space="preserve"> </w:t>
      </w:r>
      <w:r>
        <w:t xml:space="preserve">- Obtain an independent remediation cost estimate in 2024 dollars.</w:t>
      </w:r>
      <w:r>
        <w:t xml:space="preserve"> </w:t>
      </w:r>
      <w:r>
        <w:t xml:space="preserve">- Negotiate specific environmental indemnification with an extended survival period and a separate escrow or indemnification cap for environmental matters.</w:t>
      </w:r>
      <w:r>
        <w:t xml:space="preserve"> </w:t>
      </w:r>
      <w:r>
        <w:t xml:space="preserve">- Evaluate whether the $3.2M balance sheet accrual is adequate; consider requiring sellers to increase the accrual or fund a separate environmental escrow at closing.</w:t>
      </w:r>
    </w:p>
    <w:p>
      <w:r>
        <w:pict>
          <v:rect style="width:0;height:1.5pt" o:hralign="center" o:hrstd="t" o:hr="t"/>
        </w:pict>
      </w:r>
    </w:p>
    <w:bookmarkEnd w:id="27"/>
    <w:bookmarkStart w:id="28" w:name="red-flag-4-regulatory"/>
    <w:p>
      <w:pPr>
        <w:pStyle w:val="Heading3"/>
      </w:pPr>
      <w:r>
        <w:t xml:space="preserve">RED FLAG 4 — REGULATORY</w:t>
      </w:r>
    </w:p>
    <w:bookmarkEnd w:id="28"/>
    <w:bookmarkStart w:id="29" w:name="X11971b25d467b4d0fb7f10edac2226741733c4c"/>
    <w:p>
      <w:pPr>
        <w:pStyle w:val="Heading3"/>
      </w:pPr>
      <w:r>
        <w:t xml:space="preserve">CDPHE RCRA Enforcement Action — Unaccrued Penalty Exposure; Potential Permit Jeopardy</w:t>
      </w:r>
    </w:p>
    <w:p>
      <w:pPr>
        <w:pStyle w:val="FirstParagraph"/>
      </w:pPr>
      <w:r>
        <w:t xml:space="preserve">Severity: HIGH</w:t>
      </w:r>
    </w:p>
    <w:p>
      <w:pPr>
        <w:pStyle w:val="BodyText"/>
      </w:pPr>
      <w:r>
        <w:t xml:space="preserve">Finding. The Colorado Department of Public Health and Environment issued a Notice of Violation on July 18, 2024 (Docket No. CDPHE-HW-2024-0093) alleging improper storage of approximately 14,000 gallons of listed hazardous waste (F001/F002 spent solvents) at the Grand Junction facility in violation of RCRA Part B Permit COD-098-2761. No accrual has been recorded on the Company’s balance sheet as of September 30, 2024, despite management’s own assessment that some penalty is</w:t>
      </w:r>
      <w:r>
        <w:t xml:space="preserve"> </w:t>
      </w:r>
      <w:r>
        <w:t xml:space="preserve">“</w:t>
      </w:r>
      <w:r>
        <w:t xml:space="preserve">Probable.</w:t>
      </w:r>
      <w:r>
        <w:t xml:space="preserve">”</w:t>
      </w:r>
      <w:r>
        <w:t xml:space="preserve"> </w:t>
      </w:r>
      <w:r>
        <w:t xml:space="preserve">The parties dispute the violation period: the Company asserts 12 days (maximum penalty $450K); CDPHE asserts 31 days (maximum penalty $1.16M).</w:t>
      </w:r>
    </w:p>
    <w:p>
      <w:pPr>
        <w:pStyle w:val="BodyText"/>
      </w:pPr>
      <w:r>
        <w:t xml:space="preserve">Key Facts.</w:t>
      </w:r>
      <w:r>
        <w:t xml:space="preserve"> </w:t>
      </w:r>
      <w:r>
        <w:t xml:space="preserve">- CDPHE’s 31-day position implies maximum statutory penalty of $1,162,500 (31 days x $37,500/day under RCRA Section 3008(g)).</w:t>
      </w:r>
      <w:r>
        <w:t xml:space="preserve"> </w:t>
      </w:r>
      <w:r>
        <w:t xml:space="preserve">- No accrual has been recorded despite management’s</w:t>
      </w:r>
      <w:r>
        <w:t xml:space="preserve"> </w:t>
      </w:r>
      <w:r>
        <w:t xml:space="preserve">“</w:t>
      </w:r>
      <w:r>
        <w:t xml:space="preserve">Probable</w:t>
      </w:r>
      <w:r>
        <w:t xml:space="preserve">”</w:t>
      </w:r>
      <w:r>
        <w:t xml:space="preserve"> </w:t>
      </w:r>
      <w:r>
        <w:t xml:space="preserve">assessment — inconsistent with ASC 450 loss contingency accounting, which requires accrual when a loss is probable and reasonably estimable.</w:t>
      </w:r>
      <w:r>
        <w:t xml:space="preserve"> </w:t>
      </w:r>
      <w:r>
        <w:t xml:space="preserve">- The LOI specifically calls out this proceeding as potentially warranting</w:t>
      </w:r>
      <w:r>
        <w:t xml:space="preserve"> </w:t>
      </w:r>
      <w:r>
        <w:t xml:space="preserve">“</w:t>
      </w:r>
      <w:r>
        <w:t xml:space="preserve">special indemnification provisions, extended survival periods, or separate escrow amounts.</w:t>
      </w:r>
      <w:r>
        <w:t xml:space="preserve">”</w:t>
      </w:r>
      <w:r>
        <w:t xml:space="preserve"> </w:t>
      </w:r>
      <w:r>
        <w:t xml:space="preserve">- The Grand Junction RCRA Part B Permit (COD-098-2761) expires December 31, 2026. A material RCRA violation could complicate the renewal process.</w:t>
      </w:r>
      <w:r>
        <w:t xml:space="preserve"> </w:t>
      </w:r>
      <w:r>
        <w:t xml:space="preserve">- The Credit Agreement identifies revocation, suspension, or non-renewal of any material permit as an Event of Default.</w:t>
      </w:r>
      <w:r>
        <w:t xml:space="preserve"> </w:t>
      </w:r>
      <w:r>
        <w:t xml:space="preserve">- The CDPHE penalty is separate from the $1.2M litigation settlement add-back in the EBITDA bridge (which relates to the Clearwater Logistics breach-of-contract matter) and represents incremental unaccrued exposure.</w:t>
      </w:r>
    </w:p>
    <w:p>
      <w:pPr>
        <w:pStyle w:val="BodyText"/>
      </w:pPr>
      <w:r>
        <w:t xml:space="preserve">Required Actions.</w:t>
      </w:r>
      <w:r>
        <w:t xml:space="preserve"> </w:t>
      </w:r>
      <w:r>
        <w:t xml:space="preserve">- Require the Company to accrue the minimum probable penalty amount on the closing balance sheet.</w:t>
      </w:r>
      <w:r>
        <w:t xml:space="preserve"> </w:t>
      </w:r>
      <w:r>
        <w:t xml:space="preserve">- Negotiate specific indemnification for the CDPHE matter with a separate escrow or holdback covering the full CDPHE maximum exposure of $1.16M.</w:t>
      </w:r>
      <w:r>
        <w:t xml:space="preserve"> </w:t>
      </w:r>
      <w:r>
        <w:t xml:space="preserve">- Obtain copies of all CDPHE correspondence, the Company’s written response to the NOV, and all supporting operational logs and waste manifesting records.</w:t>
      </w:r>
      <w:r>
        <w:t xml:space="preserve"> </w:t>
      </w:r>
      <w:r>
        <w:t xml:space="preserve">- Confirm that the RCRA Part B permit renewal (due December 31, 2026) is not at risk as a result of this enforcement action.</w:t>
      </w:r>
    </w:p>
    <w:p>
      <w:r>
        <w:pict>
          <v:rect style="width:0;height:1.5pt" o:hralign="center" o:hrstd="t" o:hr="t"/>
        </w:pict>
      </w:r>
    </w:p>
    <w:bookmarkEnd w:id="29"/>
    <w:bookmarkStart w:id="30" w:name="red-flag-5-transaction-mechanics"/>
    <w:p>
      <w:pPr>
        <w:pStyle w:val="Heading3"/>
      </w:pPr>
      <w:r>
        <w:t xml:space="preserve">RED FLAG 5 — TRANSACTION MECHANICS</w:t>
      </w:r>
    </w:p>
    <w:bookmarkEnd w:id="30"/>
    <w:bookmarkStart w:id="31" w:name="X37f4ebd91d4ccd8d891911bd2566ad7598a17c5"/>
    <w:p>
      <w:pPr>
        <w:pStyle w:val="Heading3"/>
      </w:pPr>
      <w:r>
        <w:t xml:space="preserve">Credit Facility Change-of-Control Triggers Mandatory Prepayment + Prepayment Premium (~$39.2M)</w:t>
      </w:r>
    </w:p>
    <w:p>
      <w:pPr>
        <w:pStyle w:val="FirstParagraph"/>
      </w:pPr>
      <w:r>
        <w:t xml:space="preserve">Severity: HIGH</w:t>
      </w:r>
    </w:p>
    <w:p>
      <w:pPr>
        <w:pStyle w:val="BodyText"/>
      </w:pPr>
      <w:r>
        <w:t xml:space="preserve">Finding. The Company’s Senior Secured Credit Agreement with High Plains National Bank (dated January 17, 2023) contains a Change of Control provision that is automatically triggered by the proposed 100% stock acquisition. Upon a Change of Control, the Company must prepay all outstanding obligations within five (5) business days — with no consent or waiver mechanism available. Total estimated mandatory prepayment is approximately $39.2M–$39.3M, including a $263,000 prepayment premium on the term loan (1.0% of $26.3M, applicable if closing occurs before January 17, 2026).</w:t>
      </w:r>
    </w:p>
    <w:p>
      <w:pPr>
        <w:pStyle w:val="BodyText"/>
      </w:pPr>
      <w:r>
        <w:t xml:space="preserve">Key Facts.</w:t>
      </w:r>
      <w:r>
        <w:t xml:space="preserve"> </w:t>
      </w:r>
      <w:r>
        <w:t xml:space="preserve">- Change of Control is defined to include any acquisition of 50%+ of equity by a person or group — the proposed 100% acquisition by Sycamore triggers this definition.</w:t>
      </w:r>
      <w:r>
        <w:t xml:space="preserve"> </w:t>
      </w:r>
      <w:r>
        <w:t xml:space="preserve">- No consent or waiver mechanism exists; the only path is payoff and refinancing.</w:t>
      </w:r>
      <w:r>
        <w:t xml:space="preserve"> </w:t>
      </w:r>
      <w:r>
        <w:t xml:space="preserve">- Total prepayment: Revolver ($12.4M) + Term Loan ($26.3M) + Prepayment Premium ($263K) + Accrued Interest (~$200K–$300K) = approximately $39.2M–$39.3M.</w:t>
      </w:r>
      <w:r>
        <w:t xml:space="preserve"> </w:t>
      </w:r>
      <w:r>
        <w:t xml:space="preserve">- The Credit Agreement also contains a change-of-management covenant: Derek Calloway must remain as CEO or a Lender-approved successor must be appointed within 90 days. His departure without Lender approval constitutes an Event of Default.</w:t>
      </w:r>
      <w:r>
        <w:t xml:space="preserve"> </w:t>
      </w:r>
      <w:r>
        <w:t xml:space="preserve">- The revolving commitment is permanently terminated upon Change of Control — the buyer must arrange replacement working capital financing at closing.</w:t>
      </w:r>
      <w:r>
        <w:t xml:space="preserve"> </w:t>
      </w:r>
      <w:r>
        <w:t xml:space="preserve">- The LOI’s Net Debt adjustment captures the $38.7M outstanding principal but may not fully account for the prepayment premium, accrued interest, and SOFR breakage costs.</w:t>
      </w:r>
    </w:p>
    <w:p>
      <w:pPr>
        <w:pStyle w:val="BodyText"/>
      </w:pPr>
      <w:r>
        <w:t xml:space="preserve">Required Actions.</w:t>
      </w:r>
      <w:r>
        <w:t xml:space="preserve"> </w:t>
      </w:r>
      <w:r>
        <w:t xml:space="preserve">- Confirm that the LOI’s Net Debt definition captures the full payoff amount including prepayment premium, accrued interest, and SOFR breakage costs.</w:t>
      </w:r>
      <w:r>
        <w:t xml:space="preserve"> </w:t>
      </w:r>
      <w:r>
        <w:t xml:space="preserve">- Engage replacement lender immediately to ensure committed financing is in place before signing.</w:t>
      </w:r>
      <w:r>
        <w:t xml:space="preserve"> </w:t>
      </w:r>
      <w:r>
        <w:t xml:space="preserve">- Obtain a payoff letter from High Plains National Bank confirming the exact prepayment amount and confirming that the bank will release all liens upon receipt.</w:t>
      </w:r>
      <w:r>
        <w:t xml:space="preserve"> </w:t>
      </w:r>
      <w:r>
        <w:t xml:space="preserve">- Assess the change-of-management covenant in the context of post-closing management arrangements.</w:t>
      </w:r>
    </w:p>
    <w:p>
      <w:r>
        <w:pict>
          <v:rect style="width:0;height:1.5pt" o:hralign="center" o:hrstd="t" o:hr="t"/>
        </w:pict>
      </w:r>
    </w:p>
    <w:bookmarkEnd w:id="31"/>
    <w:bookmarkStart w:id="32" w:name="red-flag-6-regulatory"/>
    <w:p>
      <w:pPr>
        <w:pStyle w:val="Heading3"/>
      </w:pPr>
      <w:r>
        <w:t xml:space="preserve">RED FLAG 6 — REGULATORY</w:t>
      </w:r>
    </w:p>
    <w:bookmarkEnd w:id="32"/>
    <w:bookmarkStart w:id="33" w:name="X266d5ee4756e0d9cde9c3935942dc6fabf1d8ba"/>
    <w:p>
      <w:pPr>
        <w:pStyle w:val="Heading3"/>
      </w:pPr>
      <w:r>
        <w:t xml:space="preserve">Wyoming Permit WY-HW-2019-033 Expired; Operating Under Timely Renewal Provisions</w:t>
      </w:r>
    </w:p>
    <w:p>
      <w:pPr>
        <w:pStyle w:val="FirstParagraph"/>
      </w:pPr>
      <w:r>
        <w:t xml:space="preserve">Severity: MEDIUM</w:t>
      </w:r>
    </w:p>
    <w:p>
      <w:pPr>
        <w:pStyle w:val="BodyText"/>
      </w:pPr>
      <w:r>
        <w:t xml:space="preserve">Finding. The Wyoming DEQ Hazardous Waste Management Permit for the Casper facility (WY-HW-2019-033) expired November 30, 2024. The Company filed a timely renewal application on October 15, 2024, and is currently operating under Wyoming’s timely renewal provisions. The renewal is expected in Q1 2025, but no written confirmation from Wyoming DEQ has been received.</w:t>
      </w:r>
    </w:p>
    <w:p>
      <w:pPr>
        <w:pStyle w:val="BodyText"/>
      </w:pPr>
      <w:r>
        <w:t xml:space="preserve">Key Facts.</w:t>
      </w:r>
      <w:r>
        <w:t xml:space="preserve"> </w:t>
      </w:r>
      <w:r>
        <w:t xml:space="preserve">- The Casper facility serves approximately 68 employees and is the primary hub for Wyoming operations, including services to High Plains Energy Partners ($8.3M, 6.5% of revenue) and Powder River Resources ($3.5M, 2.7% of revenue).</w:t>
      </w:r>
      <w:r>
        <w:t xml:space="preserve"> </w:t>
      </w:r>
      <w:r>
        <w:t xml:space="preserve">- The Credit Agreement identifies revocation, suspension, or non-renewal of any material permit as an Event of Default.</w:t>
      </w:r>
      <w:r>
        <w:t xml:space="preserve"> </w:t>
      </w:r>
      <w:r>
        <w:t xml:space="preserve">- Operating under timely renewal provisions is legally permissible but creates regulatory uncertainty during the period between LOI signing and closing.</w:t>
      </w:r>
    </w:p>
    <w:p>
      <w:pPr>
        <w:pStyle w:val="BodyText"/>
      </w:pPr>
      <w:r>
        <w:t xml:space="preserve">Required Actions.</w:t>
      </w:r>
      <w:r>
        <w:t xml:space="preserve"> </w:t>
      </w:r>
      <w:r>
        <w:t xml:space="preserve">- Obtain written confirmation from Wyoming DEQ of the renewal application status and expected timeline.</w:t>
      </w:r>
      <w:r>
        <w:t xml:space="preserve"> </w:t>
      </w:r>
      <w:r>
        <w:t xml:space="preserve">- Require a closing condition that the Wyoming permit renewal has been granted (or that timely renewal provisions remain in effect) as of the closing date.</w:t>
      </w:r>
      <w:r>
        <w:t xml:space="preserve"> </w:t>
      </w:r>
      <w:r>
        <w:t xml:space="preserve">- Include a representation and warranty that no notice of intent to deny or condition the renewal has been received.</w:t>
      </w:r>
    </w:p>
    <w:p>
      <w:r>
        <w:pict>
          <v:rect style="width:0;height:1.5pt" o:hralign="center" o:hrstd="t" o:hr="t"/>
        </w:pict>
      </w:r>
    </w:p>
    <w:bookmarkEnd w:id="33"/>
    <w:bookmarkStart w:id="34" w:name="red-flag-7-regulatory"/>
    <w:p>
      <w:pPr>
        <w:pStyle w:val="Heading3"/>
      </w:pPr>
      <w:r>
        <w:t xml:space="preserve">RED FLAG 7 — REGULATORY</w:t>
      </w:r>
    </w:p>
    <w:bookmarkEnd w:id="34"/>
    <w:bookmarkStart w:id="35" w:name="Xd9cbfe696b6453b8c23c54610794dc4e738d4c2"/>
    <w:p>
      <w:pPr>
        <w:pStyle w:val="Heading3"/>
      </w:pPr>
      <w:r>
        <w:t xml:space="preserve">Utah SLC Transfer Station Permit (UTH-0441) Not Transferred from Pinnacle to RES</w:t>
      </w:r>
    </w:p>
    <w:p>
      <w:pPr>
        <w:pStyle w:val="FirstParagraph"/>
      </w:pPr>
      <w:r>
        <w:t xml:space="preserve">Severity: MEDIUM</w:t>
      </w:r>
    </w:p>
    <w:p>
      <w:pPr>
        <w:pStyle w:val="BodyText"/>
      </w:pPr>
      <w:r>
        <w:t xml:space="preserve">Finding. The hazardous waste transfer station permit for the Salt Lake City facility (UTH-0441) remains in the name of Pinnacle Waste Solutions, LLC — not RES — more than 2.5 years after the Pinnacle acquisition closed in March 2022. The permit transfer application has been pending with the Utah Division of Waste Management since 2022 and has not been completed. The facility is being operated by RES personnel under Pinnacle’s permit. Pinnacle is currently dormant (no active business operations since Q3 2022), creating a disconnect between the operational reality and the regulatory record.</w:t>
      </w:r>
    </w:p>
    <w:p>
      <w:pPr>
        <w:pStyle w:val="BodyText"/>
      </w:pPr>
      <w:r>
        <w:t xml:space="preserve">Key Facts.</w:t>
      </w:r>
      <w:r>
        <w:t xml:space="preserve"> </w:t>
      </w:r>
      <w:r>
        <w:t xml:space="preserve">- The Salt Lake City facility serves approximately $16.2M of annual revenue (12.7% of total), including Wasatch Front Petroleum ($6.4M), Silver Creek Mining ($5.8M), Utah DEQ ($4.6M partial), and Summit County ($2.9M partial).</w:t>
      </w:r>
      <w:r>
        <w:t xml:space="preserve"> </w:t>
      </w:r>
      <w:r>
        <w:t xml:space="preserve">- Utah Administrative Code R315-3 requires Division approval for permit modifications reflecting changes in ownership or operational control.</w:t>
      </w:r>
      <w:r>
        <w:t xml:space="preserve"> </w:t>
      </w:r>
      <w:r>
        <w:t xml:space="preserve">- The proposed transaction adds a second layer of complexity: the permit is in Pinnacle’s name, Pinnacle is a subsidiary of RES, and RES is being acquired by Sycamore — potentially requiring a permit modification or new permit application.</w:t>
      </w:r>
    </w:p>
    <w:p>
      <w:pPr>
        <w:pStyle w:val="BodyText"/>
      </w:pPr>
      <w:r>
        <w:t xml:space="preserve">Required Actions.</w:t>
      </w:r>
      <w:r>
        <w:t xml:space="preserve"> </w:t>
      </w:r>
      <w:r>
        <w:t xml:space="preserve">- Require completion of the permit transfer from Pinnacle to RES as a condition to closing, or obtain written confirmation from Utah Division of Waste Management that the pending transfer application is sufficient and that operations may continue during the transfer process.</w:t>
      </w:r>
      <w:r>
        <w:t xml:space="preserve"> </w:t>
      </w:r>
      <w:r>
        <w:t xml:space="preserve">- Assess whether the proposed transaction requires a separate permit modification or new permit application in Utah.</w:t>
      </w:r>
      <w:r>
        <w:t xml:space="preserve"> </w:t>
      </w:r>
      <w:r>
        <w:t xml:space="preserve">- Confirm that Pinnacle’s dormant status does not affect the validity of the permit.</w:t>
      </w:r>
    </w:p>
    <w:p>
      <w:r>
        <w:pict>
          <v:rect style="width:0;height:1.5pt" o:hralign="center" o:hrstd="t" o:hr="t"/>
        </w:pict>
      </w:r>
    </w:p>
    <w:bookmarkEnd w:id="35"/>
    <w:bookmarkStart w:id="36" w:name="red-flag-8-transaction-mechanics"/>
    <w:p>
      <w:pPr>
        <w:pStyle w:val="Heading3"/>
      </w:pPr>
      <w:r>
        <w:t xml:space="preserve">RED FLAG 8 — TRANSACTION MECHANICS</w:t>
      </w:r>
    </w:p>
    <w:bookmarkEnd w:id="36"/>
    <w:bookmarkStart w:id="37" w:name="Xd4f1678af2f04f4e7348f16d269e83dad13d267"/>
    <w:p>
      <w:pPr>
        <w:pStyle w:val="Heading3"/>
      </w:pPr>
      <w:r>
        <w:t xml:space="preserve">SLC Lease Assignment Unresolved Since 2022; Dual Change-of-Control Consent Required</w:t>
      </w:r>
    </w:p>
    <w:p>
      <w:pPr>
        <w:pStyle w:val="FirstParagraph"/>
      </w:pPr>
      <w:r>
        <w:t xml:space="preserve">Severity: MEDIUM</w:t>
      </w:r>
    </w:p>
    <w:p>
      <w:pPr>
        <w:pStyle w:val="BodyText"/>
      </w:pPr>
      <w:r>
        <w:t xml:space="preserve">Finding. The Salt Lake City transfer station lease was originally executed by Pinnacle Waste Solutions, LLC. Following the March 2022 Pinnacle acquisition, RES submitted an assignment request to landlord Wasatch Industrial Properties, LLC on April 12, 2022. No written consent has been received as of December 2024 — nearly three years later. The proposed Sycamore acquisition constitutes a second change-of-control event under the lease’s explicit change-of-control clause, requiring a separate landlord consent. The facility generates approximately $16.2M of annual revenue.</w:t>
      </w:r>
    </w:p>
    <w:p>
      <w:pPr>
        <w:pStyle w:val="BodyText"/>
      </w:pPr>
      <w:r>
        <w:t xml:space="preserve">Key Facts.</w:t>
      </w:r>
      <w:r>
        <w:t xml:space="preserve"> </w:t>
      </w:r>
      <w:r>
        <w:t xml:space="preserve">- The SLC lease explicitly defines any</w:t>
      </w:r>
      <w:r>
        <w:t xml:space="preserve"> </w:t>
      </w:r>
      <w:r>
        <w:t xml:space="preserve">“</w:t>
      </w:r>
      <w:r>
        <w:t xml:space="preserve">change of control of Tenant (whether by merger, consolidation, sale of equity interests, or otherwise)</w:t>
      </w:r>
      <w:r>
        <w:t xml:space="preserve">”</w:t>
      </w:r>
      <w:r>
        <w:t xml:space="preserve"> </w:t>
      </w:r>
      <w:r>
        <w:t xml:space="preserve">as an assignment requiring landlord consent.</w:t>
      </w:r>
      <w:r>
        <w:t xml:space="preserve"> </w:t>
      </w:r>
      <w:r>
        <w:t xml:space="preserve">- The landlord’s November 2024 inquiry asking for confirmation of the current tenant of record suggests the landlord is aware of the situation and may be positioning to negotiate consent terms or assert a default.</w:t>
      </w:r>
      <w:r>
        <w:t xml:space="preserve"> </w:t>
      </w:r>
      <w:r>
        <w:t xml:space="preserve">- If the landlord asserts a default based on the unconsented assignment, the Company could face lease termination — disrupting $16.2M of revenue and the operations of the SLC transfer station.</w:t>
      </w:r>
      <w:r>
        <w:t xml:space="preserve"> </w:t>
      </w:r>
      <w:r>
        <w:t xml:space="preserve">- Multiple customer contracts served from the SLC facility may also have change-of-control notification requirements.</w:t>
      </w:r>
    </w:p>
    <w:p>
      <w:pPr>
        <w:pStyle w:val="BodyText"/>
      </w:pPr>
      <w:r>
        <w:t xml:space="preserve">Required Actions.</w:t>
      </w:r>
      <w:r>
        <w:t xml:space="preserve"> </w:t>
      </w:r>
      <w:r>
        <w:t xml:space="preserve">- Obtain written landlord consent to both the existing Pinnacle-to-RES assignment and the proposed Sycamore acquisition as a condition to closing.</w:t>
      </w:r>
      <w:r>
        <w:t xml:space="preserve"> </w:t>
      </w:r>
      <w:r>
        <w:t xml:space="preserve">- Engage directly with Wasatch Industrial Properties, LLC to understand any concerns and negotiate consent terms.</w:t>
      </w:r>
      <w:r>
        <w:t xml:space="preserve"> </w:t>
      </w:r>
      <w:r>
        <w:t xml:space="preserve">- Assess whether the landlord’s failure to respond constitutes deemed consent under Utah law or the lease terms.</w:t>
      </w:r>
    </w:p>
    <w:p>
      <w:r>
        <w:pict>
          <v:rect style="width:0;height:1.5pt" o:hralign="center" o:hrstd="t" o:hr="t"/>
        </w:pict>
      </w:r>
    </w:p>
    <w:bookmarkEnd w:id="37"/>
    <w:bookmarkStart w:id="38" w:name="red-flag-9-financial-qoe"/>
    <w:p>
      <w:pPr>
        <w:pStyle w:val="Heading3"/>
      </w:pPr>
      <w:r>
        <w:t xml:space="preserve">RED FLAG 9 — FINANCIAL / QoE</w:t>
      </w:r>
    </w:p>
    <w:bookmarkEnd w:id="38"/>
    <w:bookmarkStart w:id="39" w:name="X083b599f8c5f04749f416c00d8e688c028ef12c"/>
    <w:p>
      <w:pPr>
        <w:pStyle w:val="Heading3"/>
      </w:pPr>
      <w:r>
        <w:t xml:space="preserve">Fleet Deferred Replacement Backlog: 38 of 85 Assets (44.7%) Past Useful Life; ~$9.8M Catch-Up Capex</w:t>
      </w:r>
    </w:p>
    <w:p>
      <w:pPr>
        <w:pStyle w:val="FirstParagraph"/>
      </w:pPr>
      <w:r>
        <w:t xml:space="preserve">Severity: MEDIUM</w:t>
      </w:r>
    </w:p>
    <w:p>
      <w:pPr>
        <w:pStyle w:val="BodyText"/>
      </w:pPr>
      <w:r>
        <w:t xml:space="preserve">Finding. The Fleet and Equipment Schedule reveals that 38 of 85 fleet and equipment assets (44.7%) are at or past their stated useful life, with an average fleet age of 8.2 years against a weighted average useful life of 7.0 years. Many assets are marked</w:t>
      </w:r>
      <w:r>
        <w:t xml:space="preserve"> </w:t>
      </w:r>
      <w:r>
        <w:t xml:space="preserve">“</w:t>
      </w:r>
      <w:r>
        <w:t xml:space="preserve">Replacement Deferred.</w:t>
      </w:r>
      <w:r>
        <w:t xml:space="preserve">”</w:t>
      </w:r>
      <w:r>
        <w:t xml:space="preserve"> </w:t>
      </w:r>
      <w:r>
        <w:t xml:space="preserve">The estimated replacement cost for past-useful-life assets is $9.8M, implying approximately $3.3M/year in catch-up capex above the current run rate if spread over three years.</w:t>
      </w:r>
    </w:p>
    <w:p>
      <w:pPr>
        <w:pStyle w:val="BodyText"/>
      </w:pPr>
      <w:r>
        <w:t xml:space="preserve">Key Facts.</w:t>
      </w:r>
      <w:r>
        <w:t xml:space="preserve"> </w:t>
      </w:r>
      <w:r>
        <w:t xml:space="preserve">- Management’s normalized maintenance capex estimate of $4.0M–$4.5M/year appears understated. Actual maintenance capex in FY2024 was $5.3M — already above the stated normalized range.</w:t>
      </w:r>
      <w:r>
        <w:t xml:space="preserve"> </w:t>
      </w:r>
      <w:r>
        <w:t xml:space="preserve">- Five asset categories are marked</w:t>
      </w:r>
      <w:r>
        <w:t xml:space="preserve"> </w:t>
      </w:r>
      <w:r>
        <w:t xml:space="preserve">“</w:t>
      </w:r>
      <w:r>
        <w:t xml:space="preserve">At End of Life — No Replacement Scheduled,</w:t>
      </w:r>
      <w:r>
        <w:t xml:space="preserve">”</w:t>
      </w:r>
      <w:r>
        <w:t xml:space="preserve"> </w:t>
      </w:r>
      <w:r>
        <w:t xml:space="preserve">suggesting potential reduction in operational capacity.</w:t>
      </w:r>
      <w:r>
        <w:t xml:space="preserve"> </w:t>
      </w:r>
      <w:r>
        <w:t xml:space="preserve">- The CIM’s normalized maintenance capex figure is used in free cash flow calculations supporting the $182M–$205M valuation. If true normalized capex is $5.5M–$6.5M (current run rate plus catch-up), the implied free cash flow and valuation are overstated.</w:t>
      </w:r>
      <w:r>
        <w:t xml:space="preserve"> </w:t>
      </w:r>
      <w:r>
        <w:t xml:space="preserve">- The deferred replacement pattern coincides with the Pinnacle integration period (FY2022–FY2023), suggesting capital was diverted from fleet maintenance to integration activities.</w:t>
      </w:r>
    </w:p>
    <w:p>
      <w:pPr>
        <w:pStyle w:val="BodyText"/>
      </w:pPr>
      <w:r>
        <w:t xml:space="preserve">Required Actions.</w:t>
      </w:r>
      <w:r>
        <w:t xml:space="preserve"> </w:t>
      </w:r>
      <w:r>
        <w:t xml:space="preserve">- Commission an independent fleet condition assessment prior to signing.</w:t>
      </w:r>
      <w:r>
        <w:t xml:space="preserve"> </w:t>
      </w:r>
      <w:r>
        <w:t xml:space="preserve">- Adjust the normalized maintenance capex assumption in the financial model to reflect the deferred replacement backlog.</w:t>
      </w:r>
      <w:r>
        <w:t xml:space="preserve"> </w:t>
      </w:r>
      <w:r>
        <w:t xml:space="preserve">- Negotiate a purchase price adjustment or working capital true-up mechanism that accounts for the fleet replacement backlog.</w:t>
      </w:r>
      <w:r>
        <w:t xml:space="preserve"> </w:t>
      </w:r>
      <w:r>
        <w:t xml:space="preserve">- Require disclosure of any fleet assets currently out of service or subject to regulatory inspection holds.</w:t>
      </w:r>
    </w:p>
    <w:p>
      <w:r>
        <w:pict>
          <v:rect style="width:0;height:1.5pt" o:hralign="center" o:hrstd="t" o:hr="t"/>
        </w:pict>
      </w:r>
    </w:p>
    <w:bookmarkEnd w:id="39"/>
    <w:bookmarkStart w:id="40" w:name="red-flag-10-employment"/>
    <w:p>
      <w:pPr>
        <w:pStyle w:val="Heading3"/>
      </w:pPr>
      <w:r>
        <w:t xml:space="preserve">RED FLAG 10 — EMPLOYMENT</w:t>
      </w:r>
    </w:p>
    <w:bookmarkEnd w:id="40"/>
    <w:bookmarkStart w:id="41" w:name="Xf22b00d240fded6b22b8a288875c9979f9eee4d"/>
    <w:p>
      <w:pPr>
        <w:pStyle w:val="Heading3"/>
      </w:pPr>
      <w:r>
        <w:t xml:space="preserve">Single-Trigger CoC Severance for Calloway Brothers ($2.625M) — Certain Cash Outflow at Closing</w:t>
      </w:r>
    </w:p>
    <w:p>
      <w:pPr>
        <w:pStyle w:val="FirstParagraph"/>
      </w:pPr>
      <w:r>
        <w:t xml:space="preserve">Severity: MEDIUM</w:t>
      </w:r>
    </w:p>
    <w:p>
      <w:pPr>
        <w:pStyle w:val="BodyText"/>
      </w:pPr>
      <w:r>
        <w:t xml:space="preserve">Finding. The employment agreements for Derek Calloway (CEO) and Jason Calloway (COO) contain single-trigger change-of-control severance provisions totaling $2,625,000 ($1,312,500 each), payable within 30 days of closing regardless of whether their employment continues. The LOI and data room materials do not address whether these payments constitute</w:t>
      </w:r>
      <w:r>
        <w:t xml:space="preserve"> </w:t>
      </w:r>
      <w:r>
        <w:t xml:space="preserve">“</w:t>
      </w:r>
      <w:r>
        <w:t xml:space="preserve">Transaction Expenses</w:t>
      </w:r>
      <w:r>
        <w:t xml:space="preserve">”</w:t>
      </w:r>
      <w:r>
        <w:t xml:space="preserve"> </w:t>
      </w:r>
      <w:r>
        <w:t xml:space="preserve">deducted from the purchase price or are borne by the buyer post-closing.</w:t>
      </w:r>
    </w:p>
    <w:p>
      <w:pPr>
        <w:pStyle w:val="BodyText"/>
      </w:pPr>
      <w:r>
        <w:t xml:space="preserve">Key Facts.</w:t>
      </w:r>
      <w:r>
        <w:t xml:space="preserve"> </w:t>
      </w:r>
      <w:r>
        <w:t xml:space="preserve">- Total CoC severance across all five executives = $3,775,000; single-trigger (Calloway brothers) = $2,625,000; double-trigger (Engel, Dillon, Oakes) = $1,150,000.</w:t>
      </w:r>
      <w:r>
        <w:t xml:space="preserve"> </w:t>
      </w:r>
      <w:r>
        <w:t xml:space="preserve">- The single-trigger structure means the $2,625,000 is a certain cash outflow at closing — not contingent on any post-closing employment event.</w:t>
      </w:r>
      <w:r>
        <w:t xml:space="preserve"> </w:t>
      </w:r>
      <w:r>
        <w:t xml:space="preserve">- The LOI’s Transaction Expenses definition does not explicitly address CoC severance payments. If these are not deducted from the purchase price, the buyer effectively pays the sellers’ severance on top of the enterprise value.</w:t>
      </w:r>
      <w:r>
        <w:t xml:space="preserve"> </w:t>
      </w:r>
      <w:r>
        <w:t xml:space="preserve">- The QoE data package notes that</w:t>
      </w:r>
      <w:r>
        <w:t xml:space="preserve"> </w:t>
      </w:r>
      <w:r>
        <w:t xml:space="preserve">“</w:t>
      </w:r>
      <w:r>
        <w:t xml:space="preserve">classification of these payments (seller transaction expense vs. buyer-borne cost) has not been addressed in the LOI or this data package.</w:t>
      </w:r>
      <w:r>
        <w:t xml:space="preserve">”</w:t>
      </w:r>
      <w:r>
        <w:t xml:space="preserve"> </w:t>
      </w:r>
      <w:r>
        <w:t xml:space="preserve">- A Section 280G golden parachute analysis is required to assess potential excise tax exposure.</w:t>
      </w:r>
    </w:p>
    <w:p>
      <w:pPr>
        <w:pStyle w:val="BodyText"/>
      </w:pPr>
      <w:r>
        <w:t xml:space="preserve">Required Actions.</w:t>
      </w:r>
      <w:r>
        <w:t xml:space="preserve"> </w:t>
      </w:r>
      <w:r>
        <w:t xml:space="preserve">- Negotiate that the $2,625,000 single-trigger severance be treated as a Transaction Expense deducted from the purchase price at closing.</w:t>
      </w:r>
      <w:r>
        <w:t xml:space="preserve"> </w:t>
      </w:r>
      <w:r>
        <w:t xml:space="preserve">- Confirm post-closing employment terms for both Calloway brothers, including whether their base salaries will be reduced to market-rate levels.</w:t>
      </w:r>
      <w:r>
        <w:t xml:space="preserve"> </w:t>
      </w:r>
      <w:r>
        <w:t xml:space="preserve">- Conduct a Section 280G golden parachute analysis.</w:t>
      </w:r>
      <w:r>
        <w:t xml:space="preserve"> </w:t>
      </w:r>
      <w:r>
        <w:t xml:space="preserve">- Assess whether the double-trigger severance provisions create retention risk for the CFO, VP Operations, and VP Business Development.</w:t>
      </w:r>
    </w:p>
    <w:p>
      <w:r>
        <w:pict>
          <v:rect style="width:0;height:1.5pt" o:hralign="center" o:hrstd="t" o:hr="t"/>
        </w:pict>
      </w:r>
    </w:p>
    <w:bookmarkEnd w:id="41"/>
    <w:bookmarkStart w:id="42" w:name="red-flag-11-employment-labor"/>
    <w:p>
      <w:pPr>
        <w:pStyle w:val="Heading3"/>
      </w:pPr>
      <w:r>
        <w:t xml:space="preserve">RED FLAG 11 — EMPLOYMENT / LABOR</w:t>
      </w:r>
    </w:p>
    <w:bookmarkEnd w:id="42"/>
    <w:bookmarkStart w:id="43" w:name="X5434d59393e085291c1e082f40e166768153fc3"/>
    <w:p>
      <w:pPr>
        <w:pStyle w:val="Heading3"/>
      </w:pPr>
      <w:r>
        <w:t xml:space="preserve">NLRB Unionization Petition Filed (62 Field Technicians, Teamsters Local 455)</w:t>
      </w:r>
    </w:p>
    <w:p>
      <w:pPr>
        <w:pStyle w:val="FirstParagraph"/>
      </w:pPr>
      <w:r>
        <w:t xml:space="preserve">Severity: MEDIUM</w:t>
      </w:r>
    </w:p>
    <w:p>
      <w:pPr>
        <w:pStyle w:val="BodyText"/>
      </w:pPr>
      <w:r>
        <w:t xml:space="preserve">Finding. A footnote in the Employee Benefits Summary discloses that on November 4, 2024, the International Brotherhood of Teamsters Local 455 filed an NLRB election petition covering 62 field technicians at the Grand Junction and Casper facilities. This was not disclosed in the CIM, the Litigation and Regulatory Summary, or any other primary data room document — it appears only in a footnote to the benefits summary.</w:t>
      </w:r>
    </w:p>
    <w:p>
      <w:pPr>
        <w:pStyle w:val="BodyText"/>
      </w:pPr>
      <w:r>
        <w:t xml:space="preserve">Key Facts.</w:t>
      </w:r>
      <w:r>
        <w:t xml:space="preserve"> </w:t>
      </w:r>
      <w:r>
        <w:t xml:space="preserve">- Grand Junction and Casper are the two largest operational facilities, collectively employing approximately 210 field-based personnel. The 62 petitioned employees represent approximately 30% of the combined field workforce at these locations.</w:t>
      </w:r>
      <w:r>
        <w:t xml:space="preserve"> </w:t>
      </w:r>
      <w:r>
        <w:t xml:space="preserve">- The CIM states the workforce is</w:t>
      </w:r>
      <w:r>
        <w:t xml:space="preserve"> </w:t>
      </w:r>
      <w:r>
        <w:t xml:space="preserve">“</w:t>
      </w:r>
      <w:r>
        <w:t xml:space="preserve">entirely non-unionized</w:t>
      </w:r>
      <w:r>
        <w:t xml:space="preserve">”</w:t>
      </w:r>
      <w:r>
        <w:t xml:space="preserve"> </w:t>
      </w:r>
      <w:r>
        <w:t xml:space="preserve">and that management</w:t>
      </w:r>
      <w:r>
        <w:t xml:space="preserve"> </w:t>
      </w:r>
      <w:r>
        <w:t xml:space="preserve">“</w:t>
      </w:r>
      <w:r>
        <w:t xml:space="preserve">maintains positive and productive relations with employees</w:t>
      </w:r>
      <w:r>
        <w:t xml:space="preserve">”</w:t>
      </w:r>
      <w:r>
        <w:t xml:space="preserve"> </w:t>
      </w:r>
      <w:r>
        <w:t xml:space="preserve">— the NLRB petition directly contradicts this characterization.</w:t>
      </w:r>
      <w:r>
        <w:t xml:space="preserve"> </w:t>
      </w:r>
      <w:r>
        <w:t xml:space="preserve">- If the election results in union certification, the Company would be required to bargain in good faith with the Teamsters, potentially resulting in higher labor costs, work rule restrictions, and reduced operational flexibility.</w:t>
      </w:r>
      <w:r>
        <w:t xml:space="preserve"> </w:t>
      </w:r>
      <w:r>
        <w:t xml:space="preserve">- The Credit Agreement identifies a material labor dispute or work stoppage lasting more than 10 business days as an Event of Default.</w:t>
      </w:r>
      <w:r>
        <w:t xml:space="preserve"> </w:t>
      </w:r>
      <w:r>
        <w:t xml:space="preserve">- The timing of the petition (November 4, 2024 — after the LOI was signed October 28, 2024) raises questions about whether the Company had advance knowledge of organizing activity that was not disclosed.</w:t>
      </w:r>
    </w:p>
    <w:p>
      <w:pPr>
        <w:pStyle w:val="BodyText"/>
      </w:pPr>
      <w:r>
        <w:t xml:space="preserve">Required Actions.</w:t>
      </w:r>
      <w:r>
        <w:t xml:space="preserve"> </w:t>
      </w:r>
      <w:r>
        <w:t xml:space="preserve">- Demand full disclosure of all NLRB-related communications, organizing activity, and the Company’s response strategy.</w:t>
      </w:r>
      <w:r>
        <w:t xml:space="preserve"> </w:t>
      </w:r>
      <w:r>
        <w:t xml:space="preserve">- Assess the potential financial impact of unionization on labor costs and operational flexibility.</w:t>
      </w:r>
      <w:r>
        <w:t xml:space="preserve"> </w:t>
      </w:r>
      <w:r>
        <w:t xml:space="preserve">- Require a representation and warranty that no other organizing activity is pending or threatened.</w:t>
      </w:r>
      <w:r>
        <w:t xml:space="preserve"> </w:t>
      </w:r>
      <w:r>
        <w:t xml:space="preserve">- Evaluate whether the NLRB petition constitutes a Material Adverse Change under the LOI.</w:t>
      </w:r>
    </w:p>
    <w:p>
      <w:r>
        <w:pict>
          <v:rect style="width:0;height:1.5pt" o:hralign="center" o:hrstd="t" o:hr="t"/>
        </w:pict>
      </w:r>
    </w:p>
    <w:bookmarkEnd w:id="43"/>
    <w:bookmarkStart w:id="44" w:name="red-flag-12-environmental-liability"/>
    <w:p>
      <w:pPr>
        <w:pStyle w:val="Heading3"/>
      </w:pPr>
      <w:r>
        <w:t xml:space="preserve">RED FLAG 12 — ENVIRONMENTAL LIABILITY</w:t>
      </w:r>
    </w:p>
    <w:bookmarkEnd w:id="44"/>
    <w:bookmarkStart w:id="45" w:name="X80a913256f33407a44536b444a1a9ff92e41494"/>
    <w:p>
      <w:pPr>
        <w:pStyle w:val="Heading3"/>
      </w:pPr>
      <w:r>
        <w:t xml:space="preserve">Asbestos Abatement Long-Tail Liability — Pre-2015 Work Not Covered by Current PLL Policy</w:t>
      </w:r>
    </w:p>
    <w:p>
      <w:pPr>
        <w:pStyle w:val="FirstParagraph"/>
      </w:pPr>
      <w:r>
        <w:t xml:space="preserve">Severity: MEDIUM</w:t>
      </w:r>
    </w:p>
    <w:p>
      <w:pPr>
        <w:pStyle w:val="BodyText"/>
      </w:pPr>
      <w:r>
        <w:t xml:space="preserve">Finding. RES operated an asbestos abatement service line from 2012 through September 30, 2023, performing work at approximately 145 commercial and industrial sites across Colorado, Utah, and Wyoming. The current Pollution Legal Liability policy has a retroactive date of January 1, 2015 — meaning work performed from 2012 through 2014 (approximately 3 years of operations) is not covered by the current policy. Two workers’ compensation claims from former asbestos abatement employees remain open (filed 2021 and 2022), alleging occupational respiratory exposure.</w:t>
      </w:r>
    </w:p>
    <w:p>
      <w:pPr>
        <w:pStyle w:val="BodyText"/>
      </w:pPr>
      <w:r>
        <w:t xml:space="preserve">Key Facts.</w:t>
      </w:r>
      <w:r>
        <w:t xml:space="preserve"> </w:t>
      </w:r>
      <w:r>
        <w:t xml:space="preserve">- The CGL policy contains a blanket asbestos exclusion — no completed operations coverage for asbestos-related work under the CGL.</w:t>
      </w:r>
      <w:r>
        <w:t xml:space="preserve"> </w:t>
      </w:r>
      <w:r>
        <w:t xml:space="preserve">- The combination of the CGL asbestos exclusion and the PLL retroactive date creates a coverage gap for any claims arising from asbestos work performed between 2012 and 2014.</w:t>
      </w:r>
      <w:r>
        <w:t xml:space="preserve"> </w:t>
      </w:r>
      <w:r>
        <w:t xml:space="preserve">- Asbestos-related personal injury claims are notorious for long latency periods (mesothelioma can take 20–50 years to manifest). The</w:t>
      </w:r>
      <w:r>
        <w:t xml:space="preserve"> </w:t>
      </w:r>
      <w:r>
        <w:t xml:space="preserve">“</w:t>
      </w:r>
      <w:r>
        <w:t xml:space="preserve">Remote</w:t>
      </w:r>
      <w:r>
        <w:t xml:space="preserve">”</w:t>
      </w:r>
      <w:r>
        <w:t xml:space="preserve"> </w:t>
      </w:r>
      <w:r>
        <w:t xml:space="preserve">probability assessment by management may understate the long-term risk.</w:t>
      </w:r>
      <w:r>
        <w:t xml:space="preserve"> </w:t>
      </w:r>
      <w:r>
        <w:t xml:space="preserve">- The $31.2M in cumulative asbestos abatement revenue over 11 years (FY2012–FY2023) represents a meaningful volume of work at 145 sites.</w:t>
      </w:r>
      <w:r>
        <w:t xml:space="preserve"> </w:t>
      </w:r>
      <w:r>
        <w:t xml:space="preserve">- No reserve has been established for potential future asbestos claims.</w:t>
      </w:r>
    </w:p>
    <w:p>
      <w:pPr>
        <w:pStyle w:val="BodyText"/>
      </w:pPr>
      <w:r>
        <w:t xml:space="preserve">Required Actions.</w:t>
      </w:r>
      <w:r>
        <w:t xml:space="preserve"> </w:t>
      </w:r>
      <w:r>
        <w:t xml:space="preserve">- Investigate the availability and cost of a retroactive pollution liability policy or asbestos-specific tail coverage for the 2012–2014 period.</w:t>
      </w:r>
      <w:r>
        <w:t xml:space="preserve"> </w:t>
      </w:r>
      <w:r>
        <w:t xml:space="preserve">- Negotiate specific indemnification from the sellers for asbestos-related claims arising from pre-2015 work, with an extended survival period.</w:t>
      </w:r>
      <w:r>
        <w:t xml:space="preserve"> </w:t>
      </w:r>
      <w:r>
        <w:t xml:space="preserve">- Obtain a complete list of all 145 asbestos abatement project sites, including the nature of work performed and employee exposure records.</w:t>
      </w:r>
      <w:r>
        <w:t xml:space="preserve"> </w:t>
      </w:r>
      <w:r>
        <w:t xml:space="preserve">- Assess the status of the two open workers’ compensation claims.</w:t>
      </w:r>
    </w:p>
    <w:p>
      <w:r>
        <w:pict>
          <v:rect style="width:0;height:1.5pt" o:hralign="center" o:hrstd="t" o:hr="t"/>
        </w:pict>
      </w:r>
    </w:p>
    <w:bookmarkEnd w:id="45"/>
    <w:bookmarkStart w:id="46" w:name="red-flag-13-employment"/>
    <w:p>
      <w:pPr>
        <w:pStyle w:val="Heading3"/>
      </w:pPr>
      <w:r>
        <w:t xml:space="preserve">RED FLAG 13 — EMPLOYMENT</w:t>
      </w:r>
    </w:p>
    <w:bookmarkEnd w:id="46"/>
    <w:bookmarkStart w:id="47" w:name="Xd47d0dcc2d1925e6fc047eeab0f0862ea3cc079"/>
    <w:p>
      <w:pPr>
        <w:pStyle w:val="Heading3"/>
      </w:pPr>
      <w:r>
        <w:t xml:space="preserve">Personal Injury Litigation (Ramirez v. RES) — Insurance Coverage Reservation of Rights</w:t>
      </w:r>
    </w:p>
    <w:p>
      <w:pPr>
        <w:pStyle w:val="FirstParagraph"/>
      </w:pPr>
      <w:r>
        <w:t xml:space="preserve">Severity: LOW</w:t>
      </w:r>
    </w:p>
    <w:p>
      <w:pPr>
        <w:pStyle w:val="BodyText"/>
      </w:pPr>
      <w:r>
        <w:t xml:space="preserve">Finding. A former field technician filed a personal injury action on August 12, 2024 (Case No. 2:24-cv-00187, D. Wyo.) alleging VOC and heavy metal exposure at a Sheridan, Wyoming remediation site. Damages sought are $4.8M (including punitive damages). The insurer has issued a reservation of rights letter dated September 19, 2024, and coverage determination remains pending.</w:t>
      </w:r>
    </w:p>
    <w:p>
      <w:pPr>
        <w:pStyle w:val="BodyText"/>
      </w:pPr>
      <w:r>
        <w:t xml:space="preserve">Key Facts.</w:t>
      </w:r>
      <w:r>
        <w:t xml:space="preserve"> </w:t>
      </w:r>
      <w:r>
        <w:t xml:space="preserve">- Management estimates adverse outcome probability as Reasonably Possible; estimated loss range $500K–$1.5M; no accrual recorded.</w:t>
      </w:r>
      <w:r>
        <w:t xml:space="preserve"> </w:t>
      </w:r>
      <w:r>
        <w:t xml:space="preserve">- The reservation of rights letter means the insurer has not confirmed coverage — if coverage is denied, the Company would bear the full cost of defense and any judgment.</w:t>
      </w:r>
      <w:r>
        <w:t xml:space="preserve"> </w:t>
      </w:r>
      <w:r>
        <w:t xml:space="preserve">- The CGL policy limit is $5M per occurrence; the PLL policy limit is $10M per occurrence. If covered, the Company’s net exposure is limited to the applicable deductible or self-insured retention.</w:t>
      </w:r>
      <w:r>
        <w:t xml:space="preserve"> </w:t>
      </w:r>
      <w:r>
        <w:t xml:space="preserve">- Punitive damages are typically not insurable under Colorado law.</w:t>
      </w:r>
      <w:r>
        <w:t xml:space="preserve"> </w:t>
      </w:r>
      <w:r>
        <w:t xml:space="preserve">- The trial date is February 2026 — after the expected closing date of April 2025.</w:t>
      </w:r>
    </w:p>
    <w:p>
      <w:pPr>
        <w:pStyle w:val="BodyText"/>
      </w:pPr>
      <w:r>
        <w:t xml:space="preserve">Required Actions.</w:t>
      </w:r>
      <w:r>
        <w:t xml:space="preserve"> </w:t>
      </w:r>
      <w:r>
        <w:t xml:space="preserve">- Obtain copies of the reservation of rights letter and all insurer correspondence.</w:t>
      </w:r>
      <w:r>
        <w:t xml:space="preserve"> </w:t>
      </w:r>
      <w:r>
        <w:t xml:space="preserve">- Require a representation and warranty that no additional personal injury claims have been threatened or filed.</w:t>
      </w:r>
      <w:r>
        <w:t xml:space="preserve"> </w:t>
      </w:r>
      <w:r>
        <w:t xml:space="preserve">- Negotiate indemnification for any amounts not covered by insurance.</w:t>
      </w:r>
      <w:r>
        <w:t xml:space="preserve"> </w:t>
      </w:r>
      <w:r>
        <w:t xml:space="preserve">- Monitor the coverage determination and require prompt notification of any adverse coverage decision.</w:t>
      </w:r>
    </w:p>
    <w:p>
      <w:r>
        <w:pict>
          <v:rect style="width:0;height:1.5pt" o:hralign="center" o:hrstd="t" o:hr="t"/>
        </w:pict>
      </w:r>
    </w:p>
    <w:bookmarkEnd w:id="47"/>
    <w:bookmarkEnd w:id="48"/>
    <w:bookmarkStart w:id="49" w:name="X1dbf00df1c30a755ad7603632730cfc9b93b461"/>
    <w:p>
      <w:pPr>
        <w:pStyle w:val="Heading2"/>
      </w:pPr>
      <w:r>
        <w:t xml:space="preserve">Aggregate Unaccrued Contingent Exposure Summary</w:t>
      </w:r>
    </w:p>
    <w:tbl>
      <w:tblPr>
        <w:tblStyle w:val="Table"/>
        <w:tblW w:type="pct" w:w="5000"/>
        <w:jc w:val="left"/>
        <w:tblLayout w:type="fixed"/>
        <w:tblLook w:firstRow="1" w:lastRow="0" w:firstColumn="0" w:lastColumn="0" w:noHBand="0" w:noVBand="0" w:val="0020"/>
      </w:tblPr>
      <w:tblGrid>
        <w:gridCol w:w="960"/>
        <w:gridCol w:w="1560"/>
        <w:gridCol w:w="1680"/>
        <w:gridCol w:w="1080"/>
        <w:gridCol w:w="2640"/>
      </w:tblGrid>
      <w:tr>
        <w:trPr>
          <w:tblHeader w:val="on"/>
        </w:trPr>
        <w:tc>
          <w:tcPr/>
          <w:p>
            <w:pPr>
              <w:pStyle w:val="Compact"/>
              <w:jc w:val="left"/>
            </w:pPr>
            <w:r>
              <w:t xml:space="preserve">Matter</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Accrued</w:t>
            </w:r>
          </w:p>
        </w:tc>
        <w:tc>
          <w:tcPr/>
          <w:p>
            <w:pPr>
              <w:pStyle w:val="Compact"/>
              <w:jc w:val="left"/>
            </w:pPr>
            <w:r>
              <w:t xml:space="preserve">Net Unaccrued Exposure</w:t>
            </w:r>
          </w:p>
        </w:tc>
      </w:tr>
      <w:tr>
        <w:tc>
          <w:tcPr/>
          <w:p>
            <w:pPr>
              <w:pStyle w:val="Compact"/>
              <w:jc w:val="left"/>
            </w:pPr>
            <w:r>
              <w:t xml:space="preserve">CDPHE Enforcement (CDPHE-HW-2024-0093)</w:t>
            </w:r>
          </w:p>
        </w:tc>
        <w:tc>
          <w:tcPr/>
          <w:p>
            <w:pPr>
              <w:pStyle w:val="Compact"/>
              <w:jc w:val="left"/>
            </w:pPr>
            <w:r>
              <w:t xml:space="preserve">$200,000</w:t>
            </w:r>
          </w:p>
        </w:tc>
        <w:tc>
          <w:tcPr/>
          <w:p>
            <w:pPr>
              <w:pStyle w:val="Compact"/>
              <w:jc w:val="left"/>
            </w:pPr>
            <w:r>
              <w:t xml:space="preserve">$1,162,500</w:t>
            </w:r>
          </w:p>
        </w:tc>
        <w:tc>
          <w:tcPr/>
          <w:p>
            <w:pPr>
              <w:pStyle w:val="Compact"/>
              <w:jc w:val="left"/>
            </w:pPr>
            <w:r>
              <w:t xml:space="preserve">$0</w:t>
            </w:r>
          </w:p>
        </w:tc>
        <w:tc>
          <w:tcPr/>
          <w:p>
            <w:pPr>
              <w:pStyle w:val="Compact"/>
              <w:jc w:val="left"/>
            </w:pPr>
            <w:r>
              <w:t xml:space="preserve">$200K–$1.16M</w:t>
            </w:r>
          </w:p>
        </w:tc>
      </w:tr>
      <w:tr>
        <w:tc>
          <w:tcPr/>
          <w:p>
            <w:pPr>
              <w:pStyle w:val="Compact"/>
              <w:jc w:val="left"/>
            </w:pPr>
            <w:r>
              <w:t xml:space="preserve">Ramirez Personal Injury</w:t>
            </w:r>
          </w:p>
        </w:tc>
        <w:tc>
          <w:tcPr/>
          <w:p>
            <w:pPr>
              <w:pStyle w:val="Compact"/>
              <w:jc w:val="left"/>
            </w:pPr>
            <w:r>
              <w:t xml:space="preserve">$500,000</w:t>
            </w:r>
          </w:p>
        </w:tc>
        <w:tc>
          <w:tcPr/>
          <w:p>
            <w:pPr>
              <w:pStyle w:val="Compact"/>
              <w:jc w:val="left"/>
            </w:pPr>
            <w:r>
              <w:t xml:space="preserve">$1,500,000</w:t>
            </w:r>
          </w:p>
        </w:tc>
        <w:tc>
          <w:tcPr/>
          <w:p>
            <w:pPr>
              <w:pStyle w:val="Compact"/>
              <w:jc w:val="left"/>
            </w:pPr>
            <w:r>
              <w:t xml:space="preserve">$0</w:t>
            </w:r>
          </w:p>
        </w:tc>
        <w:tc>
          <w:tcPr/>
          <w:p>
            <w:pPr>
              <w:pStyle w:val="Compact"/>
              <w:jc w:val="left"/>
            </w:pPr>
            <w:r>
              <w:t xml:space="preserve">$500K–$1.5M (net of insurance TBD)</w:t>
            </w:r>
          </w:p>
        </w:tc>
      </w:tr>
      <w:tr>
        <w:tc>
          <w:tcPr/>
          <w:p>
            <w:pPr>
              <w:pStyle w:val="Compact"/>
              <w:jc w:val="left"/>
            </w:pPr>
            <w:r>
              <w:t xml:space="preserve">Former Employee Wage Claim</w:t>
            </w:r>
          </w:p>
        </w:tc>
        <w:tc>
          <w:tcPr/>
          <w:p>
            <w:pPr>
              <w:pStyle w:val="Compact"/>
              <w:jc w:val="left"/>
            </w:pPr>
            <w:r>
              <w:t xml:space="preserve">$100,000</w:t>
            </w:r>
          </w:p>
        </w:tc>
        <w:tc>
          <w:tcPr/>
          <w:p>
            <w:pPr>
              <w:pStyle w:val="Compact"/>
              <w:jc w:val="left"/>
            </w:pPr>
            <w:r>
              <w:t xml:space="preserve">$200,000</w:t>
            </w:r>
          </w:p>
        </w:tc>
        <w:tc>
          <w:tcPr/>
          <w:p>
            <w:pPr>
              <w:pStyle w:val="Compact"/>
              <w:jc w:val="left"/>
            </w:pPr>
            <w:r>
              <w:t xml:space="preserve">$0</w:t>
            </w:r>
          </w:p>
        </w:tc>
        <w:tc>
          <w:tcPr/>
          <w:p>
            <w:pPr>
              <w:pStyle w:val="Compact"/>
              <w:jc w:val="left"/>
            </w:pPr>
            <w:r>
              <w:t xml:space="preserve">$100K–$200K</w:t>
            </w:r>
          </w:p>
        </w:tc>
      </w:tr>
      <w:tr>
        <w:tc>
          <w:tcPr/>
          <w:p>
            <w:pPr>
              <w:pStyle w:val="Compact"/>
              <w:jc w:val="left"/>
            </w:pPr>
            <w:r>
              <w:t xml:space="preserve">Harper Counterclaim</w:t>
            </w:r>
          </w:p>
        </w:tc>
        <w:tc>
          <w:tcPr/>
          <w:p>
            <w:pPr>
              <w:pStyle w:val="Compact"/>
              <w:jc w:val="left"/>
            </w:pPr>
            <w:r>
              <w:t xml:space="preserve">$0</w:t>
            </w:r>
          </w:p>
        </w:tc>
        <w:tc>
          <w:tcPr/>
          <w:p>
            <w:pPr>
              <w:pStyle w:val="Compact"/>
              <w:jc w:val="left"/>
            </w:pPr>
            <w:r>
              <w:t xml:space="preserve">$340,000</w:t>
            </w:r>
          </w:p>
        </w:tc>
        <w:tc>
          <w:tcPr/>
          <w:p>
            <w:pPr>
              <w:pStyle w:val="Compact"/>
              <w:jc w:val="left"/>
            </w:pPr>
            <w:r>
              <w:t xml:space="preserve">$0</w:t>
            </w:r>
          </w:p>
        </w:tc>
        <w:tc>
          <w:tcPr/>
          <w:p>
            <w:pPr>
              <w:pStyle w:val="Compact"/>
              <w:jc w:val="left"/>
            </w:pPr>
            <w:r>
              <w:t xml:space="preserve">$0–$340K</w:t>
            </w:r>
          </w:p>
        </w:tc>
      </w:tr>
      <w:tr>
        <w:tc>
          <w:tcPr/>
          <w:p>
            <w:pPr>
              <w:pStyle w:val="Compact"/>
              <w:jc w:val="left"/>
            </w:pPr>
            <w:r>
              <w:t xml:space="preserve">Grand Junction Remediation (incremental above accrual)</w:t>
            </w:r>
          </w:p>
        </w:tc>
        <w:tc>
          <w:tcPr/>
          <w:p>
            <w:pPr>
              <w:pStyle w:val="Compact"/>
              <w:jc w:val="left"/>
            </w:pPr>
            <w:r>
              <w:t xml:space="preserve">$0</w:t>
            </w:r>
          </w:p>
        </w:tc>
        <w:tc>
          <w:tcPr/>
          <w:p>
            <w:pPr>
              <w:pStyle w:val="Compact"/>
              <w:jc w:val="left"/>
            </w:pPr>
            <w:r>
              <w:t xml:space="preserve">$1,000,000+</w:t>
            </w:r>
          </w:p>
        </w:tc>
        <w:tc>
          <w:tcPr/>
          <w:p>
            <w:pPr>
              <w:pStyle w:val="Compact"/>
              <w:jc w:val="left"/>
            </w:pPr>
            <w:r>
              <w:t xml:space="preserve">$2.2M accrued</w:t>
            </w:r>
          </w:p>
        </w:tc>
        <w:tc>
          <w:tcPr/>
          <w:p>
            <w:pPr>
              <w:pStyle w:val="Compact"/>
              <w:jc w:val="left"/>
            </w:pPr>
            <w:r>
              <w:t xml:space="preserve">Potentially material</w:t>
            </w:r>
          </w:p>
        </w:tc>
      </w:tr>
      <w:tr>
        <w:tc>
          <w:tcPr/>
          <w:p>
            <w:pPr>
              <w:pStyle w:val="Compact"/>
              <w:jc w:val="left"/>
            </w:pPr>
            <w:r>
              <w:t xml:space="preserve">Asbestos Long-Tail (pre-2015)</w:t>
            </w:r>
          </w:p>
        </w:tc>
        <w:tc>
          <w:tcPr/>
          <w:p>
            <w:pPr>
              <w:pStyle w:val="Compact"/>
              <w:jc w:val="left"/>
            </w:pPr>
            <w:r>
              <w:t xml:space="preserve">Unquantifiable</w:t>
            </w:r>
          </w:p>
        </w:tc>
        <w:tc>
          <w:tcPr/>
          <w:p>
            <w:pPr>
              <w:pStyle w:val="Compact"/>
              <w:jc w:val="left"/>
            </w:pPr>
            <w:r>
              <w:t xml:space="preserve">Unquantifiable</w:t>
            </w:r>
          </w:p>
        </w:tc>
        <w:tc>
          <w:tcPr/>
          <w:p>
            <w:pPr>
              <w:pStyle w:val="Compact"/>
              <w:jc w:val="left"/>
            </w:pPr>
            <w:r>
              <w:t xml:space="preserve">$0</w:t>
            </w:r>
          </w:p>
        </w:tc>
        <w:tc>
          <w:tcPr/>
          <w:p>
            <w:pPr>
              <w:pStyle w:val="Compact"/>
              <w:jc w:val="left"/>
            </w:pPr>
            <w:r>
              <w:t xml:space="preserve">Unquantifiable</w:t>
            </w:r>
          </w:p>
        </w:tc>
      </w:tr>
      <w:tr>
        <w:tc>
          <w:tcPr/>
          <w:p>
            <w:pPr>
              <w:pStyle w:val="Compact"/>
              <w:jc w:val="left"/>
            </w:pPr>
            <w:r>
              <w:t xml:space="preserve">Total Quantifiable Unaccrued Exposure</w:t>
            </w:r>
          </w:p>
        </w:tc>
        <w:tc>
          <w:tcPr/>
          <w:p>
            <w:pPr>
              <w:pStyle w:val="Compact"/>
              <w:jc w:val="left"/>
            </w:pPr>
            <w:r>
              <w:t xml:space="preserve">$800,000</w:t>
            </w:r>
          </w:p>
        </w:tc>
        <w:tc>
          <w:tcPr/>
          <w:p>
            <w:pPr>
              <w:pStyle w:val="Compact"/>
              <w:jc w:val="left"/>
            </w:pPr>
            <w:r>
              <w:t xml:space="preserve">$4,202,500+</w:t>
            </w:r>
          </w:p>
        </w:tc>
        <w:tc>
          <w:tcPr/>
          <w:p>
            <w:pPr>
              <w:pStyle w:val="Compact"/>
            </w:pPr>
          </w:p>
        </w:tc>
        <w:tc>
          <w:tcPr/>
          <w:p>
            <w:pPr>
              <w:pStyle w:val="Compact"/>
            </w:pPr>
          </w:p>
        </w:tc>
      </w:tr>
    </w:tbl>
    <w:p>
      <w:r>
        <w:pict>
          <v:rect style="width:0;height:1.5pt" o:hralign="center" o:hrstd="t" o:hr="t"/>
        </w:pict>
      </w:r>
    </w:p>
    <w:bookmarkEnd w:id="49"/>
    <w:bookmarkStart w:id="50" w:name="key-diligence-requests-outstanding"/>
    <w:p>
      <w:pPr>
        <w:pStyle w:val="Heading2"/>
      </w:pPr>
      <w:r>
        <w:t xml:space="preserve">Key Diligence Requests Outstanding</w:t>
      </w:r>
    </w:p>
    <w:p>
      <w:pPr>
        <w:pStyle w:val="FirstParagraph"/>
      </w:pPr>
      <w:r>
        <w:t xml:space="preserve">The following items should be prioritized in the remaining due diligence period before execution of a definitive agreement:</w:t>
      </w:r>
    </w:p>
    <w:p>
      <w:pPr>
        <w:pStyle w:val="Compact"/>
        <w:numPr>
          <w:ilvl w:val="0"/>
          <w:numId w:val="1001"/>
        </w:numPr>
      </w:pPr>
      <w:r>
        <w:t xml:space="preserve">Written reconciliation of the $1.0M Adjusted EBITDA discrepancy (CIM vs. QoE data package)</w:t>
      </w:r>
    </w:p>
    <w:p>
      <w:pPr>
        <w:pStyle w:val="Compact"/>
        <w:numPr>
          <w:ilvl w:val="0"/>
          <w:numId w:val="1001"/>
        </w:numPr>
      </w:pPr>
      <w:r>
        <w:t xml:space="preserve">DOE Contracting Officer confirmation of ceiling modification status and novation requirements</w:t>
      </w:r>
    </w:p>
    <w:p>
      <w:pPr>
        <w:pStyle w:val="Compact"/>
        <w:numPr>
          <w:ilvl w:val="0"/>
          <w:numId w:val="1001"/>
        </w:numPr>
      </w:pPr>
      <w:r>
        <w:t xml:space="preserve">Updated Phase II ESA and vapor intrusion assessment for Grand Junction facility</w:t>
      </w:r>
    </w:p>
    <w:p>
      <w:pPr>
        <w:pStyle w:val="Compact"/>
        <w:numPr>
          <w:ilvl w:val="0"/>
          <w:numId w:val="1001"/>
        </w:numPr>
      </w:pPr>
      <w:r>
        <w:t xml:space="preserve">All CDPHE correspondence and supporting documentation for Docket CDPHE-HW-2024-0093</w:t>
      </w:r>
    </w:p>
    <w:p>
      <w:pPr>
        <w:pStyle w:val="Compact"/>
        <w:numPr>
          <w:ilvl w:val="0"/>
          <w:numId w:val="1001"/>
        </w:numPr>
      </w:pPr>
      <w:r>
        <w:t xml:space="preserve">Wyoming DEQ written confirmation of permit renewal status</w:t>
      </w:r>
    </w:p>
    <w:p>
      <w:pPr>
        <w:pStyle w:val="Compact"/>
        <w:numPr>
          <w:ilvl w:val="0"/>
          <w:numId w:val="1001"/>
        </w:numPr>
      </w:pPr>
      <w:r>
        <w:t xml:space="preserve">Utah Division of Waste Management written confirmation of permit transfer status (UTH-0441)</w:t>
      </w:r>
    </w:p>
    <w:p>
      <w:pPr>
        <w:pStyle w:val="Compact"/>
        <w:numPr>
          <w:ilvl w:val="0"/>
          <w:numId w:val="1001"/>
        </w:numPr>
      </w:pPr>
      <w:r>
        <w:t xml:space="preserve">Written landlord consent from Wasatch Industrial Properties, LLC (SLC lease)</w:t>
      </w:r>
    </w:p>
    <w:p>
      <w:pPr>
        <w:pStyle w:val="Compact"/>
        <w:numPr>
          <w:ilvl w:val="0"/>
          <w:numId w:val="1001"/>
        </w:numPr>
      </w:pPr>
      <w:r>
        <w:t xml:space="preserve">Independent fleet condition assessment</w:t>
      </w:r>
    </w:p>
    <w:p>
      <w:pPr>
        <w:pStyle w:val="Compact"/>
        <w:numPr>
          <w:ilvl w:val="0"/>
          <w:numId w:val="1001"/>
        </w:numPr>
      </w:pPr>
      <w:r>
        <w:t xml:space="preserve">Full NLRB petition documentation and Company response strategy</w:t>
      </w:r>
    </w:p>
    <w:p>
      <w:pPr>
        <w:pStyle w:val="Compact"/>
        <w:numPr>
          <w:ilvl w:val="0"/>
          <w:numId w:val="1001"/>
        </w:numPr>
      </w:pPr>
      <w:r>
        <w:t xml:space="preserve">Complete list of 145 asbestos abatement project sites and employee exposure records</w:t>
      </w:r>
    </w:p>
    <w:p>
      <w:pPr>
        <w:pStyle w:val="Compact"/>
        <w:numPr>
          <w:ilvl w:val="0"/>
          <w:numId w:val="1001"/>
        </w:numPr>
      </w:pPr>
      <w:r>
        <w:t xml:space="preserve">Reservation of rights letter and all insurer correspondence (Ramirez matter)</w:t>
      </w:r>
    </w:p>
    <w:p>
      <w:pPr>
        <w:pStyle w:val="Compact"/>
        <w:numPr>
          <w:ilvl w:val="0"/>
          <w:numId w:val="1001"/>
        </w:numPr>
      </w:pPr>
      <w:r>
        <w:t xml:space="preserve">High Plains National Bank payoff letter and lien release confirmation</w:t>
      </w:r>
    </w:p>
    <w:p>
      <w:pPr>
        <w:pStyle w:val="Compact"/>
        <w:numPr>
          <w:ilvl w:val="0"/>
          <w:numId w:val="1001"/>
        </w:numPr>
      </w:pPr>
      <w:r>
        <w:t xml:space="preserve">Audited financial statements for FY2022, FY2023, and FY2024 (required as closing condition under LOI)</w:t>
      </w:r>
    </w:p>
    <w:p>
      <w:r>
        <w:pict>
          <v:rect style="width:0;height:1.5pt" o:hralign="center" o:hrstd="t" o:hr="t"/>
        </w:pict>
      </w:r>
    </w:p>
    <w:p>
      <w:pPr>
        <w:pStyle w:val="FirstParagraph"/>
      </w:pPr>
      <w:r>
        <w:t xml:space="preserve">This memorandum is prepared for the exclusive use of Sycamore Capital Partners, LP and its advisors in connection with Project Ridgeline. It is subject to the Non-Disclosure Agreement and should not be distributed to any third party without prior written consent.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2026-08-14T17:35:45Z</dcterms:created>
  <dcterms:modified xsi:type="dcterms:W3CDTF">2026-08-14T17:35:45Z</dcterms:modified>
</cp:coreProperties>
</file>

<file path=docProps/custom.xml><?xml version="1.0" encoding="utf-8"?>
<Properties xmlns="http://schemas.openxmlformats.org/officeDocument/2006/custom-properties" xmlns:vt="http://schemas.openxmlformats.org/officeDocument/2006/docPropsVTypes"/>
</file>