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diligence-red-flag-memorandum"/>
    <w:p>
      <w:pPr>
        <w:pStyle w:val="Heading1"/>
      </w:pPr>
      <w:r>
        <w:t xml:space="preserve">DILIGENCE RED FLAG MEMORANDUM</w:t>
      </w:r>
    </w:p>
    <w:bookmarkStart w:id="20" w:name="Xf4229e59f5f5d6e4334b55f288c2964d9f8b3ff"/>
    <w:p>
      <w:pPr>
        <w:pStyle w:val="Heading2"/>
      </w:pPr>
      <w:r>
        <w:t xml:space="preserve">Project Ridgeline — Acquisition of Ridgeline Environmental Services, Inc.</w:t>
      </w:r>
    </w:p>
    <w:p>
      <w:pPr>
        <w:pStyle w:val="FirstParagraph"/>
      </w:pPr>
      <w:r>
        <w:rPr>
          <w:b/>
          <w:bCs/>
        </w:rPr>
        <w:t xml:space="preserve">Prepared for:</w:t>
      </w:r>
      <w:r>
        <w:t xml:space="preserve"> </w:t>
      </w:r>
      <w:r>
        <w:t xml:space="preserve">Sycamore Capital Partners, LP / Thornfield &amp; Associates LLP</w:t>
      </w:r>
      <w:r>
        <w:br/>
      </w:r>
      <w:r>
        <w:rPr>
          <w:b/>
          <w:bCs/>
        </w:rPr>
        <w:t xml:space="preserve">Date:</w:t>
      </w:r>
      <w:r>
        <w:t xml:space="preserve"> </w:t>
      </w:r>
      <w:r>
        <w:t xml:space="preserve">December 2024</w:t>
      </w:r>
      <w:r>
        <w:br/>
      </w:r>
      <w:r>
        <w:rPr>
          <w:b/>
          <w:bCs/>
        </w:rPr>
        <w:t xml:space="preserve">Subject:</w:t>
      </w:r>
      <w:r>
        <w:t xml:space="preserve"> </w:t>
      </w:r>
      <w:r>
        <w:t xml:space="preserve">Red Flag Analysis — All Data Room Documents Reviewed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Thirty-one red flags were identified across nine risk categories after reviewing all thirteen data room documents for the proposed acquisition of Ridgeline Environmental Services, Inc. at an indicative enterprise value of approximately $182–$205 million. Eleven issues are rated</w:t>
      </w:r>
      <w:r>
        <w:t xml:space="preserve"> </w:t>
      </w:r>
      <w:r>
        <w:rPr>
          <w:b/>
          <w:bCs/>
        </w:rPr>
        <w:t xml:space="preserve">Critical</w:t>
      </w:r>
      <w:r>
        <w:t xml:space="preserve"> </w:t>
      </w:r>
      <w:r>
        <w:t xml:space="preserve">(requiring resolution prior to or as a condition of closing), fourteen are rated</w:t>
      </w:r>
      <w:r>
        <w:t xml:space="preserve"> </w:t>
      </w:r>
      <w:r>
        <w:rPr>
          <w:b/>
          <w:bCs/>
        </w:rPr>
        <w:t xml:space="preserve">High</w:t>
      </w:r>
      <w:r>
        <w:t xml:space="preserve"> </w:t>
      </w:r>
      <w:r>
        <w:t xml:space="preserve">(requiring specific indemnification, price adjustment, or pre-closing remediation), and six are rated</w:t>
      </w:r>
      <w:r>
        <w:t xml:space="preserve"> </w:t>
      </w:r>
      <w:r>
        <w:rPr>
          <w:b/>
          <w:bCs/>
        </w:rPr>
        <w:t xml:space="preserve">Medium</w:t>
      </w:r>
      <w:r>
        <w:t xml:space="preserve"> </w:t>
      </w:r>
      <w:r>
        <w:t xml:space="preserve">(warranting enhanced representations, warranties, and post-closing monitoring).</w:t>
      </w:r>
    </w:p>
    <w:p>
      <w:pPr>
        <w:pStyle w:val="BodyText"/>
      </w:pPr>
      <w:r>
        <w:t xml:space="preserve">The five most urgent issues requiring resolution before signing are: (1) an unexplained discrepancy between the CIM and QoE Adjusted EBITDA figures; (2) a projected major DOE revenue shortfall from IDIQ ceiling exhaustion coinciding with the target closing date; (3) an unresolved Salt Lake City lease assignment creating a pre-existing default risk affecting a significant portion of annual revenue; (4) a stale Phase II ESA with unassessed vapor intrusion risk at the Company’s only owned property; and (5) a mandatory full debt payoff triggered by the change-of-control provision.</w:t>
      </w:r>
    </w:p>
    <w:p>
      <w:r>
        <w:pict>
          <v:rect style="width:0;height:1.5pt" o:hralign="center" o:hrstd="t" o:hr="t"/>
        </w:pict>
      </w:r>
    </w:p>
    <w:bookmarkEnd w:id="21"/>
    <w:bookmarkStart w:id="29" w:name="Xf2cd48495a288b38b24c388e6ac86912e71aa03"/>
    <w:p>
      <w:pPr>
        <w:pStyle w:val="Heading2"/>
      </w:pPr>
      <w:r>
        <w:t xml:space="preserve">SECTION I — FINANCIAL AND QUALITY OF EARNINGS</w:t>
      </w:r>
    </w:p>
    <w:bookmarkStart w:id="22" w:name="X8b45e0e4d42badccb21307bc049ac0d558dd2af"/>
    <w:p>
      <w:pPr>
        <w:pStyle w:val="Heading3"/>
      </w:pPr>
      <w:r>
        <w:t xml:space="preserve">RF-01 | CRITICAL | Adjusted EBITDA Discrepancy: CIM vs. QoE Data Package</w:t>
      </w:r>
    </w:p>
    <w:p>
      <w:pPr>
        <w:pStyle w:val="FirstParagraph"/>
      </w:pPr>
      <w:r>
        <w:t xml:space="preserve">The CIM and the QoE data package submitted to the quality of earnings advisor present materially different Adjusted EBITDA figures for FY2024. The gap is approximately one million dollars, and the QoE data package itself acknowledges that the specific adjustment category causing the discrepancy has not been identified. At the implied EBITDA multiple range, this discrepancy translates to a valuation swing of approximately eight to nine million dollars.</w:t>
      </w:r>
    </w:p>
    <w:p>
      <w:pPr>
        <w:pStyle w:val="BodyText"/>
      </w:pPr>
      <w:r>
        <w:rPr>
          <w:b/>
          <w:bCs/>
        </w:rPr>
        <w:t xml:space="preserve">Action:</w:t>
      </w:r>
      <w:r>
        <w:t xml:space="preserve"> </w:t>
      </w:r>
      <w:r>
        <w:t xml:space="preserve">Demand a fully reconciled EBITDA bridge with line-item support before finalizing the purchase price. The QoE report must address this gap explicitly. Consider price protection via a post-closing true-up mechanism tied to verified Adjusted EBITDA.</w:t>
      </w:r>
    </w:p>
    <w:p>
      <w:r>
        <w:pict>
          <v:rect style="width:0;height:1.5pt" o:hralign="center" o:hrstd="t" o:hr="t"/>
        </w:pict>
      </w:r>
    </w:p>
    <w:bookmarkEnd w:id="22"/>
    <w:bookmarkStart w:id="23" w:name="X496f0dff01e26b06b28e8dbcd0e007702d76f7b"/>
    <w:p>
      <w:pPr>
        <w:pStyle w:val="Heading3"/>
      </w:pPr>
      <w:r>
        <w:t xml:space="preserve">RF-02 | CRITICAL | DOE IDIQ Ceiling Exhaustion — Projected Revenue Cliff in FY2025</w:t>
      </w:r>
    </w:p>
    <w:p>
      <w:pPr>
        <w:pStyle w:val="FirstParagraph"/>
      </w:pPr>
      <w:r>
        <w:t xml:space="preserve">The Company’s largest customer relationship is a federal IDIQ contract representing approximately 19% of TTM revenue. The contract has a fixed ceiling value, of which approximately 73% has been consumed in only 62% of the contract period. At the current run rate, the remaining ceiling will be exhausted by approximately the time of the target closing date, leaving approximately 16 months of unfunded contract period before the contract’s expiration. If the ceiling is not increased via a contract modification, revenue from this customer could decline by approximately half in FY2025 — a headwind of approximately 9–10% of total revenue. This risk is not disclosed in the CIM’s investment highlights.</w:t>
      </w:r>
    </w:p>
    <w:p>
      <w:pPr>
        <w:pStyle w:val="BodyText"/>
      </w:pPr>
      <w:r>
        <w:rPr>
          <w:b/>
          <w:bCs/>
        </w:rPr>
        <w:t xml:space="preserve">Action:</w:t>
      </w:r>
      <w:r>
        <w:t xml:space="preserve"> </w:t>
      </w:r>
      <w:r>
        <w:t xml:space="preserve">Obtain written confirmation from the government Contracting Officer regarding ceiling modification prospects. Adjust the purchase price to reflect the risk of revenue decline. Consider a revenue-based earnout tied to contract continuation.</w:t>
      </w:r>
    </w:p>
    <w:p>
      <w:r>
        <w:pict>
          <v:rect style="width:0;height:1.5pt" o:hralign="center" o:hrstd="t" o:hr="t"/>
        </w:pict>
      </w:r>
    </w:p>
    <w:bookmarkEnd w:id="23"/>
    <w:bookmarkStart w:id="24" w:name="X9135b3f722c9895a5ca35aea137e76e817da175"/>
    <w:p>
      <w:pPr>
        <w:pStyle w:val="Heading3"/>
      </w:pPr>
      <w:r>
        <w:t xml:space="preserve">RF-03 | HIGH | Reported EBITDA Declined Significantly Year-Over-Year; Recurring Items</w:t>
      </w:r>
    </w:p>
    <w:p>
      <w:pPr>
        <w:pStyle w:val="FirstParagraph"/>
      </w:pPr>
      <w:r>
        <w:t xml:space="preserve">The QoE data package reveals that Reported EBITDA declined approximately 27% year-over-year in FY2024 — a trend invisible to a reader relying solely on the CIM, which does not present historical Reported EBITDA for prior years. The adjustments required to reach Adjusted EBITDA represent approximately 24–29% of Reported EBITDA. Several adjustment categories recur across multiple years, calling into question their characterization as non-recurring.</w:t>
      </w:r>
    </w:p>
    <w:p>
      <w:pPr>
        <w:pStyle w:val="BodyText"/>
      </w:pPr>
      <w:r>
        <w:rPr>
          <w:b/>
          <w:bCs/>
        </w:rPr>
        <w:t xml:space="preserve">Action:</w:t>
      </w:r>
      <w:r>
        <w:t xml:space="preserve"> </w:t>
      </w:r>
      <w:r>
        <w:t xml:space="preserve">Require the quality of earnings advisor to independently validate each adjustment category and assess recurrence risk.</w:t>
      </w:r>
    </w:p>
    <w:p>
      <w:r>
        <w:pict>
          <v:rect style="width:0;height:1.5pt" o:hralign="center" o:hrstd="t" o:hr="t"/>
        </w:pict>
      </w:r>
    </w:p>
    <w:bookmarkEnd w:id="24"/>
    <w:bookmarkStart w:id="25" w:name="X9ed9e488a7d1a596551fa7b4a6f5e327c3e3493"/>
    <w:p>
      <w:pPr>
        <w:pStyle w:val="Heading3"/>
      </w:pPr>
      <w:r>
        <w:t xml:space="preserve">RF-04 | HIGH | Owner Compensation Normalization — Potentially Illusory Add-Back</w:t>
      </w:r>
    </w:p>
    <w:p>
      <w:pPr>
        <w:pStyle w:val="FirstParagraph"/>
      </w:pPr>
      <w:r>
        <w:t xml:space="preserve">The EBITDA bridge includes an add-back for owner compensation normalization, reducing the CEO and COO base salaries to a market rate. However, both founders’ salaries are contractually fixed at their current levels and they are expected to remain post-closing. Achieving this add-back requires renegotiating their employment agreements, which would trigger single-trigger change-of-control severance provisions — making the net economics of the normalization potentially negative.</w:t>
      </w:r>
    </w:p>
    <w:p>
      <w:pPr>
        <w:pStyle w:val="BodyText"/>
      </w:pPr>
      <w:r>
        <w:rPr>
          <w:b/>
          <w:bCs/>
        </w:rPr>
        <w:t xml:space="preserve">Action:</w:t>
      </w:r>
      <w:r>
        <w:t xml:space="preserve"> </w:t>
      </w:r>
      <w:r>
        <w:t xml:space="preserve">Clarify post-closing compensation arrangements before signing. If founders remain at current salary levels, eliminate the normalization add-back from the valuation basis.</w:t>
      </w:r>
    </w:p>
    <w:p>
      <w:r>
        <w:pict>
          <v:rect style="width:0;height:1.5pt" o:hralign="center" o:hrstd="t" o:hr="t"/>
        </w:pict>
      </w:r>
    </w:p>
    <w:bookmarkEnd w:id="25"/>
    <w:bookmarkStart w:id="26" w:name="Xa0f529fa2342bbaa067d477e8beb941681a54f0"/>
    <w:p>
      <w:pPr>
        <w:pStyle w:val="Heading3"/>
      </w:pPr>
      <w:r>
        <w:t xml:space="preserve">RF-05 | HIGH | Litigation Settlement Add-Back — Misidentified in QoE Data Package</w:t>
      </w:r>
    </w:p>
    <w:p>
      <w:pPr>
        <w:pStyle w:val="FirstParagraph"/>
      </w:pPr>
      <w:r>
        <w:t xml:space="preserve">The QoE EBITDA Bridge tab misidentifies the source of a litigation settlement add-back. The Litigation and Regulatory Summary reveals that the settlement relates to a previously resolved matter in which the Company received a payment — not a matter in which the Company made a payment. Adding back a one-time income receipt is an unusual and aggressive adjustment that inflates Adjusted EBITDA.</w:t>
      </w:r>
    </w:p>
    <w:p>
      <w:pPr>
        <w:pStyle w:val="BodyText"/>
      </w:pPr>
      <w:r>
        <w:rPr>
          <w:b/>
          <w:bCs/>
        </w:rPr>
        <w:t xml:space="preserve">Action:</w:t>
      </w:r>
      <w:r>
        <w:t xml:space="preserve"> </w:t>
      </w:r>
      <w:r>
        <w:t xml:space="preserve">Require the QoE report to clearly identify whether each adjustment is an expense add-back or an income exclusion, and confirm the source of the settlement item.</w:t>
      </w:r>
    </w:p>
    <w:p>
      <w:r>
        <w:pict>
          <v:rect style="width:0;height:1.5pt" o:hralign="center" o:hrstd="t" o:hr="t"/>
        </w:pict>
      </w:r>
    </w:p>
    <w:bookmarkEnd w:id="26"/>
    <w:bookmarkStart w:id="27" w:name="X7f45d63063475050636a1a3feb693a7853f9695"/>
    <w:p>
      <w:pPr>
        <w:pStyle w:val="Heading3"/>
      </w:pPr>
      <w:r>
        <w:t xml:space="preserve">RF-06 | HIGH | Fleet Age and Deferred Capital Expenditure Backlog</w:t>
      </w:r>
    </w:p>
    <w:p>
      <w:pPr>
        <w:pStyle w:val="FirstParagraph"/>
      </w:pPr>
      <w:r>
        <w:t xml:space="preserve">The fleet and equipment schedule reveals that approximately 45% of assets are at or past their stated useful life, with an average fleet age exceeding the weighted average useful life. The estimated replacement cost for past-useful-life units is approximately $9.8 million. Spreading this backlog over three years implies approximately $3.3 million per year in catch-up capex above the current run rate, suggesting true normalized maintenance capex is nearly double management’s stated estimate.</w:t>
      </w:r>
    </w:p>
    <w:p>
      <w:pPr>
        <w:pStyle w:val="BodyText"/>
      </w:pPr>
      <w:r>
        <w:rPr>
          <w:b/>
          <w:bCs/>
        </w:rPr>
        <w:t xml:space="preserve">Action:</w:t>
      </w:r>
      <w:r>
        <w:t xml:space="preserve"> </w:t>
      </w:r>
      <w:r>
        <w:t xml:space="preserve">Commission an independent fleet condition assessment. Adjust the valuation model to reflect true normalized maintenance capex. Negotiate a purchase price reduction or escrow holdback to fund deferred fleet replacement.</w:t>
      </w:r>
    </w:p>
    <w:p>
      <w:r>
        <w:pict>
          <v:rect style="width:0;height:1.5pt" o:hralign="center" o:hrstd="t" o:hr="t"/>
        </w:pict>
      </w:r>
    </w:p>
    <w:bookmarkEnd w:id="27"/>
    <w:bookmarkStart w:id="28" w:name="X4b420eb6718ea643699c05b9adf44f4521ae77f"/>
    <w:p>
      <w:pPr>
        <w:pStyle w:val="Heading3"/>
      </w:pPr>
      <w:r>
        <w:t xml:space="preserve">RF-07 | MEDIUM | Revenue Concentration and Government Contract Dependency</w:t>
      </w:r>
    </w:p>
    <w:p>
      <w:pPr>
        <w:pStyle w:val="FirstParagraph"/>
      </w:pPr>
      <w:r>
        <w:t xml:space="preserve">The top five customers represent approximately 50% of TTM revenue and the top ten represent approximately 67%. Government customers represent approximately 36% of revenue. Eight of the top twenty customer contracts contain assignment, change-of-control, or notification provisions. Twelve of the top twenty contracts include termination for convenience clauses with sixty days’ notice or less.</w:t>
      </w:r>
    </w:p>
    <w:p>
      <w:pPr>
        <w:pStyle w:val="BodyText"/>
      </w:pPr>
      <w:r>
        <w:rPr>
          <w:b/>
          <w:bCs/>
        </w:rPr>
        <w:t xml:space="preserve">Action:</w:t>
      </w:r>
      <w:r>
        <w:t xml:space="preserve"> </w:t>
      </w:r>
      <w:r>
        <w:t xml:space="preserve">Map all change-of-control notification and consent requirements across the top twenty contracts before closing.</w:t>
      </w:r>
    </w:p>
    <w:p>
      <w:r>
        <w:pict>
          <v:rect style="width:0;height:1.5pt" o:hralign="center" o:hrstd="t" o:hr="t"/>
        </w:pict>
      </w:r>
    </w:p>
    <w:bookmarkEnd w:id="28"/>
    <w:bookmarkEnd w:id="29"/>
    <w:bookmarkStart w:id="35" w:name="section-ii-environmental"/>
    <w:p>
      <w:pPr>
        <w:pStyle w:val="Heading2"/>
      </w:pPr>
      <w:r>
        <w:t xml:space="preserve">SECTION II — ENVIRONMENTAL</w:t>
      </w:r>
    </w:p>
    <w:bookmarkStart w:id="30" w:name="Xbe6b651b731f5e977e6b5071d2134dbcfc2cb79"/>
    <w:p>
      <w:pPr>
        <w:pStyle w:val="Heading3"/>
      </w:pPr>
      <w:r>
        <w:t xml:space="preserve">RF-08 | CRITICAL | Phase II ESA — Stale (5+ Years), Vapor Intrusion Unassessed, Cost Estimate Outdated</w:t>
      </w:r>
    </w:p>
    <w:p>
      <w:pPr>
        <w:pStyle w:val="FirstParagraph"/>
      </w:pPr>
      <w:r>
        <w:t xml:space="preserve">The Phase II Environmental Site Assessment for the Company’s only owned property (the Grand Junction headquarters) was completed in June 2019 — over five years ago. It identified petroleum hydrocarbon contamination and chlorinated solvent contamination in soil and groundwater at concentrations exceeding applicable regulatory standards. Elevated soil gas concentrations adjacent to the occupied vehicle maintenance building indicate a potential vapor intrusion pathway — a vapor intrusion assessment was explicitly recommended as a matter warranting prompt attention but has never been conducted. The 2019 cost estimate has not been updated and excludes vapor intrusion mitigation, off-site remediation (no off-site sentinel wells have been installed), and inflation adjustments. The contamination is characterized as resulting from gradual releases over multiple decades, meaning it is explicitly excluded from the Pollution Legal Liability policy.</w:t>
      </w:r>
    </w:p>
    <w:p>
      <w:pPr>
        <w:pStyle w:val="BodyText"/>
      </w:pPr>
      <w:r>
        <w:rPr>
          <w:b/>
          <w:bCs/>
        </w:rPr>
        <w:t xml:space="preserve">Action:</w:t>
      </w:r>
      <w:r>
        <w:t xml:space="preserve"> </w:t>
      </w:r>
      <w:r>
        <w:t xml:space="preserve">Commission an updated Phase II ESA and vapor intrusion assessment immediately. Obtain an independent remediation cost estimate in current dollars. Negotiate a specific environmental escrow or indemnification with a six-year survival period. Require seller to initiate voluntary cleanup program enrollment before closing.</w:t>
      </w:r>
    </w:p>
    <w:p>
      <w:r>
        <w:pict>
          <v:rect style="width:0;height:1.5pt" o:hralign="center" o:hrstd="t" o:hr="t"/>
        </w:pict>
      </w:r>
    </w:p>
    <w:bookmarkEnd w:id="30"/>
    <w:bookmarkStart w:id="31" w:name="X4a0a70f1bf83604602721ce1b2b96462f80bbbc"/>
    <w:p>
      <w:pPr>
        <w:pStyle w:val="Heading3"/>
      </w:pPr>
      <w:r>
        <w:t xml:space="preserve">RF-09 | HIGH | CDPHE RCRA Enforcement Action — Unaccrued Penalty Exposure</w:t>
      </w:r>
    </w:p>
    <w:p>
      <w:pPr>
        <w:pStyle w:val="FirstParagraph"/>
      </w:pPr>
      <w:r>
        <w:t xml:space="preserve">CDPHE issued a Notice of Violation in July 2024 alleging improper storage of listed hazardous waste at the Grand Junction facility. The parties dispute the violation period, with the Company’s position implying a maximum penalty of approximately $450K and CDPHE’s position implying a maximum penalty of approximately $1.16 million. No accrual has been recorded as of the fiscal year end. The matter is in administrative negotiation with a settlement conference expected in early 2025 — potentially after the target signing date.</w:t>
      </w:r>
    </w:p>
    <w:p>
      <w:pPr>
        <w:pStyle w:val="BodyText"/>
      </w:pPr>
      <w:r>
        <w:rPr>
          <w:b/>
          <w:bCs/>
        </w:rPr>
        <w:t xml:space="preserve">Action:</w:t>
      </w:r>
      <w:r>
        <w:t xml:space="preserve"> </w:t>
      </w:r>
      <w:r>
        <w:t xml:space="preserve">Require resolution before closing, or establish a specific indemnification escrow. Confirm the enforcement action will not affect the upcoming permit renewal.</w:t>
      </w:r>
    </w:p>
    <w:p>
      <w:r>
        <w:pict>
          <v:rect style="width:0;height:1.5pt" o:hralign="center" o:hrstd="t" o:hr="t"/>
        </w:pict>
      </w:r>
    </w:p>
    <w:bookmarkEnd w:id="31"/>
    <w:bookmarkStart w:id="32" w:name="X09fe096e12d8f516f1140256f95d0311e5077ff"/>
    <w:p>
      <w:pPr>
        <w:pStyle w:val="Heading3"/>
      </w:pPr>
      <w:r>
        <w:t xml:space="preserve">RF-10 | HIGH | Salt Lake City Permit — Transfer Pending Since March 2022</w:t>
      </w:r>
    </w:p>
    <w:p>
      <w:pPr>
        <w:pStyle w:val="FirstParagraph"/>
      </w:pPr>
      <w:r>
        <w:t xml:space="preserve">The Utah hazardous waste transfer station permit for the Salt Lake City facility remains in the name of the acquired subsidiary despite the acquisition closing in March 2022. A transfer application was filed but has not been completed after more than two years. The proposed acquisition would layer a second change-of-control event on top of the unresolved first transfer. The Salt Lake City facility serves customers generating approximately $16 million of annual revenue.</w:t>
      </w:r>
    </w:p>
    <w:p>
      <w:pPr>
        <w:pStyle w:val="BodyText"/>
      </w:pPr>
      <w:r>
        <w:rPr>
          <w:b/>
          <w:bCs/>
        </w:rPr>
        <w:t xml:space="preserve">Action:</w:t>
      </w:r>
      <w:r>
        <w:t xml:space="preserve"> </w:t>
      </w:r>
      <w:r>
        <w:t xml:space="preserve">Obtain written confirmation from the Utah Division of Waste Management that current operations are compliant. Make completion of the permit transfer a condition of closing.</w:t>
      </w:r>
    </w:p>
    <w:p>
      <w:r>
        <w:pict>
          <v:rect style="width:0;height:1.5pt" o:hralign="center" o:hrstd="t" o:hr="t"/>
        </w:pict>
      </w:r>
    </w:p>
    <w:bookmarkEnd w:id="32"/>
    <w:bookmarkStart w:id="33" w:name="X7f73cb0c770454190d3ba118c96c1667ad27fc2"/>
    <w:p>
      <w:pPr>
        <w:pStyle w:val="Heading3"/>
      </w:pPr>
      <w:r>
        <w:t xml:space="preserve">RF-11 | HIGH | Wyoming Permit — Expired, Operating Under Timely Renewal</w:t>
      </w:r>
    </w:p>
    <w:p>
      <w:pPr>
        <w:pStyle w:val="FirstParagraph"/>
      </w:pPr>
      <w:r>
        <w:t xml:space="preserve">The Wyoming hazardous waste permit for the Casper facility expired in late November 2024. A renewal application was filed in October 2024. The Company is operating under timely renewal provisions, which do not guarantee renewal. An expired permit is also an Event of Default under the credit agreement. The Casper facility serves approximately 24% of total revenue.</w:t>
      </w:r>
    </w:p>
    <w:p>
      <w:pPr>
        <w:pStyle w:val="BodyText"/>
      </w:pPr>
      <w:r>
        <w:rPr>
          <w:b/>
          <w:bCs/>
        </w:rPr>
        <w:t xml:space="preserve">Action:</w:t>
      </w:r>
      <w:r>
        <w:t xml:space="preserve"> </w:t>
      </w:r>
      <w:r>
        <w:t xml:space="preserve">Obtain written confirmation from Wyoming DEQ of the expected renewal timeline. Make permit renewal a condition of closing.</w:t>
      </w:r>
    </w:p>
    <w:p>
      <w:r>
        <w:pict>
          <v:rect style="width:0;height:1.5pt" o:hralign="center" o:hrstd="t" o:hr="t"/>
        </w:pict>
      </w:r>
    </w:p>
    <w:bookmarkEnd w:id="33"/>
    <w:bookmarkStart w:id="34" w:name="X1a23565a0c5b70bb3dc36b860f3e0ba3b871be8"/>
    <w:p>
      <w:pPr>
        <w:pStyle w:val="Heading3"/>
      </w:pPr>
      <w:r>
        <w:t xml:space="preserve">RF-12 | MEDIUM | Asbestos Abatement Long-Tail Liability — Uninsured Pre-2015 Exposure</w:t>
      </w:r>
    </w:p>
    <w:p>
      <w:pPr>
        <w:pStyle w:val="FirstParagraph"/>
      </w:pPr>
      <w:r>
        <w:t xml:space="preserve">The Company operated an asbestos abatement service line from 2012 through September 2023, performing work at approximately 145 commercial and industrial sites. The current Pollution Legal Liability policy has a retroactive date of January 1, 2015, leaving work performed from 2012–2014 without insurance coverage for future claims. The CGL policy contains a blanket asbestos exclusion with no tail coverage procured. Two workers’ compensation claims from former asbestos abatement employees remain open.</w:t>
      </w:r>
    </w:p>
    <w:p>
      <w:pPr>
        <w:pStyle w:val="BodyText"/>
      </w:pPr>
      <w:r>
        <w:rPr>
          <w:b/>
          <w:bCs/>
        </w:rPr>
        <w:t xml:space="preserve">Action:</w:t>
      </w:r>
      <w:r>
        <w:t xml:space="preserve"> </w:t>
      </w:r>
      <w:r>
        <w:t xml:space="preserve">Obtain a specific asbestos indemnification from sellers with a survival period matching the applicable statute of limitations. Evaluate procurement of a tail policy covering pre-2015 operations.</w:t>
      </w:r>
    </w:p>
    <w:p>
      <w:r>
        <w:pict>
          <v:rect style="width:0;height:1.5pt" o:hralign="center" o:hrstd="t" o:hr="t"/>
        </w:pict>
      </w:r>
    </w:p>
    <w:bookmarkEnd w:id="34"/>
    <w:bookmarkEnd w:id="35"/>
    <w:bookmarkStart w:id="39" w:name="section-iii-debt-and-credit-agreement"/>
    <w:p>
      <w:pPr>
        <w:pStyle w:val="Heading2"/>
      </w:pPr>
      <w:r>
        <w:t xml:space="preserve">SECTION III — DEBT AND CREDIT AGREEMENT</w:t>
      </w:r>
    </w:p>
    <w:bookmarkStart w:id="36" w:name="X82e771a4e38e3b766f9f301aba03bbc796d553a"/>
    <w:p>
      <w:pPr>
        <w:pStyle w:val="Heading3"/>
      </w:pPr>
      <w:r>
        <w:t xml:space="preserve">RF-13 | CRITICAL | Change-of-Control Triggers Mandatory Full Debt Payoff</w:t>
      </w:r>
    </w:p>
    <w:p>
      <w:pPr>
        <w:pStyle w:val="FirstParagraph"/>
      </w:pPr>
      <w:r>
        <w:t xml:space="preserve">The credit agreement contains a Change of Control provision triggered by the proposed stock acquisition. Upon a Change of Control, the Borrower must prepay all outstanding Obligations within five business days. Total estimated mandatory prepayment is approximately $39 million. The credit agreement provides no waiver or consent mechanism.</w:t>
      </w:r>
    </w:p>
    <w:p>
      <w:pPr>
        <w:pStyle w:val="BodyText"/>
      </w:pPr>
      <w:r>
        <w:rPr>
          <w:b/>
          <w:bCs/>
        </w:rPr>
        <w:t xml:space="preserve">Action:</w:t>
      </w:r>
      <w:r>
        <w:t xml:space="preserve"> </w:t>
      </w:r>
      <w:r>
        <w:t xml:space="preserve">Confirm that Buyer’s acquisition financing includes sufficient proceeds to repay the existing credit facility at closing. Obtain a payoff letter from the lender.</w:t>
      </w:r>
    </w:p>
    <w:bookmarkEnd w:id="36"/>
    <w:bookmarkStart w:id="37" w:name="X7f11f82a340054c671ddbe2c55d7d63d345aa50"/>
    <w:p>
      <w:pPr>
        <w:pStyle w:val="Heading3"/>
      </w:pPr>
      <w:r>
        <w:t xml:space="preserve">RF-14 | HIGH | Bank EBITDA vs. Management EBITDA — Material Gap</w:t>
      </w:r>
    </w:p>
    <w:p>
      <w:pPr>
        <w:pStyle w:val="FirstParagraph"/>
      </w:pPr>
      <w:r>
        <w:t xml:space="preserve">The bank’s Consolidated EBITDA definition permits only a limited amount of non-recurring add-backs, yielding a figure materially lower than management’s Adjusted EBITDA for covenant compliance purposes.</w:t>
      </w:r>
    </w:p>
    <w:p>
      <w:pPr>
        <w:pStyle w:val="BodyText"/>
      </w:pPr>
      <w:r>
        <w:rPr>
          <w:b/>
          <w:bCs/>
        </w:rPr>
        <w:t xml:space="preserve">Action:</w:t>
      </w:r>
      <w:r>
        <w:t xml:space="preserve"> </w:t>
      </w:r>
      <w:r>
        <w:t xml:space="preserve">Obtain copies of all compliance certificates delivered to the lender for the past four quarters.</w:t>
      </w:r>
    </w:p>
    <w:bookmarkEnd w:id="37"/>
    <w:bookmarkStart w:id="38" w:name="X5b29f6715a3e77c0069a7f06cc22c1cc2fc6fad"/>
    <w:p>
      <w:pPr>
        <w:pStyle w:val="Heading3"/>
      </w:pPr>
      <w:r>
        <w:t xml:space="preserve">RF-15 | HIGH | CEO Key-Man Covenant — Event of Default if He Departs</w:t>
      </w:r>
    </w:p>
    <w:p>
      <w:pPr>
        <w:pStyle w:val="FirstParagraph"/>
      </w:pPr>
      <w:r>
        <w:t xml:space="preserve">The credit agreement requires the CEO to remain in his role. His departure without a Lender-approved successor constitutes an Event of Default with no cure period.</w:t>
      </w:r>
    </w:p>
    <w:p>
      <w:pPr>
        <w:pStyle w:val="BodyText"/>
      </w:pPr>
      <w:r>
        <w:rPr>
          <w:b/>
          <w:bCs/>
        </w:rPr>
        <w:t xml:space="preserve">Action:</w:t>
      </w:r>
      <w:r>
        <w:t xml:space="preserve"> </w:t>
      </w:r>
      <w:r>
        <w:t xml:space="preserve">Confirm that the credit facility will be fully repaid at closing. Negotiate a post-closing retention arrangement with the CEO.</w:t>
      </w:r>
    </w:p>
    <w:bookmarkEnd w:id="38"/>
    <w:bookmarkEnd w:id="39"/>
    <w:bookmarkStart w:id="42" w:name="section-iv-real-property-and-leases"/>
    <w:p>
      <w:pPr>
        <w:pStyle w:val="Heading2"/>
      </w:pPr>
      <w:r>
        <w:t xml:space="preserve">SECTION IV — REAL PROPERTY AND LEASES</w:t>
      </w:r>
    </w:p>
    <w:bookmarkStart w:id="40" w:name="Xba7471d79277d8cdc92e6748f028cecdcdc9f58"/>
    <w:p>
      <w:pPr>
        <w:pStyle w:val="Heading3"/>
      </w:pPr>
      <w:r>
        <w:t xml:space="preserve">RF-16 | CRITICAL | Salt Lake City Lease — Unresolved Assignment, Dual Change-of-Control Risk</w:t>
      </w:r>
    </w:p>
    <w:p>
      <w:pPr>
        <w:pStyle w:val="FirstParagraph"/>
      </w:pPr>
      <w:r>
        <w:t xml:space="preserve">The Salt Lake City transfer station lease was originally executed by the acquired subsidiary. RES requested landlord consent to assignment in April 2022. As of December 2024 — approximately 32 months later — the landlord has not provided written consent. In November 2024, the landlord sent correspondence inquiring about the current tenant of record. The proposed acquisition would constitute a second change-of-control event under the lease.</w:t>
      </w:r>
    </w:p>
    <w:p>
      <w:pPr>
        <w:pStyle w:val="BodyText"/>
      </w:pPr>
      <w:r>
        <w:rPr>
          <w:b/>
          <w:bCs/>
        </w:rPr>
        <w:t xml:space="preserve">Action:</w:t>
      </w:r>
      <w:r>
        <w:t xml:space="preserve"> </w:t>
      </w:r>
      <w:r>
        <w:t xml:space="preserve">Obtain written landlord consent to both the existing assignment and the proposed acquisition as a condition of closing.</w:t>
      </w:r>
    </w:p>
    <w:bookmarkEnd w:id="40"/>
    <w:bookmarkStart w:id="41" w:name="Xd14697e858c21fa4acb113b06babd69f50a0da3"/>
    <w:p>
      <w:pPr>
        <w:pStyle w:val="Heading3"/>
      </w:pPr>
      <w:r>
        <w:t xml:space="preserve">RF-17 | MEDIUM | Pueblo Storage Yard Lease Expiring at Closing</w:t>
      </w:r>
    </w:p>
    <w:p>
      <w:pPr>
        <w:pStyle w:val="FirstParagraph"/>
      </w:pPr>
      <w:r>
        <w:t xml:space="preserve">The Pueblo, Colorado storage yard lease expires on the same date as the target closing. Renewal negotiations are underway but no renewal has been executed.</w:t>
      </w:r>
    </w:p>
    <w:p>
      <w:pPr>
        <w:pStyle w:val="BodyText"/>
      </w:pPr>
      <w:r>
        <w:rPr>
          <w:b/>
          <w:bCs/>
        </w:rPr>
        <w:t xml:space="preserve">Action:</w:t>
      </w:r>
      <w:r>
        <w:t xml:space="preserve"> </w:t>
      </w:r>
      <w:r>
        <w:t xml:space="preserve">Require execution of a lease renewal or alternative arrangement as a condition of closing.</w:t>
      </w:r>
    </w:p>
    <w:bookmarkEnd w:id="41"/>
    <w:bookmarkEnd w:id="42"/>
    <w:bookmarkStart w:id="47" w:name="section-v-litigation-and-regulatory"/>
    <w:p>
      <w:pPr>
        <w:pStyle w:val="Heading2"/>
      </w:pPr>
      <w:r>
        <w:t xml:space="preserve">SECTION V — LITIGATION AND REGULATORY</w:t>
      </w:r>
    </w:p>
    <w:bookmarkStart w:id="43" w:name="X51b344ad1aa107e2b6d0225cbb506987331f360"/>
    <w:p>
      <w:pPr>
        <w:pStyle w:val="Heading3"/>
      </w:pPr>
      <w:r>
        <w:t xml:space="preserve">RF-18 | HIGH | Personal Injury Lawsuit — Multi-Million Dollar Claim, Coverage Uncertain</w:t>
      </w:r>
    </w:p>
    <w:p>
      <w:pPr>
        <w:pStyle w:val="FirstParagraph"/>
      </w:pPr>
      <w:r>
        <w:t xml:space="preserve">A former field technician filed a personal injury lawsuit in August 2024 alleging occupational exposure at a Wyoming remediation site. Plaintiff seeks approximately $4.8 million in damages. The insurer has issued a reservation of rights letter. Trial is scheduled for early 2026. No accrual has been recorded.</w:t>
      </w:r>
    </w:p>
    <w:p>
      <w:pPr>
        <w:pStyle w:val="BodyText"/>
      </w:pPr>
      <w:r>
        <w:rPr>
          <w:b/>
          <w:bCs/>
        </w:rPr>
        <w:t xml:space="preserve">Action:</w:t>
      </w:r>
      <w:r>
        <w:t xml:space="preserve"> </w:t>
      </w:r>
      <w:r>
        <w:t xml:space="preserve">Obtain the insurer’s reservation of rights letter and assess the coverage position. Require a specific indemnification escrow for this matter.</w:t>
      </w:r>
    </w:p>
    <w:bookmarkEnd w:id="43"/>
    <w:bookmarkStart w:id="44" w:name="X42ec3b78e445cac33f45d72f3e5d187eeb6e628"/>
    <w:p>
      <w:pPr>
        <w:pStyle w:val="Heading3"/>
      </w:pPr>
      <w:r>
        <w:t xml:space="preserve">RF-19 | HIGH | NLRB Union Election Petition — Core Facility Employees</w:t>
      </w:r>
    </w:p>
    <w:p>
      <w:pPr>
        <w:pStyle w:val="FirstParagraph"/>
      </w:pPr>
      <w:r>
        <w:t xml:space="preserve">In November 2024, a union filed an NLRB election petition covering 62 field technicians at the Company’s two largest operational facilities. This is disclosed only in a footnote to the Employee Benefits Summary and is not mentioned in the CIM.</w:t>
      </w:r>
    </w:p>
    <w:p>
      <w:pPr>
        <w:pStyle w:val="BodyText"/>
      </w:pPr>
      <w:r>
        <w:rPr>
          <w:b/>
          <w:bCs/>
        </w:rPr>
        <w:t xml:space="preserve">Action:</w:t>
      </w:r>
      <w:r>
        <w:t xml:space="preserve"> </w:t>
      </w:r>
      <w:r>
        <w:t xml:space="preserve">Obtain a full briefing on the NLRB petition. Consider whether the petition constitutes a Material Adverse Change.</w:t>
      </w:r>
    </w:p>
    <w:bookmarkEnd w:id="44"/>
    <w:bookmarkStart w:id="45" w:name="X302f201f7116df832eac150832a4a9c081b054f"/>
    <w:p>
      <w:pPr>
        <w:pStyle w:val="Heading3"/>
      </w:pPr>
      <w:r>
        <w:t xml:space="preserve">RF-20 | HIGH | Former Employee Wage Claim — FLSA Overtime Exposure</w:t>
      </w:r>
    </w:p>
    <w:p>
      <w:pPr>
        <w:pStyle w:val="FirstParagraph"/>
      </w:pPr>
      <w:r>
        <w:t xml:space="preserve">In October 2024, RES received a demand letter from former field technicians alleging unpaid overtime, with total claimed exposure of approximately $330K including liquidated damages. No lawsuit has been filed. No accrual has been recorded.</w:t>
      </w:r>
    </w:p>
    <w:p>
      <w:pPr>
        <w:pStyle w:val="BodyText"/>
      </w:pPr>
      <w:r>
        <w:rPr>
          <w:b/>
          <w:bCs/>
        </w:rPr>
        <w:t xml:space="preserve">Action:</w:t>
      </w:r>
      <w:r>
        <w:t xml:space="preserve"> </w:t>
      </w:r>
      <w:r>
        <w:t xml:space="preserve">Require a specific indemnification for this claim and any related FLSA claims.</w:t>
      </w:r>
    </w:p>
    <w:bookmarkEnd w:id="45"/>
    <w:bookmarkStart w:id="46" w:name="X3367bc1507b88f14a44630bf6f20fef275890cf"/>
    <w:p>
      <w:pPr>
        <w:pStyle w:val="Heading3"/>
      </w:pPr>
      <w:r>
        <w:t xml:space="preserve">RF-21 | MEDIUM | 401(k) Safe Harbor Match Suspension — Potential ERISA Issue</w:t>
      </w:r>
    </w:p>
    <w:p>
      <w:pPr>
        <w:pStyle w:val="FirstParagraph"/>
      </w:pPr>
      <w:r>
        <w:t xml:space="preserve">The Company suspended its safe harbor 401(k) employer matching contribution for approximately six months in 2023 due to cash flow management requirements. This may violate IRS safe harbor plan requirements.</w:t>
      </w:r>
    </w:p>
    <w:p>
      <w:pPr>
        <w:pStyle w:val="BodyText"/>
      </w:pPr>
      <w:r>
        <w:rPr>
          <w:b/>
          <w:bCs/>
        </w:rPr>
        <w:t xml:space="preserve">Action:</w:t>
      </w:r>
      <w:r>
        <w:t xml:space="preserve"> </w:t>
      </w:r>
      <w:r>
        <w:t xml:space="preserve">Obtain a legal opinion from ERISA counsel confirming that the 2023 safe harbor suspension was properly executed.</w:t>
      </w:r>
    </w:p>
    <w:bookmarkEnd w:id="46"/>
    <w:bookmarkEnd w:id="47"/>
    <w:bookmarkStart w:id="50" w:name="section-vi-government-contracts"/>
    <w:p>
      <w:pPr>
        <w:pStyle w:val="Heading2"/>
      </w:pPr>
      <w:r>
        <w:t xml:space="preserve">SECTION VI — GOVERNMENT CONTRACTS</w:t>
      </w:r>
    </w:p>
    <w:bookmarkStart w:id="48" w:name="X0f11052532d75e4713b54b42a9ddf4f8bddb39f"/>
    <w:p>
      <w:pPr>
        <w:pStyle w:val="Heading3"/>
      </w:pPr>
      <w:r>
        <w:t xml:space="preserve">RF-22 | CRITICAL | DOE Contract — Non-Assignable, Novation May Be Required</w:t>
      </w:r>
    </w:p>
    <w:p>
      <w:pPr>
        <w:pStyle w:val="FirstParagraph"/>
      </w:pPr>
      <w:r>
        <w:t xml:space="preserve">The Company’s largest government contract is non-assignable without prior written consent of the Contracting Officer pursuant to the Anti-Assignment Act and applicable federal acquisition regulations. The contract requires written notification to the Contracting Officer within 30 calendar days of any change in ownership or control, with failure to notify being grounds for termination for default.</w:t>
      </w:r>
    </w:p>
    <w:p>
      <w:pPr>
        <w:pStyle w:val="BodyText"/>
      </w:pPr>
      <w:r>
        <w:rPr>
          <w:b/>
          <w:bCs/>
        </w:rPr>
        <w:t xml:space="preserve">Action:</w:t>
      </w:r>
      <w:r>
        <w:t xml:space="preserve"> </w:t>
      </w:r>
      <w:r>
        <w:t xml:space="preserve">Engage directly with the DOE Contracting Officer before closing to determine whether a novation agreement is required. Make government notification a condition of closing.</w:t>
      </w:r>
    </w:p>
    <w:bookmarkEnd w:id="48"/>
    <w:bookmarkStart w:id="49" w:name="X859d70bef221277736f02a1e0827f20e2b44c6b"/>
    <w:p>
      <w:pPr>
        <w:pStyle w:val="Heading3"/>
      </w:pPr>
      <w:r>
        <w:t xml:space="preserve">RF-23 | HIGH | Multiple Government Contracts with Change-of-Control Notification Requirements</w:t>
      </w:r>
    </w:p>
    <w:p>
      <w:pPr>
        <w:pStyle w:val="FirstParagraph"/>
      </w:pPr>
      <w:r>
        <w:t xml:space="preserve">Eight of the top twenty customer contracts contain assignment, change-of-control, or notification provisions, collectively representing approximately $30 million or more of annual revenue.</w:t>
      </w:r>
    </w:p>
    <w:p>
      <w:pPr>
        <w:pStyle w:val="BodyText"/>
      </w:pPr>
      <w:r>
        <w:rPr>
          <w:b/>
          <w:bCs/>
        </w:rPr>
        <w:t xml:space="preserve">Action:</w:t>
      </w:r>
      <w:r>
        <w:t xml:space="preserve"> </w:t>
      </w:r>
      <w:r>
        <w:t xml:space="preserve">Develop a comprehensive consent and notification matrix for all affected contracts. Prioritize obtaining pre-closing consents from the most critical relationships.</w:t>
      </w:r>
    </w:p>
    <w:bookmarkEnd w:id="49"/>
    <w:bookmarkEnd w:id="50"/>
    <w:bookmarkStart w:id="54" w:name="X07dfb3a1896bc0bf4af96e9d1b08f188c269fff"/>
    <w:p>
      <w:pPr>
        <w:pStyle w:val="Heading2"/>
      </w:pPr>
      <w:r>
        <w:t xml:space="preserve">SECTION VII — CORPORATE STRUCTURE AND GOVERNANCE</w:t>
      </w:r>
    </w:p>
    <w:bookmarkStart w:id="51" w:name="Xe17d2ec3a58cac86ba823ca780b5d2ee979bfe1"/>
    <w:p>
      <w:pPr>
        <w:pStyle w:val="Heading3"/>
      </w:pPr>
      <w:r>
        <w:t xml:space="preserve">RF-24 | HIGH | Single-Trigger Change-of-Control Severance — Significant Amount Payable at Closing</w:t>
      </w:r>
    </w:p>
    <w:p>
      <w:pPr>
        <w:pStyle w:val="FirstParagraph"/>
      </w:pPr>
      <w:r>
        <w:t xml:space="preserve">The CEO and COO each have single-trigger change-of-control severance provisions entitling them to approximately $1.3 million each (approximately $2.6 million combined) payable within 30 days of closing, regardless of whether their employment continues. Total aggregate change-of-control severance across all five executives is approximately $3.8 million.</w:t>
      </w:r>
    </w:p>
    <w:p>
      <w:pPr>
        <w:pStyle w:val="BodyText"/>
      </w:pPr>
      <w:r>
        <w:rPr>
          <w:b/>
          <w:bCs/>
        </w:rPr>
        <w:t xml:space="preserve">Action:</w:t>
      </w:r>
      <w:r>
        <w:t xml:space="preserve"> </w:t>
      </w:r>
      <w:r>
        <w:t xml:space="preserve">Confirm the treatment of change-of-control severance in the SPA. Confirm that the single-trigger payments do not constitute excess parachute payments under IRC Section 280G.</w:t>
      </w:r>
    </w:p>
    <w:bookmarkEnd w:id="51"/>
    <w:bookmarkStart w:id="52" w:name="Xeaba17c74592f75943c096e93cded60eb0e0037"/>
    <w:p>
      <w:pPr>
        <w:pStyle w:val="Heading3"/>
      </w:pPr>
      <w:r>
        <w:t xml:space="preserve">RF-25 | HIGH | Acquired Subsidiary — Dormant Entity with Unresolved Obligations</w:t>
      </w:r>
    </w:p>
    <w:p>
      <w:pPr>
        <w:pStyle w:val="FirstParagraph"/>
      </w:pPr>
      <w:r>
        <w:t xml:space="preserve">The acquired subsidiary is described as dormant with no active business operations since approximately Q3 2022, yet it remains the permit holder for the Salt Lake City hazardous waste permit, the named tenant on the Salt Lake City facility lease, and a guarantor under the credit agreement.</w:t>
      </w:r>
    </w:p>
    <w:p>
      <w:pPr>
        <w:pStyle w:val="BodyText"/>
      </w:pPr>
      <w:r>
        <w:rPr>
          <w:b/>
          <w:bCs/>
        </w:rPr>
        <w:t xml:space="preserve">Action:</w:t>
      </w:r>
      <w:r>
        <w:t xml:space="preserve"> </w:t>
      </w:r>
      <w:r>
        <w:t xml:space="preserve">Do not dissolve the subsidiary until all permit transfers and lease assignments are completed.</w:t>
      </w:r>
    </w:p>
    <w:bookmarkEnd w:id="52"/>
    <w:bookmarkStart w:id="53" w:name="X3f2a9d9612bf512831aa84bf30812a52ba7f326"/>
    <w:p>
      <w:pPr>
        <w:pStyle w:val="Heading3"/>
      </w:pPr>
      <w:r>
        <w:t xml:space="preserve">RF-26 | MEDIUM | Board Composition — No Independent Directors, Family Control</w:t>
      </w:r>
    </w:p>
    <w:p>
      <w:pPr>
        <w:pStyle w:val="FirstParagraph"/>
      </w:pPr>
      <w:r>
        <w:t xml:space="preserve">The Board of Directors consists of three members: the CEO (Chairman), the COO, and the mother of both founders (who is also the Trustee of the 35% shareholder trust). There are no independent directors. Financial statements have been reviewed (not audited) by a local CPA firm.</w:t>
      </w:r>
    </w:p>
    <w:p>
      <w:pPr>
        <w:pStyle w:val="BodyText"/>
      </w:pPr>
      <w:r>
        <w:rPr>
          <w:b/>
          <w:bCs/>
        </w:rPr>
        <w:t xml:space="preserve">Action:</w:t>
      </w:r>
      <w:r>
        <w:t xml:space="preserve"> </w:t>
      </w:r>
      <w:r>
        <w:t xml:space="preserve">Require audited financial statements from a nationally recognized accounting firm as a condition of closing. Conduct enhanced diligence on related-party transactions.</w:t>
      </w:r>
    </w:p>
    <w:bookmarkEnd w:id="53"/>
    <w:bookmarkEnd w:id="54"/>
    <w:bookmarkStart w:id="57" w:name="section-viii-insurance"/>
    <w:p>
      <w:pPr>
        <w:pStyle w:val="Heading2"/>
      </w:pPr>
      <w:r>
        <w:t xml:space="preserve">SECTION VIII — INSURANCE</w:t>
      </w:r>
    </w:p>
    <w:bookmarkStart w:id="55" w:name="Xdbbf414649fe248c3283af5ab7e0ba76e4755ed"/>
    <w:p>
      <w:pPr>
        <w:pStyle w:val="Heading3"/>
      </w:pPr>
      <w:r>
        <w:t xml:space="preserve">RF-27 | HIGH | Pollution Legal Liability — Gradual Contamination Exclusion Covers Owned Property</w:t>
      </w:r>
    </w:p>
    <w:p>
      <w:pPr>
        <w:pStyle w:val="FirstParagraph"/>
      </w:pPr>
      <w:r>
        <w:t xml:space="preserve">The Pollution Legal Liability policy explicitly excludes coverage for gradual contamination at owned or operated facilities. The Phase II ESA characterizes the Grand Junction contamination as resulting from gradual releases over multiple decades. The Company has no insurance coverage for the primary environmental liability at its only owned property.</w:t>
      </w:r>
    </w:p>
    <w:p>
      <w:pPr>
        <w:pStyle w:val="BodyText"/>
      </w:pPr>
      <w:r>
        <w:rPr>
          <w:b/>
          <w:bCs/>
        </w:rPr>
        <w:t xml:space="preserve">Action:</w:t>
      </w:r>
      <w:r>
        <w:t xml:space="preserve"> </w:t>
      </w:r>
      <w:r>
        <w:t xml:space="preserve">Negotiate a specific environmental indemnification from sellers for the Grand Junction remediation liability with a six-year survival period. Evaluate procurement of a historical contamination endorsement.</w:t>
      </w:r>
    </w:p>
    <w:bookmarkEnd w:id="55"/>
    <w:bookmarkStart w:id="56" w:name="Xf1e5540eb16b8225f187554ee71196af1cad515"/>
    <w:p>
      <w:pPr>
        <w:pStyle w:val="Heading3"/>
      </w:pPr>
      <w:r>
        <w:t xml:space="preserve">RF-28 | HIGH | Claims-Made PLL Policy — Tail Coverage Risk at Change of Control</w:t>
      </w:r>
    </w:p>
    <w:p>
      <w:pPr>
        <w:pStyle w:val="FirstParagraph"/>
      </w:pPr>
      <w:r>
        <w:t xml:space="preserve">The Pollution Legal Liability policy is written on a claims-made basis with a retroactive date of January 1, 2015. At a change of control, the policy may not automatically transfer to the new owner. An extended reporting period (tail) is available at 150% of the expiring annual premium for a 36-month extension.</w:t>
      </w:r>
    </w:p>
    <w:p>
      <w:pPr>
        <w:pStyle w:val="BodyText"/>
      </w:pPr>
      <w:r>
        <w:rPr>
          <w:b/>
          <w:bCs/>
        </w:rPr>
        <w:t xml:space="preserve">Action:</w:t>
      </w:r>
      <w:r>
        <w:t xml:space="preserve"> </w:t>
      </w:r>
      <w:r>
        <w:t xml:space="preserve">Confirm with the insurer the impact of the proposed transaction on the PLL policy. Procure tail coverage as part of the closing process.</w:t>
      </w:r>
    </w:p>
    <w:bookmarkEnd w:id="56"/>
    <w:bookmarkEnd w:id="57"/>
    <w:bookmarkStart w:id="61" w:name="X201f2c0f958c9b4e9f0607725319b37a65ad7a4"/>
    <w:p>
      <w:pPr>
        <w:pStyle w:val="Heading2"/>
      </w:pPr>
      <w:r>
        <w:t xml:space="preserve">SECTION IX — INTELLECTUAL PROPERTY AND TECHNOLOGY</w:t>
      </w:r>
    </w:p>
    <w:bookmarkStart w:id="58" w:name="X82248fc62bb20ceae4ae58dbf1200b7c872c7fc"/>
    <w:p>
      <w:pPr>
        <w:pStyle w:val="Heading3"/>
      </w:pPr>
      <w:r>
        <w:t xml:space="preserve">RF-29 | MEDIUM | Patents Pledged as Collateral — Lien Release Required at Closing</w:t>
      </w:r>
    </w:p>
    <w:p>
      <w:pPr>
        <w:pStyle w:val="FirstParagraph"/>
      </w:pPr>
      <w:r>
        <w:t xml:space="preserve">Both U.S. patents and the proprietary software platform are pledged as collateral to the senior lender. While the debt will be repaid at closing, the IP lien must be properly released and UCC financing statements terminated.</w:t>
      </w:r>
    </w:p>
    <w:p>
      <w:pPr>
        <w:pStyle w:val="BodyText"/>
      </w:pPr>
      <w:r>
        <w:rPr>
          <w:b/>
          <w:bCs/>
        </w:rPr>
        <w:t xml:space="preserve">Action:</w:t>
      </w:r>
      <w:r>
        <w:t xml:space="preserve"> </w:t>
      </w:r>
      <w:r>
        <w:t xml:space="preserve">Confirm that the payoff letter includes a commitment to release all IP-related security interests and to file UCC-3 termination statements promptly after closing.</w:t>
      </w:r>
    </w:p>
    <w:bookmarkEnd w:id="58"/>
    <w:bookmarkStart w:id="59" w:name="X3ea70936f1bcaa801f61bb58890c4aa8f2c88f9"/>
    <w:p>
      <w:pPr>
        <w:pStyle w:val="Heading3"/>
      </w:pPr>
      <w:r>
        <w:t xml:space="preserve">RF-30 | MEDIUM | ERP Implementation — Phase 2 Incomplete, Cost Overrun Risk</w:t>
      </w:r>
    </w:p>
    <w:p>
      <w:pPr>
        <w:pStyle w:val="FirstParagraph"/>
      </w:pPr>
      <w:r>
        <w:t xml:space="preserve">The ERP implementation is not yet complete as of the data room date, with Phase 2 expected to be completed in Q2 FY2025. The implementation cost has been added back as a non-recurring item, but the implementation is ongoing and may incur additional costs.</w:t>
      </w:r>
    </w:p>
    <w:p>
      <w:pPr>
        <w:pStyle w:val="BodyText"/>
      </w:pPr>
      <w:r>
        <w:rPr>
          <w:b/>
          <w:bCs/>
        </w:rPr>
        <w:t xml:space="preserve">Action:</w:t>
      </w:r>
      <w:r>
        <w:t xml:space="preserve"> </w:t>
      </w:r>
      <w:r>
        <w:t xml:space="preserve">Obtain a detailed project status report and budget-to-actual analysis for the ERP implementation.</w:t>
      </w:r>
    </w:p>
    <w:bookmarkEnd w:id="59"/>
    <w:bookmarkStart w:id="60" w:name="X9e48a548206e181bafd641d3a76eac3dd63d833"/>
    <w:p>
      <w:pPr>
        <w:pStyle w:val="Heading3"/>
      </w:pPr>
      <w:r>
        <w:t xml:space="preserve">RF-31 | MEDIUM | Financial Statements — FY2024 Unaudited; Local CPA Firm Only</w:t>
      </w:r>
    </w:p>
    <w:p>
      <w:pPr>
        <w:pStyle w:val="FirstParagraph"/>
      </w:pPr>
      <w:r>
        <w:t xml:space="preserve">FY2024 financials are unaudited. The LOI requires delivery of audited financial statements for FY2022, FY2023, and FY2024 as a condition of closing. As of the data room date, FY2024 audited financials have not been delivered.</w:t>
      </w:r>
    </w:p>
    <w:p>
      <w:pPr>
        <w:pStyle w:val="BodyText"/>
      </w:pPr>
      <w:r>
        <w:rPr>
          <w:b/>
          <w:bCs/>
        </w:rPr>
        <w:t xml:space="preserve">Action:</w:t>
      </w:r>
      <w:r>
        <w:t xml:space="preserve"> </w:t>
      </w:r>
      <w:r>
        <w:t xml:space="preserve">Make delivery of FY2024 audited financials (by a nationally recognized firm) a condition of signing the SPA, not just closing.</w:t>
      </w:r>
    </w:p>
    <w:bookmarkEnd w:id="60"/>
    <w:bookmarkEnd w:id="61"/>
    <w:bookmarkStart w:id="62" w:name="section-x-summary-risk-matrix"/>
    <w:p>
      <w:pPr>
        <w:pStyle w:val="Heading2"/>
      </w:pPr>
      <w:r>
        <w:t xml:space="preserve">SECTION X — SUMMARY RISK MATRIX</w:t>
      </w:r>
    </w:p>
    <w:tbl>
      <w:tblPr>
        <w:tblStyle w:val="Table"/>
        <w:tblW w:type="pct" w:w="5000"/>
        <w:jc w:val="left"/>
        <w:tblLayout w:type="fixed"/>
        <w:tblLook w:firstRow="1" w:lastRow="0" w:firstColumn="0" w:lastColumn="0" w:noHBand="0" w:noVBand="0" w:val="0020"/>
      </w:tblPr>
      <w:tblGrid>
        <w:gridCol w:w="709"/>
        <w:gridCol w:w="1654"/>
        <w:gridCol w:w="1536"/>
        <w:gridCol w:w="1182"/>
        <w:gridCol w:w="2837"/>
      </w:tblGrid>
      <w:tr>
        <w:trPr>
          <w:tblHeader w:val="on"/>
        </w:trPr>
        <w:tc>
          <w:tcPr/>
          <w:p>
            <w:pPr>
              <w:pStyle w:val="Compact"/>
              <w:jc w:val="left"/>
            </w:pPr>
            <w:r>
              <w:t xml:space="preserve">RF #</w:t>
            </w:r>
          </w:p>
        </w:tc>
        <w:tc>
          <w:tcPr/>
          <w:p>
            <w:pPr>
              <w:pStyle w:val="Compact"/>
              <w:jc w:val="left"/>
            </w:pPr>
            <w:r>
              <w:t xml:space="preserve">Risk Category</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Est. Financial Exposure</w:t>
            </w:r>
          </w:p>
        </w:tc>
      </w:tr>
      <w:tr>
        <w:tc>
          <w:tcPr/>
          <w:p>
            <w:pPr>
              <w:pStyle w:val="Compact"/>
              <w:jc w:val="left"/>
            </w:pPr>
            <w:r>
              <w:t xml:space="preserve">RF-01</w:t>
            </w:r>
          </w:p>
        </w:tc>
        <w:tc>
          <w:tcPr/>
          <w:p>
            <w:pPr>
              <w:pStyle w:val="Compact"/>
              <w:jc w:val="left"/>
            </w:pPr>
            <w:r>
              <w:t xml:space="preserve">Financial/QoE</w:t>
            </w:r>
          </w:p>
        </w:tc>
        <w:tc>
          <w:tcPr/>
          <w:p>
            <w:pPr>
              <w:pStyle w:val="Compact"/>
              <w:jc w:val="left"/>
            </w:pPr>
            <w:r>
              <w:t xml:space="preserve">EBITDA discrepancy: CIM vs. QoE</w:t>
            </w:r>
          </w:p>
        </w:tc>
        <w:tc>
          <w:tcPr/>
          <w:p>
            <w:pPr>
              <w:pStyle w:val="Compact"/>
              <w:jc w:val="left"/>
            </w:pPr>
            <w:r>
              <w:t xml:space="preserve">Critical</w:t>
            </w:r>
          </w:p>
        </w:tc>
        <w:tc>
          <w:tcPr/>
          <w:p>
            <w:pPr>
              <w:pStyle w:val="Compact"/>
              <w:jc w:val="left"/>
            </w:pPr>
            <w:r>
              <w:t xml:space="preserve">~$8–9M valuation impact</w:t>
            </w:r>
          </w:p>
        </w:tc>
      </w:tr>
      <w:tr>
        <w:tc>
          <w:tcPr/>
          <w:p>
            <w:pPr>
              <w:pStyle w:val="Compact"/>
              <w:jc w:val="left"/>
            </w:pPr>
            <w:r>
              <w:t xml:space="preserve">RF-02</w:t>
            </w:r>
          </w:p>
        </w:tc>
        <w:tc>
          <w:tcPr/>
          <w:p>
            <w:pPr>
              <w:pStyle w:val="Compact"/>
              <w:jc w:val="left"/>
            </w:pPr>
            <w:r>
              <w:t xml:space="preserve">Financial/QoE</w:t>
            </w:r>
          </w:p>
        </w:tc>
        <w:tc>
          <w:tcPr/>
          <w:p>
            <w:pPr>
              <w:pStyle w:val="Compact"/>
              <w:jc w:val="left"/>
            </w:pPr>
            <w:r>
              <w:t xml:space="preserve">DOE IDIQ ceiling exhaustion — revenue cliff in FY2025</w:t>
            </w:r>
          </w:p>
        </w:tc>
        <w:tc>
          <w:tcPr/>
          <w:p>
            <w:pPr>
              <w:pStyle w:val="Compact"/>
              <w:jc w:val="left"/>
            </w:pPr>
            <w:r>
              <w:t xml:space="preserve">Critical</w:t>
            </w:r>
          </w:p>
        </w:tc>
        <w:tc>
          <w:tcPr/>
          <w:p>
            <w:pPr>
              <w:pStyle w:val="Compact"/>
              <w:jc w:val="left"/>
            </w:pPr>
            <w:r>
              <w:t xml:space="preserve">~$12M revenue headwind</w:t>
            </w:r>
          </w:p>
        </w:tc>
      </w:tr>
      <w:tr>
        <w:tc>
          <w:tcPr/>
          <w:p>
            <w:pPr>
              <w:pStyle w:val="Compact"/>
              <w:jc w:val="left"/>
            </w:pPr>
            <w:r>
              <w:t xml:space="preserve">RF-03</w:t>
            </w:r>
          </w:p>
        </w:tc>
        <w:tc>
          <w:tcPr/>
          <w:p>
            <w:pPr>
              <w:pStyle w:val="Compact"/>
              <w:jc w:val="left"/>
            </w:pPr>
            <w:r>
              <w:t xml:space="preserve">Financial/QoE</w:t>
            </w:r>
          </w:p>
        </w:tc>
        <w:tc>
          <w:tcPr/>
          <w:p>
            <w:pPr>
              <w:pStyle w:val="Compact"/>
              <w:jc w:val="left"/>
            </w:pPr>
            <w:r>
              <w:t xml:space="preserve">Reported EBITDA declined ~27% YoY; recurring items</w:t>
            </w:r>
          </w:p>
        </w:tc>
        <w:tc>
          <w:tcPr/>
          <w:p>
            <w:pPr>
              <w:pStyle w:val="Compact"/>
              <w:jc w:val="left"/>
            </w:pPr>
            <w:r>
              <w:t xml:space="preserve">High</w:t>
            </w:r>
          </w:p>
        </w:tc>
        <w:tc>
          <w:tcPr/>
          <w:p>
            <w:pPr>
              <w:pStyle w:val="Compact"/>
              <w:jc w:val="left"/>
            </w:pPr>
            <w:r>
              <w:t xml:space="preserve">$4–5M adjustment risk</w:t>
            </w:r>
          </w:p>
        </w:tc>
      </w:tr>
      <w:tr>
        <w:tc>
          <w:tcPr/>
          <w:p>
            <w:pPr>
              <w:pStyle w:val="Compact"/>
              <w:jc w:val="left"/>
            </w:pPr>
            <w:r>
              <w:t xml:space="preserve">RF-04</w:t>
            </w:r>
          </w:p>
        </w:tc>
        <w:tc>
          <w:tcPr/>
          <w:p>
            <w:pPr>
              <w:pStyle w:val="Compact"/>
              <w:jc w:val="left"/>
            </w:pPr>
            <w:r>
              <w:t xml:space="preserve">Financial/QoE</w:t>
            </w:r>
          </w:p>
        </w:tc>
        <w:tc>
          <w:tcPr/>
          <w:p>
            <w:pPr>
              <w:pStyle w:val="Compact"/>
              <w:jc w:val="left"/>
            </w:pPr>
            <w:r>
              <w:t xml:space="preserve">Owner comp normalization — illusory if founders stay</w:t>
            </w:r>
          </w:p>
        </w:tc>
        <w:tc>
          <w:tcPr/>
          <w:p>
            <w:pPr>
              <w:pStyle w:val="Compact"/>
              <w:jc w:val="left"/>
            </w:pPr>
            <w:r>
              <w:t xml:space="preserve">High</w:t>
            </w:r>
          </w:p>
        </w:tc>
        <w:tc>
          <w:tcPr/>
          <w:p>
            <w:pPr>
              <w:pStyle w:val="Compact"/>
              <w:jc w:val="left"/>
            </w:pPr>
            <w:r>
              <w:t xml:space="preserve">~$950K add-back at risk</w:t>
            </w:r>
          </w:p>
        </w:tc>
      </w:tr>
      <w:tr>
        <w:tc>
          <w:tcPr/>
          <w:p>
            <w:pPr>
              <w:pStyle w:val="Compact"/>
              <w:jc w:val="left"/>
            </w:pPr>
            <w:r>
              <w:t xml:space="preserve">RF-05</w:t>
            </w:r>
          </w:p>
        </w:tc>
        <w:tc>
          <w:tcPr/>
          <w:p>
            <w:pPr>
              <w:pStyle w:val="Compact"/>
              <w:jc w:val="left"/>
            </w:pPr>
            <w:r>
              <w:t xml:space="preserve">Financial/QoE</w:t>
            </w:r>
          </w:p>
        </w:tc>
        <w:tc>
          <w:tcPr/>
          <w:p>
            <w:pPr>
              <w:pStyle w:val="Compact"/>
              <w:jc w:val="left"/>
            </w:pPr>
            <w:r>
              <w:t xml:space="preserve">Litigation settlement add-back — misidentified</w:t>
            </w:r>
          </w:p>
        </w:tc>
        <w:tc>
          <w:tcPr/>
          <w:p>
            <w:pPr>
              <w:pStyle w:val="Compact"/>
              <w:jc w:val="left"/>
            </w:pPr>
            <w:r>
              <w:t xml:space="preserve">High</w:t>
            </w:r>
          </w:p>
        </w:tc>
        <w:tc>
          <w:tcPr/>
          <w:p>
            <w:pPr>
              <w:pStyle w:val="Compact"/>
              <w:jc w:val="left"/>
            </w:pPr>
            <w:r>
              <w:t xml:space="preserve">~$1.2M add-back validity</w:t>
            </w:r>
          </w:p>
        </w:tc>
      </w:tr>
      <w:tr>
        <w:tc>
          <w:tcPr/>
          <w:p>
            <w:pPr>
              <w:pStyle w:val="Compact"/>
              <w:jc w:val="left"/>
            </w:pPr>
            <w:r>
              <w:t xml:space="preserve">RF-06</w:t>
            </w:r>
          </w:p>
        </w:tc>
        <w:tc>
          <w:tcPr/>
          <w:p>
            <w:pPr>
              <w:pStyle w:val="Compact"/>
              <w:jc w:val="left"/>
            </w:pPr>
            <w:r>
              <w:t xml:space="preserve">Financial/QoE</w:t>
            </w:r>
          </w:p>
        </w:tc>
        <w:tc>
          <w:tcPr/>
          <w:p>
            <w:pPr>
              <w:pStyle w:val="Compact"/>
              <w:jc w:val="left"/>
            </w:pPr>
            <w:r>
              <w:t xml:space="preserve">Fleet deferred capex backlog — true maint. capex ~$7–8M/yr</w:t>
            </w:r>
          </w:p>
        </w:tc>
        <w:tc>
          <w:tcPr/>
          <w:p>
            <w:pPr>
              <w:pStyle w:val="Compact"/>
              <w:jc w:val="left"/>
            </w:pPr>
            <w:r>
              <w:t xml:space="preserve">High</w:t>
            </w:r>
          </w:p>
        </w:tc>
        <w:tc>
          <w:tcPr/>
          <w:p>
            <w:pPr>
              <w:pStyle w:val="Compact"/>
              <w:jc w:val="left"/>
            </w:pPr>
            <w:r>
              <w:t xml:space="preserve">~$3.3M/yr incremental capex</w:t>
            </w:r>
          </w:p>
        </w:tc>
      </w:tr>
      <w:tr>
        <w:tc>
          <w:tcPr/>
          <w:p>
            <w:pPr>
              <w:pStyle w:val="Compact"/>
              <w:jc w:val="left"/>
            </w:pPr>
            <w:r>
              <w:t xml:space="preserve">RF-07</w:t>
            </w:r>
          </w:p>
        </w:tc>
        <w:tc>
          <w:tcPr/>
          <w:p>
            <w:pPr>
              <w:pStyle w:val="Compact"/>
              <w:jc w:val="left"/>
            </w:pPr>
            <w:r>
              <w:t xml:space="preserve">Financial/QoE</w:t>
            </w:r>
          </w:p>
        </w:tc>
        <w:tc>
          <w:tcPr/>
          <w:p>
            <w:pPr>
              <w:pStyle w:val="Compact"/>
              <w:jc w:val="left"/>
            </w:pPr>
            <w:r>
              <w:t xml:space="preserve">Customer concentration — top 5 = ~50%, 8 contracts with CoC clauses</w:t>
            </w:r>
          </w:p>
        </w:tc>
        <w:tc>
          <w:tcPr/>
          <w:p>
            <w:pPr>
              <w:pStyle w:val="Compact"/>
              <w:jc w:val="left"/>
            </w:pPr>
            <w:r>
              <w:t xml:space="preserve">Medium</w:t>
            </w:r>
          </w:p>
        </w:tc>
        <w:tc>
          <w:tcPr/>
          <w:p>
            <w:pPr>
              <w:pStyle w:val="Compact"/>
              <w:jc w:val="left"/>
            </w:pPr>
            <w:r>
              <w:t xml:space="preserve">Revenue volatility</w:t>
            </w:r>
          </w:p>
        </w:tc>
      </w:tr>
      <w:tr>
        <w:tc>
          <w:tcPr/>
          <w:p>
            <w:pPr>
              <w:pStyle w:val="Compact"/>
              <w:jc w:val="left"/>
            </w:pPr>
            <w:r>
              <w:t xml:space="preserve">RF-08</w:t>
            </w:r>
          </w:p>
        </w:tc>
        <w:tc>
          <w:tcPr/>
          <w:p>
            <w:pPr>
              <w:pStyle w:val="Compact"/>
              <w:jc w:val="left"/>
            </w:pPr>
            <w:r>
              <w:t xml:space="preserve">Environmental</w:t>
            </w:r>
          </w:p>
        </w:tc>
        <w:tc>
          <w:tcPr/>
          <w:p>
            <w:pPr>
              <w:pStyle w:val="Compact"/>
              <w:jc w:val="left"/>
            </w:pPr>
            <w:r>
              <w:t xml:space="preserve">Phase II ESA stale (5+ yrs), vapor intrusion unassessed</w:t>
            </w:r>
          </w:p>
        </w:tc>
        <w:tc>
          <w:tcPr/>
          <w:p>
            <w:pPr>
              <w:pStyle w:val="Compact"/>
              <w:jc w:val="left"/>
            </w:pPr>
            <w:r>
              <w:t xml:space="preserve">Critical</w:t>
            </w:r>
          </w:p>
        </w:tc>
        <w:tc>
          <w:tcPr/>
          <w:p>
            <w:pPr>
              <w:pStyle w:val="Compact"/>
              <w:jc w:val="left"/>
            </w:pPr>
            <w:r>
              <w:t xml:space="preserve">$2.6M–$5M+ remediation</w:t>
            </w:r>
          </w:p>
        </w:tc>
      </w:tr>
      <w:tr>
        <w:tc>
          <w:tcPr/>
          <w:p>
            <w:pPr>
              <w:pStyle w:val="Compact"/>
              <w:jc w:val="left"/>
            </w:pPr>
            <w:r>
              <w:t xml:space="preserve">RF-09</w:t>
            </w:r>
          </w:p>
        </w:tc>
        <w:tc>
          <w:tcPr/>
          <w:p>
            <w:pPr>
              <w:pStyle w:val="Compact"/>
              <w:jc w:val="left"/>
            </w:pPr>
            <w:r>
              <w:t xml:space="preserve">Environmental</w:t>
            </w:r>
          </w:p>
        </w:tc>
        <w:tc>
          <w:tcPr/>
          <w:p>
            <w:pPr>
              <w:pStyle w:val="Compact"/>
              <w:jc w:val="left"/>
            </w:pPr>
            <w:r>
              <w:t xml:space="preserve">CDPHE RCRA enforcement — unaccrued penalty exposure</w:t>
            </w:r>
          </w:p>
        </w:tc>
        <w:tc>
          <w:tcPr/>
          <w:p>
            <w:pPr>
              <w:pStyle w:val="Compact"/>
              <w:jc w:val="left"/>
            </w:pPr>
            <w:r>
              <w:t xml:space="preserve">High</w:t>
            </w:r>
          </w:p>
        </w:tc>
        <w:tc>
          <w:tcPr/>
          <w:p>
            <w:pPr>
              <w:pStyle w:val="Compact"/>
              <w:jc w:val="left"/>
            </w:pPr>
            <w:r>
              <w:t xml:space="preserve">$200K–$1.16M</w:t>
            </w:r>
          </w:p>
        </w:tc>
      </w:tr>
      <w:tr>
        <w:tc>
          <w:tcPr/>
          <w:p>
            <w:pPr>
              <w:pStyle w:val="Compact"/>
              <w:jc w:val="left"/>
            </w:pPr>
            <w:r>
              <w:t xml:space="preserve">RF-10</w:t>
            </w:r>
          </w:p>
        </w:tc>
        <w:tc>
          <w:tcPr/>
          <w:p>
            <w:pPr>
              <w:pStyle w:val="Compact"/>
              <w:jc w:val="left"/>
            </w:pPr>
            <w:r>
              <w:t xml:space="preserve">Environmental</w:t>
            </w:r>
          </w:p>
        </w:tc>
        <w:tc>
          <w:tcPr/>
          <w:p>
            <w:pPr>
              <w:pStyle w:val="Compact"/>
              <w:jc w:val="left"/>
            </w:pPr>
            <w:r>
              <w:t xml:space="preserve">SLC permit transfer pending 2+ years</w:t>
            </w:r>
          </w:p>
        </w:tc>
        <w:tc>
          <w:tcPr/>
          <w:p>
            <w:pPr>
              <w:pStyle w:val="Compact"/>
              <w:jc w:val="left"/>
            </w:pPr>
            <w:r>
              <w:t xml:space="preserve">High</w:t>
            </w:r>
          </w:p>
        </w:tc>
        <w:tc>
          <w:tcPr/>
          <w:p>
            <w:pPr>
              <w:pStyle w:val="Compact"/>
              <w:jc w:val="left"/>
            </w:pPr>
            <w:r>
              <w:t xml:space="preserve">~$16M revenue at risk</w:t>
            </w:r>
          </w:p>
        </w:tc>
      </w:tr>
      <w:tr>
        <w:tc>
          <w:tcPr/>
          <w:p>
            <w:pPr>
              <w:pStyle w:val="Compact"/>
              <w:jc w:val="left"/>
            </w:pPr>
            <w:r>
              <w:t xml:space="preserve">RF-11</w:t>
            </w:r>
          </w:p>
        </w:tc>
        <w:tc>
          <w:tcPr/>
          <w:p>
            <w:pPr>
              <w:pStyle w:val="Compact"/>
              <w:jc w:val="left"/>
            </w:pPr>
            <w:r>
              <w:t xml:space="preserve">Environmental</w:t>
            </w:r>
          </w:p>
        </w:tc>
        <w:tc>
          <w:tcPr/>
          <w:p>
            <w:pPr>
              <w:pStyle w:val="Compact"/>
              <w:jc w:val="left"/>
            </w:pPr>
            <w:r>
              <w:t xml:space="preserve">WY permit expired, operating under timely renewal</w:t>
            </w:r>
          </w:p>
        </w:tc>
        <w:tc>
          <w:tcPr/>
          <w:p>
            <w:pPr>
              <w:pStyle w:val="Compact"/>
              <w:jc w:val="left"/>
            </w:pPr>
            <w:r>
              <w:t xml:space="preserve">High</w:t>
            </w:r>
          </w:p>
        </w:tc>
        <w:tc>
          <w:tcPr/>
          <w:p>
            <w:pPr>
              <w:pStyle w:val="Compact"/>
              <w:jc w:val="left"/>
            </w:pPr>
            <w:r>
              <w:t xml:space="preserve">~$30M revenue at risk</w:t>
            </w:r>
          </w:p>
        </w:tc>
      </w:tr>
      <w:tr>
        <w:tc>
          <w:tcPr/>
          <w:p>
            <w:pPr>
              <w:pStyle w:val="Compact"/>
              <w:jc w:val="left"/>
            </w:pPr>
            <w:r>
              <w:t xml:space="preserve">RF-12</w:t>
            </w:r>
          </w:p>
        </w:tc>
        <w:tc>
          <w:tcPr/>
          <w:p>
            <w:pPr>
              <w:pStyle w:val="Compact"/>
              <w:jc w:val="left"/>
            </w:pPr>
            <w:r>
              <w:t xml:space="preserve">Environmental</w:t>
            </w:r>
          </w:p>
        </w:tc>
        <w:tc>
          <w:tcPr/>
          <w:p>
            <w:pPr>
              <w:pStyle w:val="Compact"/>
              <w:jc w:val="left"/>
            </w:pPr>
            <w:r>
              <w:t xml:space="preserve">Asbestos long-tail — uninsured pre-2015 exposure</w:t>
            </w:r>
          </w:p>
        </w:tc>
        <w:tc>
          <w:tcPr/>
          <w:p>
            <w:pPr>
              <w:pStyle w:val="Compact"/>
              <w:jc w:val="left"/>
            </w:pPr>
            <w:r>
              <w:t xml:space="preserve">Medium</w:t>
            </w:r>
          </w:p>
        </w:tc>
        <w:tc>
          <w:tcPr/>
          <w:p>
            <w:pPr>
              <w:pStyle w:val="Compact"/>
              <w:jc w:val="left"/>
            </w:pPr>
            <w:r>
              <w:t xml:space="preserve">Unquantifiable</w:t>
            </w:r>
          </w:p>
        </w:tc>
      </w:tr>
      <w:tr>
        <w:tc>
          <w:tcPr/>
          <w:p>
            <w:pPr>
              <w:pStyle w:val="Compact"/>
              <w:jc w:val="left"/>
            </w:pPr>
            <w:r>
              <w:t xml:space="preserve">RF-13</w:t>
            </w:r>
          </w:p>
        </w:tc>
        <w:tc>
          <w:tcPr/>
          <w:p>
            <w:pPr>
              <w:pStyle w:val="Compact"/>
              <w:jc w:val="left"/>
            </w:pPr>
            <w:r>
              <w:t xml:space="preserve">Debt/Credit</w:t>
            </w:r>
          </w:p>
        </w:tc>
        <w:tc>
          <w:tcPr/>
          <w:p>
            <w:pPr>
              <w:pStyle w:val="Compact"/>
              <w:jc w:val="left"/>
            </w:pPr>
            <w:r>
              <w:t xml:space="preserve">Change-of-control triggers ~$39M mandatory debt payoff</w:t>
            </w:r>
          </w:p>
        </w:tc>
        <w:tc>
          <w:tcPr/>
          <w:p>
            <w:pPr>
              <w:pStyle w:val="Compact"/>
              <w:jc w:val="left"/>
            </w:pPr>
            <w:r>
              <w:t xml:space="preserve">Critical</w:t>
            </w:r>
          </w:p>
        </w:tc>
        <w:tc>
          <w:tcPr/>
          <w:p>
            <w:pPr>
              <w:pStyle w:val="Compact"/>
              <w:jc w:val="left"/>
            </w:pPr>
            <w:r>
              <w:t xml:space="preserve">~$39M</w:t>
            </w:r>
          </w:p>
        </w:tc>
      </w:tr>
      <w:tr>
        <w:tc>
          <w:tcPr/>
          <w:p>
            <w:pPr>
              <w:pStyle w:val="Compact"/>
              <w:jc w:val="left"/>
            </w:pPr>
            <w:r>
              <w:t xml:space="preserve">RF-14</w:t>
            </w:r>
          </w:p>
        </w:tc>
        <w:tc>
          <w:tcPr/>
          <w:p>
            <w:pPr>
              <w:pStyle w:val="Compact"/>
              <w:jc w:val="left"/>
            </w:pPr>
            <w:r>
              <w:t xml:space="preserve">Debt/Credit</w:t>
            </w:r>
          </w:p>
        </w:tc>
        <w:tc>
          <w:tcPr/>
          <w:p>
            <w:pPr>
              <w:pStyle w:val="Compact"/>
              <w:jc w:val="left"/>
            </w:pPr>
            <w:r>
              <w:t xml:space="preserve">Bank EBITDA vs. mgmt EBITDA — material gap</w:t>
            </w:r>
          </w:p>
        </w:tc>
        <w:tc>
          <w:tcPr/>
          <w:p>
            <w:pPr>
              <w:pStyle w:val="Compact"/>
              <w:jc w:val="left"/>
            </w:pPr>
            <w:r>
              <w:t xml:space="preserve">High</w:t>
            </w:r>
          </w:p>
        </w:tc>
        <w:tc>
          <w:tcPr/>
          <w:p>
            <w:pPr>
              <w:pStyle w:val="Compact"/>
              <w:jc w:val="left"/>
            </w:pPr>
            <w:r>
              <w:t xml:space="preserve">Covenant compliance risk</w:t>
            </w:r>
          </w:p>
        </w:tc>
      </w:tr>
      <w:tr>
        <w:tc>
          <w:tcPr/>
          <w:p>
            <w:pPr>
              <w:pStyle w:val="Compact"/>
              <w:jc w:val="left"/>
            </w:pPr>
            <w:r>
              <w:t xml:space="preserve">RF-15</w:t>
            </w:r>
          </w:p>
        </w:tc>
        <w:tc>
          <w:tcPr/>
          <w:p>
            <w:pPr>
              <w:pStyle w:val="Compact"/>
              <w:jc w:val="left"/>
            </w:pPr>
            <w:r>
              <w:t xml:space="preserve">Debt/Credit</w:t>
            </w:r>
          </w:p>
        </w:tc>
        <w:tc>
          <w:tcPr/>
          <w:p>
            <w:pPr>
              <w:pStyle w:val="Compact"/>
              <w:jc w:val="left"/>
            </w:pPr>
            <w:r>
              <w:t xml:space="preserve">CEO key-man covenant — Event of Default if he departs</w:t>
            </w:r>
          </w:p>
        </w:tc>
        <w:tc>
          <w:tcPr/>
          <w:p>
            <w:pPr>
              <w:pStyle w:val="Compact"/>
              <w:jc w:val="left"/>
            </w:pPr>
            <w:r>
              <w:t xml:space="preserve">High</w:t>
            </w:r>
          </w:p>
        </w:tc>
        <w:tc>
          <w:tcPr/>
          <w:p>
            <w:pPr>
              <w:pStyle w:val="Compact"/>
              <w:jc w:val="left"/>
            </w:pPr>
            <w:r>
              <w:t xml:space="preserve">Operational/credit risk</w:t>
            </w:r>
          </w:p>
        </w:tc>
      </w:tr>
      <w:tr>
        <w:tc>
          <w:tcPr/>
          <w:p>
            <w:pPr>
              <w:pStyle w:val="Compact"/>
              <w:jc w:val="left"/>
            </w:pPr>
            <w:r>
              <w:t xml:space="preserve">RF-16</w:t>
            </w:r>
          </w:p>
        </w:tc>
        <w:tc>
          <w:tcPr/>
          <w:p>
            <w:pPr>
              <w:pStyle w:val="Compact"/>
              <w:jc w:val="left"/>
            </w:pPr>
            <w:r>
              <w:t xml:space="preserve">Real Property</w:t>
            </w:r>
          </w:p>
        </w:tc>
        <w:tc>
          <w:tcPr/>
          <w:p>
            <w:pPr>
              <w:pStyle w:val="Compact"/>
              <w:jc w:val="left"/>
            </w:pPr>
            <w:r>
              <w:t xml:space="preserve">SLC lease — unresolved assignment, dual CoC risk</w:t>
            </w:r>
          </w:p>
        </w:tc>
        <w:tc>
          <w:tcPr/>
          <w:p>
            <w:pPr>
              <w:pStyle w:val="Compact"/>
              <w:jc w:val="left"/>
            </w:pPr>
            <w:r>
              <w:t xml:space="preserve">Critical</w:t>
            </w:r>
          </w:p>
        </w:tc>
        <w:tc>
          <w:tcPr/>
          <w:p>
            <w:pPr>
              <w:pStyle w:val="Compact"/>
              <w:jc w:val="left"/>
            </w:pPr>
            <w:r>
              <w:t xml:space="preserve">~$16M revenue at risk</w:t>
            </w:r>
          </w:p>
        </w:tc>
      </w:tr>
      <w:tr>
        <w:tc>
          <w:tcPr/>
          <w:p>
            <w:pPr>
              <w:pStyle w:val="Compact"/>
              <w:jc w:val="left"/>
            </w:pPr>
            <w:r>
              <w:t xml:space="preserve">RF-17</w:t>
            </w:r>
          </w:p>
        </w:tc>
        <w:tc>
          <w:tcPr/>
          <w:p>
            <w:pPr>
              <w:pStyle w:val="Compact"/>
              <w:jc w:val="left"/>
            </w:pPr>
            <w:r>
              <w:t xml:space="preserve">Real Property</w:t>
            </w:r>
          </w:p>
        </w:tc>
        <w:tc>
          <w:tcPr/>
          <w:p>
            <w:pPr>
              <w:pStyle w:val="Compact"/>
              <w:jc w:val="left"/>
            </w:pPr>
            <w:r>
              <w:t xml:space="preserve">Pueblo lease expiring at closing — renewal uncertain</w:t>
            </w:r>
          </w:p>
        </w:tc>
        <w:tc>
          <w:tcPr/>
          <w:p>
            <w:pPr>
              <w:pStyle w:val="Compact"/>
              <w:jc w:val="left"/>
            </w:pPr>
            <w:r>
              <w:t xml:space="preserve">Medium</w:t>
            </w:r>
          </w:p>
        </w:tc>
        <w:tc>
          <w:tcPr/>
          <w:p>
            <w:pPr>
              <w:pStyle w:val="Compact"/>
              <w:jc w:val="left"/>
            </w:pPr>
            <w:r>
              <w:t xml:space="preserve">Relocation costs</w:t>
            </w:r>
          </w:p>
        </w:tc>
      </w:tr>
      <w:tr>
        <w:tc>
          <w:tcPr/>
          <w:p>
            <w:pPr>
              <w:pStyle w:val="Compact"/>
              <w:jc w:val="left"/>
            </w:pPr>
            <w:r>
              <w:t xml:space="preserve">RF-18</w:t>
            </w:r>
          </w:p>
        </w:tc>
        <w:tc>
          <w:tcPr/>
          <w:p>
            <w:pPr>
              <w:pStyle w:val="Compact"/>
              <w:jc w:val="left"/>
            </w:pPr>
            <w:r>
              <w:t xml:space="preserve">Litigation</w:t>
            </w:r>
          </w:p>
        </w:tc>
        <w:tc>
          <w:tcPr/>
          <w:p>
            <w:pPr>
              <w:pStyle w:val="Compact"/>
              <w:jc w:val="left"/>
            </w:pPr>
            <w:r>
              <w:t xml:space="preserve">Personal injury lawsuit — ~$4.8M claim, coverage uncertain</w:t>
            </w:r>
          </w:p>
        </w:tc>
        <w:tc>
          <w:tcPr/>
          <w:p>
            <w:pPr>
              <w:pStyle w:val="Compact"/>
              <w:jc w:val="left"/>
            </w:pPr>
            <w:r>
              <w:t xml:space="preserve">High</w:t>
            </w:r>
          </w:p>
        </w:tc>
        <w:tc>
          <w:tcPr/>
          <w:p>
            <w:pPr>
              <w:pStyle w:val="Compact"/>
              <w:jc w:val="left"/>
            </w:pPr>
            <w:r>
              <w:t xml:space="preserve">$500K–$4.8M</w:t>
            </w:r>
          </w:p>
        </w:tc>
      </w:tr>
      <w:tr>
        <w:tc>
          <w:tcPr/>
          <w:p>
            <w:pPr>
              <w:pStyle w:val="Compact"/>
              <w:jc w:val="left"/>
            </w:pPr>
            <w:r>
              <w:t xml:space="preserve">RF-19</w:t>
            </w:r>
          </w:p>
        </w:tc>
        <w:tc>
          <w:tcPr/>
          <w:p>
            <w:pPr>
              <w:pStyle w:val="Compact"/>
              <w:jc w:val="left"/>
            </w:pPr>
            <w:r>
              <w:t xml:space="preserve">Litigation</w:t>
            </w:r>
          </w:p>
        </w:tc>
        <w:tc>
          <w:tcPr/>
          <w:p>
            <w:pPr>
              <w:pStyle w:val="Compact"/>
              <w:jc w:val="left"/>
            </w:pPr>
            <w:r>
              <w:t xml:space="preserve">NLRB union petition — 62 employees at core facilities</w:t>
            </w:r>
          </w:p>
        </w:tc>
        <w:tc>
          <w:tcPr/>
          <w:p>
            <w:pPr>
              <w:pStyle w:val="Compact"/>
              <w:jc w:val="left"/>
            </w:pPr>
            <w:r>
              <w:t xml:space="preserve">High</w:t>
            </w:r>
          </w:p>
        </w:tc>
        <w:tc>
          <w:tcPr/>
          <w:p>
            <w:pPr>
              <w:pStyle w:val="Compact"/>
              <w:jc w:val="left"/>
            </w:pPr>
            <w:r>
              <w:t xml:space="preserve">Labor cost increase</w:t>
            </w:r>
          </w:p>
        </w:tc>
      </w:tr>
      <w:tr>
        <w:tc>
          <w:tcPr/>
          <w:p>
            <w:pPr>
              <w:pStyle w:val="Compact"/>
              <w:jc w:val="left"/>
            </w:pPr>
            <w:r>
              <w:t xml:space="preserve">RF-20</w:t>
            </w:r>
          </w:p>
        </w:tc>
        <w:tc>
          <w:tcPr/>
          <w:p>
            <w:pPr>
              <w:pStyle w:val="Compact"/>
              <w:jc w:val="left"/>
            </w:pPr>
            <w:r>
              <w:t xml:space="preserve">Litigation</w:t>
            </w:r>
          </w:p>
        </w:tc>
        <w:tc>
          <w:tcPr/>
          <w:p>
            <w:pPr>
              <w:pStyle w:val="Compact"/>
              <w:jc w:val="left"/>
            </w:pPr>
            <w:r>
              <w:t xml:space="preserve">FLSA wage claim — ~$330K, potential collective action</w:t>
            </w:r>
          </w:p>
        </w:tc>
        <w:tc>
          <w:tcPr/>
          <w:p>
            <w:pPr>
              <w:pStyle w:val="Compact"/>
              <w:jc w:val="left"/>
            </w:pPr>
            <w:r>
              <w:t xml:space="preserve">High</w:t>
            </w:r>
          </w:p>
        </w:tc>
        <w:tc>
          <w:tcPr/>
          <w:p>
            <w:pPr>
              <w:pStyle w:val="Compact"/>
              <w:jc w:val="left"/>
            </w:pPr>
            <w:r>
              <w:t xml:space="preserve">$100K–$330K+</w:t>
            </w:r>
          </w:p>
        </w:tc>
      </w:tr>
      <w:tr>
        <w:tc>
          <w:tcPr/>
          <w:p>
            <w:pPr>
              <w:pStyle w:val="Compact"/>
              <w:jc w:val="left"/>
            </w:pPr>
            <w:r>
              <w:t xml:space="preserve">RF-21</w:t>
            </w:r>
          </w:p>
        </w:tc>
        <w:tc>
          <w:tcPr/>
          <w:p>
            <w:pPr>
              <w:pStyle w:val="Compact"/>
              <w:jc w:val="left"/>
            </w:pPr>
            <w:r>
              <w:t xml:space="preserve">Litigation</w:t>
            </w:r>
          </w:p>
        </w:tc>
        <w:tc>
          <w:tcPr/>
          <w:p>
            <w:pPr>
              <w:pStyle w:val="Compact"/>
              <w:jc w:val="left"/>
            </w:pPr>
            <w:r>
              <w:t xml:space="preserve">401(k) safe harbor suspension — potential ERISA violation</w:t>
            </w:r>
          </w:p>
        </w:tc>
        <w:tc>
          <w:tcPr/>
          <w:p>
            <w:pPr>
              <w:pStyle w:val="Compact"/>
              <w:jc w:val="left"/>
            </w:pPr>
            <w:r>
              <w:t xml:space="preserve">Medium</w:t>
            </w:r>
          </w:p>
        </w:tc>
        <w:tc>
          <w:tcPr/>
          <w:p>
            <w:pPr>
              <w:pStyle w:val="Compact"/>
              <w:jc w:val="left"/>
            </w:pPr>
            <w:r>
              <w:t xml:space="preserve">Up to $500K+</w:t>
            </w:r>
          </w:p>
        </w:tc>
      </w:tr>
      <w:tr>
        <w:tc>
          <w:tcPr/>
          <w:p>
            <w:pPr>
              <w:pStyle w:val="Compact"/>
              <w:jc w:val="left"/>
            </w:pPr>
            <w:r>
              <w:t xml:space="preserve">RF-22</w:t>
            </w:r>
          </w:p>
        </w:tc>
        <w:tc>
          <w:tcPr/>
          <w:p>
            <w:pPr>
              <w:pStyle w:val="Compact"/>
              <w:jc w:val="left"/>
            </w:pPr>
            <w:r>
              <w:t xml:space="preserve">Gov’t Contracts</w:t>
            </w:r>
          </w:p>
        </w:tc>
        <w:tc>
          <w:tcPr/>
          <w:p>
            <w:pPr>
              <w:pStyle w:val="Compact"/>
              <w:jc w:val="left"/>
            </w:pPr>
            <w:r>
              <w:t xml:space="preserve">DOE contract non-assignable, novation may be required</w:t>
            </w:r>
          </w:p>
        </w:tc>
        <w:tc>
          <w:tcPr/>
          <w:p>
            <w:pPr>
              <w:pStyle w:val="Compact"/>
              <w:jc w:val="left"/>
            </w:pPr>
            <w:r>
              <w:t xml:space="preserve">Critical</w:t>
            </w:r>
          </w:p>
        </w:tc>
        <w:tc>
          <w:tcPr/>
          <w:p>
            <w:pPr>
              <w:pStyle w:val="Compact"/>
              <w:jc w:val="left"/>
            </w:pPr>
            <w:r>
              <w:t xml:space="preserve">~$24M revenue at risk</w:t>
            </w:r>
          </w:p>
        </w:tc>
      </w:tr>
      <w:tr>
        <w:tc>
          <w:tcPr/>
          <w:p>
            <w:pPr>
              <w:pStyle w:val="Compact"/>
              <w:jc w:val="left"/>
            </w:pPr>
            <w:r>
              <w:t xml:space="preserve">RF-23</w:t>
            </w:r>
          </w:p>
        </w:tc>
        <w:tc>
          <w:tcPr/>
          <w:p>
            <w:pPr>
              <w:pStyle w:val="Compact"/>
              <w:jc w:val="left"/>
            </w:pPr>
            <w:r>
              <w:t xml:space="preserve">Gov’t Contracts</w:t>
            </w:r>
          </w:p>
        </w:tc>
        <w:tc>
          <w:tcPr/>
          <w:p>
            <w:pPr>
              <w:pStyle w:val="Compact"/>
              <w:jc w:val="left"/>
            </w:pPr>
            <w:r>
              <w:t xml:space="preserve">8 contracts with CoC notification/consent requirements</w:t>
            </w:r>
          </w:p>
        </w:tc>
        <w:tc>
          <w:tcPr/>
          <w:p>
            <w:pPr>
              <w:pStyle w:val="Compact"/>
              <w:jc w:val="left"/>
            </w:pPr>
            <w:r>
              <w:t xml:space="preserve">High</w:t>
            </w:r>
          </w:p>
        </w:tc>
        <w:tc>
          <w:tcPr/>
          <w:p>
            <w:pPr>
              <w:pStyle w:val="Compact"/>
              <w:jc w:val="left"/>
            </w:pPr>
            <w:r>
              <w:t xml:space="preserve">~$30M+ revenue at risk</w:t>
            </w:r>
          </w:p>
        </w:tc>
      </w:tr>
      <w:tr>
        <w:tc>
          <w:tcPr/>
          <w:p>
            <w:pPr>
              <w:pStyle w:val="Compact"/>
              <w:jc w:val="left"/>
            </w:pPr>
            <w:r>
              <w:t xml:space="preserve">RF-24</w:t>
            </w:r>
          </w:p>
        </w:tc>
        <w:tc>
          <w:tcPr/>
          <w:p>
            <w:pPr>
              <w:pStyle w:val="Compact"/>
              <w:jc w:val="left"/>
            </w:pPr>
            <w:r>
              <w:t xml:space="preserve">Corp. Structure</w:t>
            </w:r>
          </w:p>
        </w:tc>
        <w:tc>
          <w:tcPr/>
          <w:p>
            <w:pPr>
              <w:pStyle w:val="Compact"/>
              <w:jc w:val="left"/>
            </w:pPr>
            <w:r>
              <w:t xml:space="preserve">Single-trigger CoC severance — ~$2.6M payable at closing</w:t>
            </w:r>
          </w:p>
        </w:tc>
        <w:tc>
          <w:tcPr/>
          <w:p>
            <w:pPr>
              <w:pStyle w:val="Compact"/>
              <w:jc w:val="left"/>
            </w:pPr>
            <w:r>
              <w:t xml:space="preserve">High</w:t>
            </w:r>
          </w:p>
        </w:tc>
        <w:tc>
          <w:tcPr/>
          <w:p>
            <w:pPr>
              <w:pStyle w:val="Compact"/>
              <w:jc w:val="left"/>
            </w:pPr>
            <w:r>
              <w:t xml:space="preserve">~$2.6M–$3.8M</w:t>
            </w:r>
          </w:p>
        </w:tc>
      </w:tr>
      <w:tr>
        <w:tc>
          <w:tcPr/>
          <w:p>
            <w:pPr>
              <w:pStyle w:val="Compact"/>
              <w:jc w:val="left"/>
            </w:pPr>
            <w:r>
              <w:t xml:space="preserve">RF-25</w:t>
            </w:r>
          </w:p>
        </w:tc>
        <w:tc>
          <w:tcPr/>
          <w:p>
            <w:pPr>
              <w:pStyle w:val="Compact"/>
              <w:jc w:val="left"/>
            </w:pPr>
            <w:r>
              <w:t xml:space="preserve">Corp. Structure</w:t>
            </w:r>
          </w:p>
        </w:tc>
        <w:tc>
          <w:tcPr/>
          <w:p>
            <w:pPr>
              <w:pStyle w:val="Compact"/>
              <w:jc w:val="left"/>
            </w:pPr>
            <w:r>
              <w:t xml:space="preserve">Dormant subsidiary with active permit/lease obligations</w:t>
            </w:r>
          </w:p>
        </w:tc>
        <w:tc>
          <w:tcPr/>
          <w:p>
            <w:pPr>
              <w:pStyle w:val="Compact"/>
              <w:jc w:val="left"/>
            </w:pPr>
            <w:r>
              <w:t xml:space="preserve">High</w:t>
            </w:r>
          </w:p>
        </w:tc>
        <w:tc>
          <w:tcPr/>
          <w:p>
            <w:pPr>
              <w:pStyle w:val="Compact"/>
              <w:jc w:val="left"/>
            </w:pPr>
            <w:r>
              <w:t xml:space="preserve">Structural complexity</w:t>
            </w:r>
          </w:p>
        </w:tc>
      </w:tr>
      <w:tr>
        <w:tc>
          <w:tcPr/>
          <w:p>
            <w:pPr>
              <w:pStyle w:val="Compact"/>
              <w:jc w:val="left"/>
            </w:pPr>
            <w:r>
              <w:t xml:space="preserve">RF-26</w:t>
            </w:r>
          </w:p>
        </w:tc>
        <w:tc>
          <w:tcPr/>
          <w:p>
            <w:pPr>
              <w:pStyle w:val="Compact"/>
              <w:jc w:val="left"/>
            </w:pPr>
            <w:r>
              <w:t xml:space="preserve">Corp. Structure</w:t>
            </w:r>
          </w:p>
        </w:tc>
        <w:tc>
          <w:tcPr/>
          <w:p>
            <w:pPr>
              <w:pStyle w:val="Compact"/>
              <w:jc w:val="left"/>
            </w:pPr>
            <w:r>
              <w:t xml:space="preserve">No independent directors, family-controlled board</w:t>
            </w:r>
          </w:p>
        </w:tc>
        <w:tc>
          <w:tcPr/>
          <w:p>
            <w:pPr>
              <w:pStyle w:val="Compact"/>
              <w:jc w:val="left"/>
            </w:pPr>
            <w:r>
              <w:t xml:space="preserve">Medium</w:t>
            </w:r>
          </w:p>
        </w:tc>
        <w:tc>
          <w:tcPr/>
          <w:p>
            <w:pPr>
              <w:pStyle w:val="Compact"/>
              <w:jc w:val="left"/>
            </w:pPr>
            <w:r>
              <w:t xml:space="preserve">Governance risk</w:t>
            </w:r>
          </w:p>
        </w:tc>
      </w:tr>
      <w:tr>
        <w:tc>
          <w:tcPr/>
          <w:p>
            <w:pPr>
              <w:pStyle w:val="Compact"/>
              <w:jc w:val="left"/>
            </w:pPr>
            <w:r>
              <w:t xml:space="preserve">RF-27</w:t>
            </w:r>
          </w:p>
        </w:tc>
        <w:tc>
          <w:tcPr/>
          <w:p>
            <w:pPr>
              <w:pStyle w:val="Compact"/>
              <w:jc w:val="left"/>
            </w:pPr>
            <w:r>
              <w:t xml:space="preserve">Insurance</w:t>
            </w:r>
          </w:p>
        </w:tc>
        <w:tc>
          <w:tcPr/>
          <w:p>
            <w:pPr>
              <w:pStyle w:val="Compact"/>
              <w:jc w:val="left"/>
            </w:pPr>
            <w:r>
              <w:t xml:space="preserve">PLL policy excludes gradual contamination — owned site uninsured</w:t>
            </w:r>
          </w:p>
        </w:tc>
        <w:tc>
          <w:tcPr/>
          <w:p>
            <w:pPr>
              <w:pStyle w:val="Compact"/>
              <w:jc w:val="left"/>
            </w:pPr>
            <w:r>
              <w:t xml:space="preserve">High</w:t>
            </w:r>
          </w:p>
        </w:tc>
        <w:tc>
          <w:tcPr/>
          <w:p>
            <w:pPr>
              <w:pStyle w:val="Compact"/>
              <w:jc w:val="left"/>
            </w:pPr>
            <w:r>
              <w:t xml:space="preserve">$2.6M–$5M+ uninsured</w:t>
            </w:r>
          </w:p>
        </w:tc>
      </w:tr>
      <w:tr>
        <w:tc>
          <w:tcPr/>
          <w:p>
            <w:pPr>
              <w:pStyle w:val="Compact"/>
              <w:jc w:val="left"/>
            </w:pPr>
            <w:r>
              <w:t xml:space="preserve">RF-28</w:t>
            </w:r>
          </w:p>
        </w:tc>
        <w:tc>
          <w:tcPr/>
          <w:p>
            <w:pPr>
              <w:pStyle w:val="Compact"/>
              <w:jc w:val="left"/>
            </w:pPr>
            <w:r>
              <w:t xml:space="preserve">Insurance</w:t>
            </w:r>
          </w:p>
        </w:tc>
        <w:tc>
          <w:tcPr/>
          <w:p>
            <w:pPr>
              <w:pStyle w:val="Compact"/>
              <w:jc w:val="left"/>
            </w:pPr>
            <w:r>
              <w:t xml:space="preserve">Claims-made PLL — tail coverage risk at change of control</w:t>
            </w:r>
          </w:p>
        </w:tc>
        <w:tc>
          <w:tcPr/>
          <w:p>
            <w:pPr>
              <w:pStyle w:val="Compact"/>
              <w:jc w:val="left"/>
            </w:pPr>
            <w:r>
              <w:t xml:space="preserve">High</w:t>
            </w:r>
          </w:p>
        </w:tc>
        <w:tc>
          <w:tcPr/>
          <w:p>
            <w:pPr>
              <w:pStyle w:val="Compact"/>
              <w:jc w:val="left"/>
            </w:pPr>
            <w:r>
              <w:t xml:space="preserve">Uninsured post-closing claims</w:t>
            </w:r>
          </w:p>
        </w:tc>
      </w:tr>
      <w:tr>
        <w:tc>
          <w:tcPr/>
          <w:p>
            <w:pPr>
              <w:pStyle w:val="Compact"/>
              <w:jc w:val="left"/>
            </w:pPr>
            <w:r>
              <w:t xml:space="preserve">RF-29</w:t>
            </w:r>
          </w:p>
        </w:tc>
        <w:tc>
          <w:tcPr/>
          <w:p>
            <w:pPr>
              <w:pStyle w:val="Compact"/>
              <w:jc w:val="left"/>
            </w:pPr>
            <w:r>
              <w:t xml:space="preserve">IP/Technology</w:t>
            </w:r>
          </w:p>
        </w:tc>
        <w:tc>
          <w:tcPr/>
          <w:p>
            <w:pPr>
              <w:pStyle w:val="Compact"/>
              <w:jc w:val="left"/>
            </w:pPr>
            <w:r>
              <w:t xml:space="preserve">Patents pledged as collateral — lien release required at closing</w:t>
            </w:r>
          </w:p>
        </w:tc>
        <w:tc>
          <w:tcPr/>
          <w:p>
            <w:pPr>
              <w:pStyle w:val="Compact"/>
              <w:jc w:val="left"/>
            </w:pPr>
            <w:r>
              <w:t xml:space="preserve">Medium</w:t>
            </w:r>
          </w:p>
        </w:tc>
        <w:tc>
          <w:tcPr/>
          <w:p>
            <w:pPr>
              <w:pStyle w:val="Compact"/>
              <w:jc w:val="left"/>
            </w:pPr>
            <w:r>
              <w:t xml:space="preserve">IP encumbrance</w:t>
            </w:r>
          </w:p>
        </w:tc>
      </w:tr>
      <w:tr>
        <w:tc>
          <w:tcPr/>
          <w:p>
            <w:pPr>
              <w:pStyle w:val="Compact"/>
              <w:jc w:val="left"/>
            </w:pPr>
            <w:r>
              <w:t xml:space="preserve">RF-30</w:t>
            </w:r>
          </w:p>
        </w:tc>
        <w:tc>
          <w:tcPr/>
          <w:p>
            <w:pPr>
              <w:pStyle w:val="Compact"/>
              <w:jc w:val="left"/>
            </w:pPr>
            <w:r>
              <w:t xml:space="preserve">IP/Technology</w:t>
            </w:r>
          </w:p>
        </w:tc>
        <w:tc>
          <w:tcPr/>
          <w:p>
            <w:pPr>
              <w:pStyle w:val="Compact"/>
              <w:jc w:val="left"/>
            </w:pPr>
            <w:r>
              <w:t xml:space="preserve">ERP Phase 2 incomplete — cost overrun risk</w:t>
            </w:r>
          </w:p>
        </w:tc>
        <w:tc>
          <w:tcPr/>
          <w:p>
            <w:pPr>
              <w:pStyle w:val="Compact"/>
              <w:jc w:val="left"/>
            </w:pPr>
            <w:r>
              <w:t xml:space="preserve">Medium</w:t>
            </w:r>
          </w:p>
        </w:tc>
        <w:tc>
          <w:tcPr/>
          <w:p>
            <w:pPr>
              <w:pStyle w:val="Compact"/>
              <w:jc w:val="left"/>
            </w:pPr>
            <w:r>
              <w:t xml:space="preserve">~$650K+ implementation cost</w:t>
            </w:r>
          </w:p>
        </w:tc>
      </w:tr>
      <w:tr>
        <w:tc>
          <w:tcPr/>
          <w:p>
            <w:pPr>
              <w:pStyle w:val="Compact"/>
              <w:jc w:val="left"/>
            </w:pPr>
            <w:r>
              <w:t xml:space="preserve">RF-31</w:t>
            </w:r>
          </w:p>
        </w:tc>
        <w:tc>
          <w:tcPr/>
          <w:p>
            <w:pPr>
              <w:pStyle w:val="Compact"/>
              <w:jc w:val="left"/>
            </w:pPr>
            <w:r>
              <w:t xml:space="preserve">Financial</w:t>
            </w:r>
          </w:p>
        </w:tc>
        <w:tc>
          <w:tcPr/>
          <w:p>
            <w:pPr>
              <w:pStyle w:val="Compact"/>
              <w:jc w:val="left"/>
            </w:pPr>
            <w:r>
              <w:t xml:space="preserve">FY2024 financials unaudited — audit required before signing</w:t>
            </w:r>
          </w:p>
        </w:tc>
        <w:tc>
          <w:tcPr/>
          <w:p>
            <w:pPr>
              <w:pStyle w:val="Compact"/>
              <w:jc w:val="left"/>
            </w:pPr>
            <w:r>
              <w:t xml:space="preserve">Medium</w:t>
            </w:r>
          </w:p>
        </w:tc>
        <w:tc>
          <w:tcPr/>
          <w:p>
            <w:pPr>
              <w:pStyle w:val="Compact"/>
              <w:jc w:val="left"/>
            </w:pPr>
            <w:r>
              <w:t xml:space="preserve">Financial statement risk</w:t>
            </w:r>
          </w:p>
        </w:tc>
      </w:tr>
    </w:tbl>
    <w:p>
      <w:r>
        <w:pict>
          <v:rect style="width:0;height:1.5pt" o:hralign="center" o:hrstd="t" o:hr="t"/>
        </w:pict>
      </w:r>
    </w:p>
    <w:bookmarkEnd w:id="62"/>
    <w:bookmarkStart w:id="63" w:name="Xb7d8ba2ff088ffca8ee88cbf005877cfa6aa85a"/>
    <w:p>
      <w:pPr>
        <w:pStyle w:val="Heading2"/>
      </w:pPr>
      <w:r>
        <w:t xml:space="preserve">SECTION XI — RECOMMENDED PRE-SIGNING ACTIONS</w:t>
      </w:r>
    </w:p>
    <w:p>
      <w:pPr>
        <w:pStyle w:val="Compact"/>
        <w:numPr>
          <w:ilvl w:val="0"/>
          <w:numId w:val="1001"/>
        </w:numPr>
      </w:pPr>
      <w:r>
        <w:t xml:space="preserve">Reconcile the EBITDA discrepancy between the CIM and QoE data package (RF-01).</w:t>
      </w:r>
    </w:p>
    <w:p>
      <w:pPr>
        <w:pStyle w:val="Compact"/>
        <w:numPr>
          <w:ilvl w:val="0"/>
          <w:numId w:val="1001"/>
        </w:numPr>
      </w:pPr>
      <w:r>
        <w:t xml:space="preserve">Obtain DOE Contracting Officer confirmation regarding ceiling modification and novation requirements (RF-02, RF-22).</w:t>
      </w:r>
    </w:p>
    <w:p>
      <w:pPr>
        <w:pStyle w:val="Compact"/>
        <w:numPr>
          <w:ilvl w:val="0"/>
          <w:numId w:val="1001"/>
        </w:numPr>
      </w:pPr>
      <w:r>
        <w:t xml:space="preserve">Commission an updated Phase II ESA and vapor intrusion assessment at the Grand Junction facility (RF-08).</w:t>
      </w:r>
    </w:p>
    <w:p>
      <w:pPr>
        <w:pStyle w:val="Compact"/>
        <w:numPr>
          <w:ilvl w:val="0"/>
          <w:numId w:val="1001"/>
        </w:numPr>
      </w:pPr>
      <w:r>
        <w:t xml:space="preserve">Obtain written landlord consent to the Salt Lake City lease assignment (RF-16).</w:t>
      </w:r>
    </w:p>
    <w:p>
      <w:pPr>
        <w:pStyle w:val="Compact"/>
        <w:numPr>
          <w:ilvl w:val="0"/>
          <w:numId w:val="1001"/>
        </w:numPr>
      </w:pPr>
      <w:r>
        <w:t xml:space="preserve">Confirm Utah permit transfer status with the Utah Division of Waste Management (RF-10).</w:t>
      </w:r>
    </w:p>
    <w:p>
      <w:pPr>
        <w:pStyle w:val="Compact"/>
        <w:numPr>
          <w:ilvl w:val="0"/>
          <w:numId w:val="1001"/>
        </w:numPr>
      </w:pPr>
      <w:r>
        <w:t xml:space="preserve">Obtain FY2024 audited financial statements from a nationally recognized accounting firm (RF-31).</w:t>
      </w:r>
    </w:p>
    <w:p>
      <w:pPr>
        <w:pStyle w:val="Compact"/>
        <w:numPr>
          <w:ilvl w:val="0"/>
          <w:numId w:val="1001"/>
        </w:numPr>
      </w:pPr>
      <w:r>
        <w:t xml:space="preserve">Obtain a full briefing on the NLRB petition and assess unionization risk (RF-19).</w:t>
      </w:r>
    </w:p>
    <w:p>
      <w:pPr>
        <w:pStyle w:val="Compact"/>
        <w:numPr>
          <w:ilvl w:val="0"/>
          <w:numId w:val="1001"/>
        </w:numPr>
      </w:pPr>
      <w:r>
        <w:t xml:space="preserve">Confirm acquisition financing is sufficient to repay the full credit facility at closing (RF-13).</w:t>
      </w:r>
    </w:p>
    <w:p>
      <w:pPr>
        <w:pStyle w:val="Compact"/>
        <w:numPr>
          <w:ilvl w:val="0"/>
          <w:numId w:val="1001"/>
        </w:numPr>
      </w:pPr>
      <w:r>
        <w:t xml:space="preserve">Clarify post-closing founder compensation and the treatment of the owner compensation normalization add-back (RF-04).</w:t>
      </w:r>
    </w:p>
    <w:p>
      <w:pPr>
        <w:pStyle w:val="Compact"/>
        <w:numPr>
          <w:ilvl w:val="0"/>
          <w:numId w:val="1001"/>
        </w:numPr>
      </w:pPr>
      <w:r>
        <w:t xml:space="preserve">Commission an independent fleet condition assessment to validate capex requirements (RF-06).</w:t>
      </w:r>
    </w:p>
    <w:p>
      <w:r>
        <w:pict>
          <v:rect style="width:0;height:1.5pt" o:hralign="center" o:hrstd="t" o:hr="t"/>
        </w:pict>
      </w:r>
    </w:p>
    <w:p>
      <w:pPr>
        <w:pStyle w:val="FirstParagraph"/>
      </w:pPr>
      <w:r>
        <w:rPr>
          <w:i/>
          <w:iCs/>
        </w:rPr>
        <w:t xml:space="preserve">This memorandum is based on the documents provided in the Project Ridgeline data room as of December 2024. It does not constitute legal advice and should be read in conjunction with independent legal, financial, environmental, and insurance analyses. Additional red flags may be identified as diligence progresses.</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2026-08-14T18:38:15Z</dcterms:created>
  <dcterms:modified xsi:type="dcterms:W3CDTF">2026-08-14T18:38:15Z</dcterms:modified>
</cp:coreProperties>
</file>

<file path=docProps/custom.xml><?xml version="1.0" encoding="utf-8"?>
<Properties xmlns="http://schemas.openxmlformats.org/officeDocument/2006/custom-properties" xmlns:vt="http://schemas.openxmlformats.org/officeDocument/2006/docPropsVTypes"/>
</file>